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240" w:line="360" w:lineRule="auto"/>
        <w:jc w:val="center"/>
      </w:pPr>
      <w:r>
        <w:rPr>
          <w:rFonts w:ascii="Times New Roman" w:hAnsi="Times New Roman" w:cs="Times New Roman"/>
          <w:rFonts w:ascii="Times New Roman" w:hAnsi="Times New Roman"/>
          <w:b/>
          <w:i w:val="0"/>
          <w:sz w:val="28"/>
        </w:rPr>
        <w:t>5. CONCLUSIONS AND RECOMMENDATIONS</w:t>
      </w:r>
    </w:p>
    <w:p>
      <w:pPr>
        <w:spacing w:before="0" w:after="120" w:line="360" w:lineRule="auto"/>
        <w:ind w:firstLine="709"/>
        <w:jc w:val="both"/>
      </w:pPr>
      <w:r>
        <w:rPr>
          <w:rFonts w:ascii="Times New Roman" w:hAnsi="Times New Roman" w:cs="Times New Roman"/>
          <w:rFonts w:ascii="Times New Roman" w:hAnsi="Times New Roman"/>
          <w:b w:val="0"/>
          <w:i w:val="0"/>
          <w:sz w:val="24"/>
        </w:rPr>
        <w:t>This chapter synthesises the principal findings of the cross-sectional content analysis of 200 physical activity information sources across traditional websites, YouTube, TikTok, and Instagram. Conclusions are drawn in direct correspondence with the three research questions. Practical recommendations are offered for public health practitioners, health organisations, platform designers, educators, policymakers, and consumers. The chapter closes with directions for future research.</w:t>
      </w:r>
    </w:p>
    <w:p>
      <w:pPr>
        <w:spacing w:before="240" w:after="120" w:line="360" w:lineRule="auto"/>
        <w:jc w:val="left"/>
      </w:pPr>
      <w:r>
        <w:rPr>
          <w:rFonts w:ascii="Times New Roman" w:hAnsi="Times New Roman" w:cs="Times New Roman"/>
          <w:rFonts w:ascii="Times New Roman" w:hAnsi="Times New Roman"/>
          <w:b/>
          <w:i w:val="0"/>
          <w:sz w:val="24"/>
        </w:rPr>
        <w:t>5.1 Summary of Conclusions</w:t>
      </w:r>
    </w:p>
    <w:p>
      <w:pPr>
        <w:spacing w:before="120" w:after="60" w:line="360" w:lineRule="auto"/>
        <w:ind w:firstLine="709"/>
        <w:jc w:val="both"/>
      </w:pPr>
      <w:r>
        <w:rPr>
          <w:rFonts w:ascii="Times New Roman" w:hAnsi="Times New Roman" w:cs="Times New Roman"/>
          <w:rFonts w:ascii="Times New Roman" w:hAnsi="Times New Roman"/>
          <w:b/>
          <w:i w:val="0"/>
          <w:sz w:val="24"/>
        </w:rPr>
        <w:t>Research Question 1: Quality differences across platform types.</w:t>
      </w:r>
    </w:p>
    <w:p>
      <w:pPr>
        <w:spacing w:before="0" w:after="120" w:line="360" w:lineRule="auto"/>
        <w:ind w:firstLine="709"/>
        <w:jc w:val="both"/>
      </w:pPr>
      <w:r>
        <w:rPr>
          <w:rFonts w:ascii="Times New Roman" w:hAnsi="Times New Roman" w:cs="Times New Roman"/>
          <w:rFonts w:ascii="Times New Roman" w:hAnsi="Times New Roman"/>
          <w:b w:val="0"/>
          <w:i w:val="0"/>
          <w:sz w:val="24"/>
        </w:rPr>
        <w:t>The study confirms that statistically significant and practically meaningful quality differences exist across the four platform types examined. A Kruskal–Wallis test yielded H(3) = 136.58, p &lt; .001, with a large effect size (η² = .68), indicating that platform type alone accounts for approximately 68% of the variance in DISCERN total scores. Traditional websites achieved the highest median DISCERN score (Mdn = 48), placing them at the upper boundary of the “Fair” category and approaching “Good.” YouTube followed (Mdn = 39, “Poor”), then TikTok (Mdn = 31, “Very Poor” to “Poor”), and Instagram ranked lowest (Mdn = 21, “Very Poor”). These results establish a clear quality gradient: Websites &gt; YouTube &gt; TikTok &gt; Instagram.</w:t>
      </w:r>
    </w:p>
    <w:p>
      <w:pPr>
        <w:spacing w:before="0" w:after="120" w:line="360" w:lineRule="auto"/>
        <w:ind w:firstLine="709"/>
        <w:jc w:val="both"/>
      </w:pPr>
      <w:r>
        <w:rPr>
          <w:rFonts w:ascii="Times New Roman" w:hAnsi="Times New Roman" w:cs="Times New Roman"/>
          <w:rFonts w:ascii="Times New Roman" w:hAnsi="Times New Roman"/>
          <w:b w:val="0"/>
          <w:i w:val="0"/>
          <w:sz w:val="24"/>
        </w:rPr>
        <w:t>Notably, JAMA benchmark compliance was universally low across all four platforms, with an overall mean of only 1.4 out of 4 criteria met. Even traditional websites, which performed best on DISCERN, exhibited poor adherence to basic transparency standards such as authorship identification, source attribution, conflict-of-interest disclosure, and currency dating. This finding underscores that the quality deficit in online physical activity information is not confined to social media; rather, it reflects a systemic shortcoming in how health-related content is presented across the digital landscape.</w:t>
      </w:r>
    </w:p>
    <w:p>
      <w:pPr>
        <w:spacing w:before="120" w:after="60" w:line="360" w:lineRule="auto"/>
        <w:ind w:firstLine="709"/>
        <w:jc w:val="both"/>
      </w:pPr>
      <w:r>
        <w:rPr>
          <w:rFonts w:ascii="Times New Roman" w:hAnsi="Times New Roman" w:cs="Times New Roman"/>
          <w:rFonts w:ascii="Times New Roman" w:hAnsi="Times New Roman"/>
          <w:b/>
          <w:i w:val="0"/>
          <w:sz w:val="24"/>
        </w:rPr>
        <w:t>Research Question 2: Moderating role of creator type.</w:t>
      </w:r>
    </w:p>
    <w:p>
      <w:pPr>
        <w:spacing w:before="0" w:after="120" w:line="360" w:lineRule="auto"/>
        <w:ind w:firstLine="709"/>
        <w:jc w:val="both"/>
      </w:pPr>
      <w:r>
        <w:rPr>
          <w:rFonts w:ascii="Times New Roman" w:hAnsi="Times New Roman" w:cs="Times New Roman"/>
          <w:rFonts w:ascii="Times New Roman" w:hAnsi="Times New Roman"/>
          <w:b w:val="0"/>
          <w:i w:val="0"/>
          <w:sz w:val="24"/>
        </w:rPr>
        <w:t>Creator type significantly moderates information quality (p = .033), with professional creators—healthcare professionals and certified fitness professionals—producing content that scores higher on DISCERN than content from fitness influencers, general users, or organisational accounts. However, the effect size is small, suggesting that the platform on which content is published exerts a stronger influence on quality than the credentials of the creator. This conclusion carries an important practical implication: even well-qualified professionals may produce lower-quality content when constrained by the format limitations, algorithmic incentives, and audience expectations inherent to short-form social media platforms. Professional credentials are therefore a necessary but insufficient condition for high-quality health communication online.</w:t>
      </w:r>
    </w:p>
    <w:p>
      <w:pPr>
        <w:spacing w:before="120" w:after="60" w:line="360" w:lineRule="auto"/>
        <w:ind w:firstLine="709"/>
        <w:jc w:val="both"/>
      </w:pPr>
      <w:r>
        <w:rPr>
          <w:rFonts w:ascii="Times New Roman" w:hAnsi="Times New Roman" w:cs="Times New Roman"/>
          <w:rFonts w:ascii="Times New Roman" w:hAnsi="Times New Roman"/>
          <w:b/>
          <w:i w:val="0"/>
          <w:sz w:val="24"/>
        </w:rPr>
        <w:t>Research Question 3: Engagement–quality relationship.</w:t>
      </w:r>
    </w:p>
    <w:p>
      <w:pPr>
        <w:spacing w:before="0" w:after="120" w:line="360" w:lineRule="auto"/>
        <w:ind w:firstLine="709"/>
        <w:jc w:val="both"/>
      </w:pPr>
      <w:r>
        <w:rPr>
          <w:rFonts w:ascii="Times New Roman" w:hAnsi="Times New Roman" w:cs="Times New Roman"/>
          <w:rFonts w:ascii="Times New Roman" w:hAnsi="Times New Roman"/>
          <w:b w:val="0"/>
          <w:i w:val="0"/>
          <w:sz w:val="24"/>
        </w:rPr>
        <w:t>There is no meaningful association between engagement metrics and information quality. Spearman’s correlation between view counts and DISCERN total scores was negligible (ρ = .017), confirming that popular content is not necessarily accurate content. This decoupling of popularity from quality is particularly concerning on YouTube, where a negative trend was observed—videos with higher view counts tended to score lower on DISCERN. Platform recommendation algorithms, which prioritise engagement signals (watch time, likes, shares) over informational accuracy, may thus actively disadvantage high-quality health content. From a public health standpoint, this means that the content most people encounter and consume is statistically no better—and on YouTube, potentially worse—than content that remains obscure.</w:t>
      </w:r>
    </w:p>
    <w:p>
      <w:pPr>
        <w:spacing w:before="120" w:after="60" w:line="360" w:lineRule="auto"/>
        <w:ind w:firstLine="709"/>
        <w:jc w:val="both"/>
      </w:pPr>
      <w:r>
        <w:rPr>
          <w:rFonts w:ascii="Times New Roman" w:hAnsi="Times New Roman" w:cs="Times New Roman"/>
          <w:rFonts w:ascii="Times New Roman" w:hAnsi="Times New Roman"/>
          <w:b/>
          <w:i w:val="0"/>
          <w:sz w:val="24"/>
        </w:rPr>
        <w:t>Overarching conclusion.</w:t>
      </w:r>
    </w:p>
    <w:p>
      <w:pPr>
        <w:spacing w:before="0" w:after="120" w:line="360" w:lineRule="auto"/>
        <w:ind w:firstLine="709"/>
        <w:jc w:val="both"/>
      </w:pPr>
      <w:r>
        <w:rPr>
          <w:rFonts w:ascii="Times New Roman" w:hAnsi="Times New Roman" w:cs="Times New Roman"/>
          <w:rFonts w:ascii="Times New Roman" w:hAnsi="Times New Roman"/>
          <w:b w:val="0"/>
          <w:i w:val="0"/>
          <w:sz w:val="24"/>
        </w:rPr>
        <w:t>Taken together, these findings paint a sobering picture of the current state of physical activity information online. While traditional websites offer the most reliable information, even their quality is only “fair” by DISCERN standards, and their JAMA compliance is poor. Social media platforms—which are increasingly the primary source of health information for younger demographics—provide substantially lower quality content, irrespective of creator credentials. The absence of any link between engagement and quality means that platform algorithms offer no safeguard against misinformation. These conclusions reinforce the urgent need for multi-stakeholder interventions to improve the quality of physical activity information in the digital ecosystem.</w:t>
      </w:r>
    </w:p>
    <w:p>
      <w:pPr>
        <w:spacing w:before="240" w:after="120" w:line="360" w:lineRule="auto"/>
        <w:jc w:val="left"/>
      </w:pPr>
      <w:r>
        <w:rPr>
          <w:rFonts w:ascii="Times New Roman" w:hAnsi="Times New Roman" w:cs="Times New Roman"/>
          <w:rFonts w:ascii="Times New Roman" w:hAnsi="Times New Roman"/>
          <w:b/>
          <w:i w:val="0"/>
          <w:sz w:val="24"/>
        </w:rPr>
        <w:t>5.2 Practical Recommendations</w:t>
      </w:r>
    </w:p>
    <w:p>
      <w:pPr>
        <w:spacing w:before="0" w:after="120" w:line="360" w:lineRule="auto"/>
        <w:ind w:firstLine="709"/>
        <w:jc w:val="both"/>
      </w:pPr>
      <w:r>
        <w:rPr>
          <w:rFonts w:ascii="Times New Roman" w:hAnsi="Times New Roman" w:cs="Times New Roman"/>
          <w:rFonts w:ascii="Times New Roman" w:hAnsi="Times New Roman"/>
          <w:b w:val="0"/>
          <w:i w:val="0"/>
          <w:sz w:val="24"/>
        </w:rPr>
        <w:t>On the basis of the empirical evidence presented in this thesis, the following recommendations are offered to six stakeholder groups.</w:t>
      </w:r>
    </w:p>
    <w:p>
      <w:pPr>
        <w:spacing w:before="0" w:after="120" w:line="360" w:lineRule="auto"/>
        <w:ind w:firstLine="709"/>
        <w:jc w:val="both"/>
      </w:pPr>
      <w:r>
        <w:rPr>
          <w:rFonts w:ascii="Times New Roman" w:hAnsi="Times New Roman" w:cs="Times New Roman"/>
          <w:rFonts w:ascii="Times New Roman" w:hAnsi="Times New Roman"/>
          <w:b/>
          <w:i w:val="0"/>
          <w:sz w:val="24"/>
        </w:rPr>
        <w:t xml:space="preserve">For public health practitioners. </w:t>
      </w:r>
      <w:r>
        <w:rPr>
          <w:rFonts w:ascii="Times New Roman" w:hAnsi="Times New Roman" w:cs="Times New Roman"/>
          <w:rFonts w:ascii="Times New Roman" w:hAnsi="Times New Roman"/>
          <w:b w:val="0"/>
          <w:i w:val="0"/>
          <w:sz w:val="24"/>
        </w:rPr>
        <w:t>Clinicians, physiotherapists, and public health professionals should prioritise directing patients and clients to traditional websites maintained by established medical organisations (e.g., WHO, NHS, CDC) when recommending online physical activity resources. Where patients report reliance on social media, practitioners should provide curated lists of evidence-based accounts and explicitly discuss the quality limitations documented in this study.</w:t>
      </w:r>
    </w:p>
    <w:p>
      <w:pPr>
        <w:spacing w:before="0" w:after="120" w:line="360" w:lineRule="auto"/>
        <w:ind w:firstLine="709"/>
        <w:jc w:val="both"/>
      </w:pPr>
      <w:r>
        <w:rPr>
          <w:rFonts w:ascii="Times New Roman" w:hAnsi="Times New Roman" w:cs="Times New Roman"/>
          <w:rFonts w:ascii="Times New Roman" w:hAnsi="Times New Roman"/>
          <w:b/>
          <w:i w:val="0"/>
          <w:sz w:val="24"/>
        </w:rPr>
        <w:t xml:space="preserve">For health organisations. </w:t>
      </w:r>
      <w:r>
        <w:rPr>
          <w:rFonts w:ascii="Times New Roman" w:hAnsi="Times New Roman" w:cs="Times New Roman"/>
          <w:rFonts w:ascii="Times New Roman" w:hAnsi="Times New Roman"/>
          <w:b w:val="0"/>
          <w:i w:val="0"/>
          <w:sz w:val="24"/>
        </w:rPr>
        <w:t>Health authorities, professional bodies, and academic institutions should substantially increase their presence on social media platforms, particularly TikTok and Instagram, which currently exhibit the lowest information quality. Content strategies should be tailored to platform-specific norms—short, visually engaging, and algorithm-friendly—without sacrificing scientific accuracy. Partnering with credentialed fitness professionals who already have established audiences may offer a pragmatic route to scaling evidence-based content.</w:t>
      </w:r>
    </w:p>
    <w:p>
      <w:pPr>
        <w:spacing w:before="0" w:after="120" w:line="360" w:lineRule="auto"/>
        <w:ind w:firstLine="709"/>
        <w:jc w:val="both"/>
      </w:pPr>
      <w:r>
        <w:rPr>
          <w:rFonts w:ascii="Times New Roman" w:hAnsi="Times New Roman" w:cs="Times New Roman"/>
          <w:rFonts w:ascii="Times New Roman" w:hAnsi="Times New Roman"/>
          <w:b/>
          <w:i w:val="0"/>
          <w:sz w:val="24"/>
        </w:rPr>
        <w:t xml:space="preserve">For platform designers. </w:t>
      </w:r>
      <w:r>
        <w:rPr>
          <w:rFonts w:ascii="Times New Roman" w:hAnsi="Times New Roman" w:cs="Times New Roman"/>
          <w:rFonts w:ascii="Times New Roman" w:hAnsi="Times New Roman"/>
          <w:b w:val="0"/>
          <w:i w:val="0"/>
          <w:sz w:val="24"/>
        </w:rPr>
        <w:t>Social media companies should consider implementing quality indicators or verification badges specifically for health content creators with documented professional credentials. Algorithmic adjustments that factor in source credibility—not merely engagement metrics—when recommending health-related content could meaningfully shift the quality landscape. Transparency features such as mandatory source citation fields for health-tagged content would address the universally low JAMA compliance observed across platforms.</w:t>
      </w:r>
    </w:p>
    <w:p>
      <w:pPr>
        <w:spacing w:before="0" w:after="120" w:line="360" w:lineRule="auto"/>
        <w:ind w:firstLine="709"/>
        <w:jc w:val="both"/>
      </w:pPr>
      <w:r>
        <w:rPr>
          <w:rFonts w:ascii="Times New Roman" w:hAnsi="Times New Roman" w:cs="Times New Roman"/>
          <w:rFonts w:ascii="Times New Roman" w:hAnsi="Times New Roman"/>
          <w:b/>
          <w:i w:val="0"/>
          <w:sz w:val="24"/>
        </w:rPr>
        <w:t xml:space="preserve">For health literacy educators. </w:t>
      </w:r>
      <w:r>
        <w:rPr>
          <w:rFonts w:ascii="Times New Roman" w:hAnsi="Times New Roman" w:cs="Times New Roman"/>
          <w:rFonts w:ascii="Times New Roman" w:hAnsi="Times New Roman"/>
          <w:b w:val="0"/>
          <w:i w:val="0"/>
          <w:sz w:val="24"/>
        </w:rPr>
        <w:t>Digital health literacy curricula should teach critical evaluation skills specific to each platform type. The finding that engagement does not predict quality is a particularly teachable insight: students and the public must understand that viral content is not validated content. Frameworks such as eHEALS (Norman &amp; Skinner, 2006) and the CRAAP test should be adapted to include platform-specific red flags (e.g., absence of source citations in video descriptions, lack of professional credentials in creator bios).</w:t>
      </w:r>
    </w:p>
    <w:p>
      <w:pPr>
        <w:spacing w:before="0" w:after="120" w:line="360" w:lineRule="auto"/>
        <w:ind w:firstLine="709"/>
        <w:jc w:val="both"/>
      </w:pPr>
      <w:r>
        <w:rPr>
          <w:rFonts w:ascii="Times New Roman" w:hAnsi="Times New Roman" w:cs="Times New Roman"/>
          <w:rFonts w:ascii="Times New Roman" w:hAnsi="Times New Roman"/>
          <w:b/>
          <w:i w:val="0"/>
          <w:sz w:val="24"/>
        </w:rPr>
        <w:t xml:space="preserve">For policymakers. </w:t>
      </w:r>
      <w:r>
        <w:rPr>
          <w:rFonts w:ascii="Times New Roman" w:hAnsi="Times New Roman" w:cs="Times New Roman"/>
          <w:rFonts w:ascii="Times New Roman" w:hAnsi="Times New Roman"/>
          <w:b w:val="0"/>
          <w:i w:val="0"/>
          <w:sz w:val="24"/>
        </w:rPr>
        <w:t>Regulatory bodies should develop platform-specific guidelines for health information quality. Current regulatory frameworks were designed for traditional media and do not adequately address the unique characteristics of short-form video, image-based posts, or algorithm-driven content distribution. Minimum disclosure requirements—analogous to JAMA benchmarks—should be considered for health-related social media content, particularly regarding authorship credentials, evidence sourcing, and sponsorship transparency.</w:t>
      </w:r>
    </w:p>
    <w:p>
      <w:pPr>
        <w:spacing w:before="0" w:after="120" w:line="360" w:lineRule="auto"/>
        <w:ind w:firstLine="709"/>
        <w:jc w:val="both"/>
      </w:pPr>
      <w:r>
        <w:rPr>
          <w:rFonts w:ascii="Times New Roman" w:hAnsi="Times New Roman" w:cs="Times New Roman"/>
          <w:rFonts w:ascii="Times New Roman" w:hAnsi="Times New Roman"/>
          <w:b/>
          <w:i w:val="0"/>
          <w:sz w:val="24"/>
        </w:rPr>
        <w:t xml:space="preserve">For consumers. </w:t>
      </w:r>
      <w:r>
        <w:rPr>
          <w:rFonts w:ascii="Times New Roman" w:hAnsi="Times New Roman" w:cs="Times New Roman"/>
          <w:rFonts w:ascii="Times New Roman" w:hAnsi="Times New Roman"/>
          <w:b w:val="0"/>
          <w:i w:val="0"/>
          <w:sz w:val="24"/>
        </w:rPr>
        <w:t>Individuals seeking physical activity information online should cross-reference social media health claims with established medical websites before acting on them. Content that lacks identifiable author credentials, cites no sources, and does not disclose sponsorship should be treated with caution regardless of how many views or likes it has accumulated. Preferencing content from verified healthcare or certified fitness professionals—while not a guarantee of quality—does offer a statistically better starting point.</w:t>
      </w:r>
    </w:p>
    <w:p>
      <w:pPr>
        <w:spacing w:before="240" w:after="120" w:line="360" w:lineRule="auto"/>
        <w:jc w:val="left"/>
      </w:pPr>
      <w:r>
        <w:rPr>
          <w:rFonts w:ascii="Times New Roman" w:hAnsi="Times New Roman" w:cs="Times New Roman"/>
          <w:rFonts w:ascii="Times New Roman" w:hAnsi="Times New Roman"/>
          <w:b/>
          <w:i w:val="0"/>
          <w:sz w:val="24"/>
        </w:rPr>
        <w:t>5.3 Recommendations for Future Research</w:t>
      </w:r>
    </w:p>
    <w:p>
      <w:pPr>
        <w:spacing w:before="0" w:after="120" w:line="360" w:lineRule="auto"/>
        <w:ind w:firstLine="709"/>
        <w:jc w:val="both"/>
      </w:pPr>
      <w:r>
        <w:rPr>
          <w:rFonts w:ascii="Times New Roman" w:hAnsi="Times New Roman" w:cs="Times New Roman"/>
          <w:rFonts w:ascii="Times New Roman" w:hAnsi="Times New Roman"/>
          <w:b w:val="0"/>
          <w:i w:val="0"/>
          <w:sz w:val="24"/>
        </w:rPr>
        <w:t>While this study provides a comprehensive cross-platform snapshot, several avenues warrant further investigation.</w:t>
      </w:r>
    </w:p>
    <w:p>
      <w:pPr>
        <w:spacing w:before="0" w:after="120" w:line="360" w:lineRule="auto"/>
        <w:ind w:firstLine="709"/>
        <w:jc w:val="both"/>
      </w:pPr>
      <w:r>
        <w:rPr>
          <w:rFonts w:ascii="Times New Roman" w:hAnsi="Times New Roman" w:cs="Times New Roman"/>
          <w:rFonts w:ascii="Times New Roman" w:hAnsi="Times New Roman"/>
          <w:b/>
          <w:i w:val="0"/>
          <w:sz w:val="24"/>
        </w:rPr>
        <w:t xml:space="preserve">Longitudinal monitoring. </w:t>
      </w:r>
      <w:r>
        <w:rPr>
          <w:rFonts w:ascii="Times New Roman" w:hAnsi="Times New Roman" w:cs="Times New Roman"/>
          <w:rFonts w:ascii="Times New Roman" w:hAnsi="Times New Roman"/>
          <w:b w:val="0"/>
          <w:i w:val="0"/>
          <w:sz w:val="24"/>
        </w:rPr>
        <w:t>The present study captured a single time point. Future research should track quality changes over time to determine whether platform-level trends are improving, stagnating, or deteriorating. Repeated cross-sectional designs at 6- or 12-month intervals would enable trend analysis and provide evidence for or against the effectiveness of platform policy changes.</w:t>
      </w:r>
    </w:p>
    <w:p>
      <w:pPr>
        <w:spacing w:before="0" w:after="120" w:line="360" w:lineRule="auto"/>
        <w:ind w:firstLine="709"/>
        <w:jc w:val="both"/>
      </w:pPr>
      <w:r>
        <w:rPr>
          <w:rFonts w:ascii="Times New Roman" w:hAnsi="Times New Roman" w:cs="Times New Roman"/>
          <w:rFonts w:ascii="Times New Roman" w:hAnsi="Times New Roman"/>
          <w:b/>
          <w:i w:val="0"/>
          <w:sz w:val="24"/>
        </w:rPr>
        <w:t xml:space="preserve">Multi-language and cross-cultural studies. </w:t>
      </w:r>
      <w:r>
        <w:rPr>
          <w:rFonts w:ascii="Times New Roman" w:hAnsi="Times New Roman" w:cs="Times New Roman"/>
          <w:rFonts w:ascii="Times New Roman" w:hAnsi="Times New Roman"/>
          <w:b w:val="0"/>
          <w:i w:val="0"/>
          <w:sz w:val="24"/>
        </w:rPr>
        <w:t>This study was limited to English-language content. Given that information quality may vary substantially by language and cultural context, replication in other languages—particularly in low- and middle-income country settings where social media may be the only accessible health information source—is essential for global public health planning.</w:t>
      </w:r>
    </w:p>
    <w:p>
      <w:pPr>
        <w:spacing w:before="0" w:after="120" w:line="360" w:lineRule="auto"/>
        <w:ind w:firstLine="709"/>
        <w:jc w:val="both"/>
      </w:pPr>
      <w:r>
        <w:rPr>
          <w:rFonts w:ascii="Times New Roman" w:hAnsi="Times New Roman" w:cs="Times New Roman"/>
          <w:rFonts w:ascii="Times New Roman" w:hAnsi="Times New Roman"/>
          <w:b/>
          <w:i w:val="0"/>
          <w:sz w:val="24"/>
        </w:rPr>
        <w:t xml:space="preserve">Algorithmic impact studies. </w:t>
      </w:r>
      <w:r>
        <w:rPr>
          <w:rFonts w:ascii="Times New Roman" w:hAnsi="Times New Roman" w:cs="Times New Roman"/>
          <w:rFonts w:ascii="Times New Roman" w:hAnsi="Times New Roman"/>
          <w:b w:val="0"/>
          <w:i w:val="0"/>
          <w:sz w:val="24"/>
        </w:rPr>
        <w:t>This study assessed the top 10 results per search term but did not manipulate or control for algorithmic personalisation. Future research using standardised or “clean” accounts (no prior search history) across multiple geographic locations would isolate the role of platform algorithms in shaping which quality tier of content users are most likely to encounter.</w:t>
      </w:r>
    </w:p>
    <w:p>
      <w:pPr>
        <w:spacing w:before="0" w:after="120" w:line="360" w:lineRule="auto"/>
        <w:ind w:firstLine="709"/>
        <w:jc w:val="both"/>
      </w:pPr>
      <w:r>
        <w:rPr>
          <w:rFonts w:ascii="Times New Roman" w:hAnsi="Times New Roman" w:cs="Times New Roman"/>
          <w:rFonts w:ascii="Times New Roman" w:hAnsi="Times New Roman"/>
          <w:b/>
          <w:i w:val="0"/>
          <w:sz w:val="24"/>
        </w:rPr>
        <w:t xml:space="preserve">Intervention studies. </w:t>
      </w:r>
      <w:r>
        <w:rPr>
          <w:rFonts w:ascii="Times New Roman" w:hAnsi="Times New Roman" w:cs="Times New Roman"/>
          <w:rFonts w:ascii="Times New Roman" w:hAnsi="Times New Roman"/>
          <w:b w:val="0"/>
          <w:i w:val="0"/>
          <w:sz w:val="24"/>
        </w:rPr>
        <w:t>Having established the quality baseline, experimental research is needed to test whether targeted interventions—such as creator training programmes, platform labelling systems, or algorithm modifications—can measurably improve social media health content quality. Randomised controlled trials comparing pre- and post-intervention quality scores would provide the strongest evidence base for policy recommendations.</w:t>
      </w:r>
    </w:p>
    <w:p>
      <w:pPr>
        <w:spacing w:before="0" w:after="120" w:line="360" w:lineRule="auto"/>
        <w:ind w:firstLine="709"/>
        <w:jc w:val="both"/>
      </w:pPr>
      <w:r>
        <w:rPr>
          <w:rFonts w:ascii="Times New Roman" w:hAnsi="Times New Roman" w:cs="Times New Roman"/>
          <w:rFonts w:ascii="Times New Roman" w:hAnsi="Times New Roman"/>
          <w:b/>
          <w:i w:val="0"/>
          <w:sz w:val="24"/>
        </w:rPr>
        <w:t xml:space="preserve">User perception and behavioural studies. </w:t>
      </w:r>
      <w:r>
        <w:rPr>
          <w:rFonts w:ascii="Times New Roman" w:hAnsi="Times New Roman" w:cs="Times New Roman"/>
          <w:rFonts w:ascii="Times New Roman" w:hAnsi="Times New Roman"/>
          <w:b w:val="0"/>
          <w:i w:val="0"/>
          <w:sz w:val="24"/>
        </w:rPr>
        <w:t>A critical gap remains in understanding whether consumers can recognise the quality differences documented here. Mixed-methods research pairing quality assessments with user surveys or think-aloud protocols would reveal the extent to which audiences distinguish high- from low-quality physical activity content and how quality perceptions influence health behaviour.</w:t>
      </w:r>
    </w:p>
    <w:p>
      <w:pPr>
        <w:spacing w:before="0" w:after="120" w:line="360" w:lineRule="auto"/>
        <w:ind w:firstLine="709"/>
        <w:jc w:val="both"/>
      </w:pPr>
      <w:r>
        <w:rPr>
          <w:rFonts w:ascii="Times New Roman" w:hAnsi="Times New Roman" w:cs="Times New Roman"/>
          <w:rFonts w:ascii="Times New Roman" w:hAnsi="Times New Roman"/>
          <w:b/>
          <w:i w:val="0"/>
          <w:sz w:val="24"/>
        </w:rPr>
        <w:t xml:space="preserve">Platform-specific quality instruments. </w:t>
      </w:r>
      <w:r>
        <w:rPr>
          <w:rFonts w:ascii="Times New Roman" w:hAnsi="Times New Roman" w:cs="Times New Roman"/>
          <w:rFonts w:ascii="Times New Roman" w:hAnsi="Times New Roman"/>
          <w:b w:val="0"/>
          <w:i w:val="0"/>
          <w:sz w:val="24"/>
        </w:rPr>
        <w:t>DISCERN was originally designed to evaluate written treatment information. Although its adaptation to multimedia content in this study was systematic, the development and validation of quality assessment tools designed natively for short-form video (TikTok, Instagram Reels) and image-based formats would strengthen future research. Such instruments should incorporate visual accuracy, demonstration safety, and accessibility features alongside traditional textual quality criteria.</w:t>
      </w:r>
    </w:p>
    <w:p>
      <w:pPr>
        <w:spacing w:before="120" w:after="240" w:line="360" w:lineRule="auto"/>
        <w:ind w:firstLine="709"/>
        <w:jc w:val="both"/>
      </w:pPr>
      <w:r>
        <w:rPr>
          <w:rFonts w:ascii="Times New Roman" w:hAnsi="Times New Roman" w:cs="Times New Roman"/>
          <w:rFonts w:ascii="Times New Roman" w:hAnsi="Times New Roman"/>
          <w:b w:val="0"/>
          <w:i w:val="0"/>
          <w:sz w:val="24"/>
        </w:rPr>
        <w:t>In conclusion, this study provides robust empirical evidence that the quality of physical activity information varies dramatically across digital platforms, is only partially moderated by creator credentials, and bears no relationship to content popularity. These findings carry direct implications for how public health professionals guide patients, how organisations communicate evidence, and how platforms govern health content. Addressing the quality gap will require coordinated action across clinical practice, digital literacy education, platform governance, and regulatory policy.</w:t>
      </w:r>
    </w:p>
    <w:sectPr w:rsidR="00FC693F" w:rsidRPr="0006063C" w:rsidSect="00034616">
      <w:pgSz w:w="11906" w:h="16838"/>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60" w:lineRule="auto"/>
      <w:jc w:val="both"/>
    </w:pPr>
    <w:rPr>
      <w:rFonts w:ascii="Times New Roman" w:hAnsi="Times New Roman" w:cs="Times New Roman"/>
      <w:rFonts w:ascii="Times New Roman" w:hAnsi="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