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both"/>
      </w:pPr>
      <w:r>
        <w:rPr>
          <w:rFonts w:ascii="Times New Roman" w:hAnsi="Times New Roman" w:cs="Times New Roman"/>
          <w:b/>
          <w:i w:val="0"/>
          <w:color w:val="000000"/>
          <w:sz w:val="28"/>
        </w:rPr>
        <w:t>CHAPTER 3. RESEARCH FINDINGS</w:t>
      </w:r>
    </w:p>
    <w:p>
      <w:pPr>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200 items were sampled across four platforms: traditional websites (n = 50), YouTube (n = 50), TikTok (n = 50), and Instagram (n = 50). Each platform contributed 10 results from each of the five search terms, yielding a balanced representation across content domains. All 200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85, 42.5%), followed by certified fitness professionals (n = 31, 15.5%), general users (n = 30, 15.0%), fitness influencers (n = 27, 13.5%), and healthcare professionals (n = 17, 8.5%). Notably, organisations were particularly prevalent among traditional websites (n = 34, 68.0%) and YouTube (n = 25, 50.0%), reflecting the dominance of institutional content on these platforms. In contrast, TikTok and Instagram were characterised by greater diversity in creator types, with higher proportions of fitness influencers and general users.</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17 (8.5%)</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31 (15.5%)</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12 (24%)</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27 (13.5%)</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30 (15.0%)</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34 (68%)</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85 (42.5%)</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200</w:t>
            </w:r>
          </w:p>
        </w:tc>
      </w:tr>
    </w:tbl>
    <w:p>
      <w:pPr>
        <w:spacing w:line="360" w:lineRule="auto" w:after="120" w:before="0"/>
        <w:jc w:val="both"/>
      </w:pPr>
      <w:r>
        <w:rPr>
          <w:rFonts w:ascii="Times New Roman" w:hAnsi="Times New Roman" w:cs="Times New Roman"/>
          <w:b w:val="0"/>
          <w:i w:val="0"/>
          <w:color w:val="000000"/>
          <w:sz w:val="24"/>
        </w:rPr>
        <w:t>Content formats varied substantially across platforms (Table 2). Traditional websites exclusively comprised text articles (n = 50, 100%). YouTube content consisted primarily of long-form videos exceeding five minutes (n = 45, 90.0%), with five short videos. TikTok featured predominantly short videos under 60 seconds (n = 42, 84.0%), while Instagram was dominated by carousels (n = 37, 74.0%) and image-with-caption posts (n = 13, 26.0%).</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Text Article</w:t>
            </w:r>
          </w:p>
        </w:tc>
        <w:tc>
          <w:tcPr>
            <w:tcW w:type="dxa" w:w="1504"/>
          </w:tcPr>
          <w:p>
            <w:pPr>
              <w:spacing w:line="240" w:lineRule="auto" w:after="40" w:before="0"/>
              <w:jc w:val="center"/>
            </w:pPr>
            <w:r>
              <w:rPr>
                <w:rFonts w:ascii="Times New Roman" w:hAnsi="Times New Roman" w:cs="Times New Roman"/>
                <w:b w:val="0"/>
                <w:i w:val="0"/>
                <w:color w:val="000000"/>
                <w:sz w:val="20"/>
              </w:rPr>
              <w:t>50 (100%)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50 (25.0%)</w:t>
            </w:r>
          </w:p>
        </w:tc>
      </w:tr>
      <w:tr>
        <w:tc>
          <w:tcPr>
            <w:tcW w:type="dxa" w:w="1504"/>
          </w:tcPr>
          <w:p>
            <w:pPr>
              <w:spacing w:line="240" w:lineRule="auto" w:after="40" w:before="0"/>
              <w:jc w:val="center"/>
            </w:pPr>
            <w:r>
              <w:rPr>
                <w:rFonts w:ascii="Times New Roman" w:hAnsi="Times New Roman" w:cs="Times New Roman"/>
                <w:b w:val="0"/>
                <w:i w:val="0"/>
                <w:color w:val="000000"/>
                <w:sz w:val="20"/>
              </w:rPr>
              <w:t>Long Video (&gt;5 min)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(90%)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(22.5%)</w:t>
            </w:r>
          </w:p>
        </w:tc>
      </w:tr>
      <w:tr>
        <w:tc>
          <w:tcPr>
            <w:tcW w:type="dxa" w:w="1504"/>
          </w:tcPr>
          <w:p>
            <w:pPr>
              <w:spacing w:line="240" w:lineRule="auto" w:after="40" w:before="0"/>
              <w:jc w:val="center"/>
            </w:pPr>
            <w:r>
              <w:rPr>
                <w:rFonts w:ascii="Times New Roman" w:hAnsi="Times New Roman" w:cs="Times New Roman"/>
                <w:b w:val="0"/>
                <w:i w:val="0"/>
                <w:color w:val="000000"/>
                <w:sz w:val="20"/>
              </w:rPr>
              <w:t>Short Video (&lt;60 s)</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42 (84%)</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47 (23.5%)</w:t>
            </w:r>
          </w:p>
        </w:tc>
      </w:tr>
      <w:tr>
        <w:tc>
          <w:tcPr>
            <w:tcW w:type="dxa" w:w="1504"/>
          </w:tcPr>
          <w:p>
            <w:pPr>
              <w:spacing w:line="240" w:lineRule="auto" w:after="40" w:before="0"/>
              <w:jc w:val="center"/>
            </w:pPr>
            <w:r>
              <w:rPr>
                <w:rFonts w:ascii="Times New Roman" w:hAnsi="Times New Roman" w:cs="Times New Roman"/>
                <w:b w:val="0"/>
                <w:i w:val="0"/>
                <w:color w:val="000000"/>
                <w:sz w:val="20"/>
              </w:rPr>
              <w:t>Image + Caption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21 (10.5%)</w:t>
            </w:r>
          </w:p>
        </w:tc>
      </w:tr>
      <w:tr>
        <w:tc>
          <w:tcPr>
            <w:tcW w:type="dxa" w:w="1504"/>
          </w:tcPr>
          <w:p>
            <w:pPr>
              <w:spacing w:line="240" w:lineRule="auto" w:after="40" w:before="0"/>
              <w:jc w:val="center"/>
            </w:pPr>
            <w:r>
              <w:rPr>
                <w:rFonts w:ascii="Times New Roman" w:hAnsi="Times New Roman" w:cs="Times New Roman"/>
                <w:b w:val="0"/>
                <w:i w:val="0"/>
                <w:color w:val="000000"/>
                <w:sz w:val="20"/>
              </w:rPr>
              <w:t>Carousel</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37 (74%)</w:t>
            </w:r>
          </w:p>
        </w:tc>
        <w:tc>
          <w:tcPr>
            <w:tcW w:type="dxa" w:w="1504"/>
          </w:tcPr>
          <w:p>
            <w:pPr>
              <w:spacing w:line="240" w:lineRule="auto" w:after="40" w:before="0"/>
              <w:jc w:val="center"/>
            </w:pPr>
            <w:r>
              <w:rPr>
                <w:rFonts w:ascii="Times New Roman" w:hAnsi="Times New Roman" w:cs="Times New Roman"/>
                <w:b w:val="0"/>
                <w:i w:val="0"/>
                <w:color w:val="000000"/>
                <w:sz w:val="20"/>
              </w:rPr>
              <w:t>37 (18.5%)</w:t>
            </w:r>
          </w:p>
        </w:tc>
      </w:tr>
    </w:tbl>
    <w:p>
      <w:pPr>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0.671) and Attribution (kappa = 0.615) demonstrated substantial agreement (Landis &amp; Koch, 1977). However, Disclosure (kappa = 0.273) and Currency (kappa = 0.216)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38.71 (SD = 10.09), with a median of 38.0 (range: 17–64). Traditional websites achieved the highest median score (Mdn = 48.5, IQR = 9.75), followed by YouTube (Mdn = 42.0, IQR = 9.00), TikTok (Mdn = 35.0, IQR = 8.50), and Instagram (Mdn = 27.5, IQR = 9.00). Using commonly adopted thresholds from subsequent DISCERN literature (16–26 = very poor, 27–38 = poor, 39–50 = fair, 51–62 = good, 63–80 = excellent), the modal category for websites was 'fair' (44%), for YouTube 'fair' (48%), for TikTok 'poor' (54%),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93.84, p &lt; .001. The estimated eta-squared (eta-squared = 0.46)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2088, p &lt; .001, r = -0.670), YouTube versus TikTok (U = 1859, p &lt; .001, r = -0.487), and TikTok versus Instagram (U = 1883, p &lt; .001, r = -0.506)—all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5). A Kruskal-Wallis test on JAMA total scores (range 0–4) revealed no statistically significant difference across platforms, H(3) = 5.43, p = .143. This finding indicates that, when aggregated across all four criteria, platforms did not differ meaningfully in overall JAMA compliance.</w:t>
      </w:r>
    </w:p>
    <w:p>
      <w:pPr>
        <w:spacing w:line="360" w:lineRule="auto" w:after="120" w:before="0"/>
        <w:jc w:val="both"/>
      </w:pPr>
      <w:r>
        <w:rPr>
          <w:rFonts w:ascii="Times New Roman" w:hAnsi="Times New Roman" w:cs="Times New Roman"/>
          <w:b w:val="0"/>
          <w:i w:val="0"/>
          <w:color w:val="000000"/>
          <w:sz w:val="24"/>
        </w:rPr>
        <w:t>However, chi-square tests on individual JAMA criteria revealed significant platform differences for three of the four benchmarks. Attribution differed significantly across platforms (p &lt; .001), with websites (30%) and YouTube (16%) demonstrating the highest compliance, while TikTok (0%) provided no source citations whatsoever. Disclosure also differed significantly (p = .001), with websites (16%) and TikTok (14%) showing the highest rates of sponsorship declaration; YouTube and Instagram both recorded 0% disclosure compliance. Currency showed significant variation (p &lt; .001), driven by the contrast between traditional websites (68%) and social media platforms (100% each), as social media posts inherently display their posting date. Authorship did not differ significantly across platforms (p = .104),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48) and non-professional (fitness influencers, general users, and organisations, n = 152) categories. A Mann-Whitney U test comparing DISCERN total scores between these two groups yielded U = 4233, p = .094, r = -0.160. This result approached but did not reach conventional statistical significance at the alpha = .05 level, with a small effect size. Professional creators achieved a median DISCERN score of 41.0, compared with 37.5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85, 42.5%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48, Mdn = 41.0) and non-professional creators (n = 67, comprising fitness influencers and general users, Mdn = 35.0) remained non-significant, though the trend was more pronounced.</w:t>
      </w:r>
    </w:p>
    <w:p>
      <w:pPr>
        <w:spacing w:line="360" w:lineRule="auto" w:after="120" w:before="0"/>
        <w:jc w:val="both"/>
      </w:pPr>
      <w:r>
        <w:rPr>
          <w:rFonts w:ascii="Times New Roman" w:hAnsi="Times New Roman" w:cs="Times New Roman"/>
          <w:b w:val="0"/>
          <w:i w:val="0"/>
          <w:color w:val="000000"/>
          <w:sz w:val="24"/>
        </w:rPr>
        <w:t>A more nuanced picture emerged from the Kruskal-Wallis test comparing all five creator types individually, H(4) = 11.26, p = .024. General users scored lowest (Mdn = 33.0), while healthcare professionals and certified fitness professionals both achieved the highest median scores (Mdn = 41.0 each). Fitness influencers (Mdn = 36.0) and organisations (Mdn = 39.0) fell between these extremes. This pattern suggests that while the binary professional/non-professional distinction may lack sufficient sensitivity, meaningful quality differences exist among the five creator categories.</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(social media platforms only, n = 150 for views; N = 200 for likes and comments), views showed a negligible and non-significant correlation with DISCERN scores (rho = -0.073, p = .571). However, both likes (rho = 0.413, p &lt; .001) and comments (rho = 0.415, p &lt; .001) exhibited moderate positive correlations with quality scores.</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confounded association—an instance of Simpson's paradox. The positive overall relationship is driven largely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the likes–quality correlation was not significant for any platform: YouTube (rho = -0.279, p = .063), TikTok (rho = 0.280, p = .098), and Instagram (rho = -0.013, p = .936). This pattern strongly suggests that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-0.316, p = .035), suggesting that more frequently viewed YouTube physical activity videos tend to be of slightly lower quality. Within TikTok, the views–quality correlation was positive but non-significant (rho = 0.249, p = .318).</w:t>
      </w:r>
    </w:p>
    <w:p>
      <w:pPr>
        <w:spacing w:line="240" w:lineRule="auto" w:after="80" w:before="0"/>
        <w:jc w:val="center"/>
      </w:pPr>
      <w:r>
        <w:drawing>
          <wp:inline xmlns:a="http://schemas.openxmlformats.org/drawingml/2006/main" xmlns:pic="http://schemas.openxmlformats.org/drawingml/2006/picture">
            <wp:extent cx="5029200" cy="1736151"/>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1736151"/>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separated by platform. Trend lines are fitted using locally weighted smoothing (LOESS).</w:t>
      </w:r>
    </w:p>
    <w:p>
      <w:pPr>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and Q5 ('Is it clear when the information used or reported was produced?') showed the steepest platform gradients, with traditional websites scoring substantially higher than social media on these transparency-related items.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Exploratory analysis of content format revealed notable differences in DISCERN scores. Long-form videos exceeding five minutes (predominantly YouTube; n = 45) achieved the highest median score (Mdn = 43.0, M = 43.1), followed by text articles (n = 50, Mdn = 48.5, M = 47.0, which were exclusive to websites). Short videos under 60 seconds (n = 18, Mdn = 31.5, M = 32.8) and carousel posts (n = 50, Mdn = 27.5, M = 29.0) scored substantially lower. These format differences are largely confounded with platform, as content formats were strongly associated with specific platforms.</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27.72,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