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both"/>
      </w:pPr>
      <w:r>
        <w:rPr>
          <w:rFonts w:ascii="Times New Roman" w:hAnsi="Times New Roman" w:cs="Times New Roman"/>
          <w:b/>
          <w:i w:val="0"/>
          <w:color w:val="000000"/>
          <w:sz w:val="28"/>
        </w:rPr>
        <w:t>CHAPTER 4. DISCUSSION</w:t>
      </w:r>
    </w:p>
    <w:p>
      <w:pPr>
        <w:spacing w:line="360" w:lineRule="auto" w:after="200" w:before="0"/>
        <w:jc w:val="both"/>
      </w:pPr>
      <w:r>
        <w:rPr>
          <w:rFonts w:ascii="Times New Roman" w:hAnsi="Times New Roman" w:cs="Times New Roman"/>
          <w:b/>
          <w:i w:val="0"/>
          <w:color w:val="000000"/>
          <w:sz w:val="26"/>
        </w:rPr>
        <w:t>4.1 Summary of Key Findings</w:t>
      </w:r>
    </w:p>
    <w:p>
      <w:pPr>
        <w:spacing w:line="360" w:lineRule="auto" w:after="120" w:before="0"/>
        <w:jc w:val="both"/>
      </w:pPr>
      <w:r>
        <w:rPr>
          <w:rFonts w:ascii="Times New Roman" w:hAnsi="Times New Roman" w:cs="Times New Roman"/>
          <w:b w:val="0"/>
          <w:i w:val="0"/>
          <w:color w:val="000000"/>
          <w:sz w:val="24"/>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93.84, p &lt; .001, with a large effect size. All six pairwise comparisons were statistically significant, although the Website versus YouTube contrast yielded a notably smaller effect (p = .038, r = -0.316) compared with the other five pairs (all p &lt; .001).</w:t>
      </w:r>
    </w:p>
    <w:p>
      <w:pPr>
        <w:spacing w:line="360" w:lineRule="auto" w:after="120" w:before="0"/>
        <w:jc w:val="both"/>
      </w:pPr>
      <w:r>
        <w:rPr>
          <w:rFonts w:ascii="Times New Roman" w:hAnsi="Times New Roman" w:cs="Times New Roman"/>
          <w:b w:val="0"/>
          <w:i w:val="0"/>
          <w:color w:val="000000"/>
          <w:sz w:val="24"/>
        </w:rPr>
        <w:t>JAMA benchmark compliance did not differ significantly across platforms when aggregated (H[3] = 5.43, p = .143), though significant platform differences emerged for individual criteria—Attribution, Disclosure, and Currency—but not Authorship. Creator type exerted a marginally non-significant effect on quality in the binary analysis (p = .094), though the five-category Kruskal-Wallis test was significant (p = .024). Engagement–quality correlations were largely non-significant within platforms, and the apparent overall positive correlation between likes and quality was identified as a Simpson's paradox artefact.</w:t>
      </w:r>
    </w:p>
    <w:p>
      <w:pPr>
        <w:spacing w:line="360" w:lineRule="auto" w:after="200" w:before="0"/>
        <w:jc w:val="both"/>
      </w:pPr>
      <w:r>
        <w:rPr>
          <w:rFonts w:ascii="Times New Roman" w:hAnsi="Times New Roman" w:cs="Times New Roman"/>
          <w:b/>
          <w:i w:val="0"/>
          <w:color w:val="000000"/>
          <w:sz w:val="26"/>
        </w:rPr>
        <w:t>4.2 Comparison with Existing Literature</w:t>
      </w:r>
    </w:p>
    <w:p>
      <w:pPr>
        <w:spacing w:line="360" w:lineRule="auto" w:after="120" w:before="0"/>
        <w:jc w:val="both"/>
      </w:pPr>
      <w:r>
        <w:rPr>
          <w:rFonts w:ascii="Times New Roman" w:hAnsi="Times New Roman" w:cs="Times New Roman"/>
          <w:b w:val="0"/>
          <w:i w:val="0"/>
          <w:color w:val="000000"/>
          <w:sz w:val="24"/>
        </w:rPr>
        <w:t>The finding that traditional websites outperform social media platforms in health information quality is consistent with a substantial body of prior research. The 2025 JMIR meta-analysis reported a pooled DISCERN score of 43.58 out of 100 (95% CI [37.80, 49.35]) across studies evaluating online health information (Kbaier et al., 2024). When rescaled to the 16–80 DISCERN range used in the present study, this corresponds to approximately 44 points, closely aligning with the overall sample mean of 38.71 observed here. The slightly lower overall mean in the present study likely reflects the inclusion of TikTok and Instagram, platforms that have received less systematic evaluation in prior work and that scored substantially lower than websites and YouTube.</w:t>
      </w:r>
    </w:p>
    <w:p>
      <w:pPr>
        <w:spacing w:line="360" w:lineRule="auto" w:after="120" w:before="0"/>
        <w:jc w:val="both"/>
      </w:pPr>
      <w:r>
        <w:rPr>
          <w:rFonts w:ascii="Times New Roman" w:hAnsi="Times New Roman" w:cs="Times New Roman"/>
          <w:b w:val="0"/>
          <w:i w:val="0"/>
          <w:color w:val="000000"/>
          <w:sz w:val="24"/>
        </w:rPr>
        <w:t>The Instagram findings are particularly noteworthy. With 42% of items falling in the 'very poor' category and a median DISCERN score of 27.5, Instagram emerged as the lowest-quality platform by a substantial margin. This aligns with concerns raised by de Moel-Mandel et al. (2025), who found that only 10% of TikTok physical activity content was produced by medical professionals,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pPr>
        <w:spacing w:line="360" w:lineRule="auto" w:after="120" w:before="0"/>
        <w:jc w:val="both"/>
      </w:pPr>
      <w:r>
        <w:rPr>
          <w:rFonts w:ascii="Times New Roman" w:hAnsi="Times New Roman" w:cs="Times New Roman"/>
          <w:b w:val="0"/>
          <w:i w:val="0"/>
          <w:color w:val="000000"/>
          <w:sz w:val="24"/>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 in health education contexts (Madathil et al., 2015).</w:t>
      </w:r>
    </w:p>
    <w:p>
      <w:pPr>
        <w:spacing w:line="360" w:lineRule="auto" w:after="120" w:before="0"/>
        <w:jc w:val="both"/>
      </w:pPr>
      <w:r>
        <w:rPr>
          <w:rFonts w:ascii="Times New Roman" w:hAnsi="Times New Roman" w:cs="Times New Roman"/>
          <w:b w:val="0"/>
          <w:i w:val="0"/>
          <w:color w:val="000000"/>
          <w:sz w:val="24"/>
        </w:rPr>
        <w:t>The non-significant JAMA aggregate result (p = .143) alongside significant individual criteria is instructive. It suggests that while platforms differ in specific transparency practices, the overall level of formal quality indicators (authorship, attribution, disclosure, currency) remains uniformly low across the digital landscape. The universally poor attribution rates—even websites achieved only 30% compliance—indicate a systemic deficit in evidence-based communication of physical activity information, regardless of platform.</w:t>
      </w:r>
    </w:p>
    <w:p>
      <w:pPr>
        <w:spacing w:line="360" w:lineRule="auto" w:after="200" w:before="0"/>
        <w:jc w:val="both"/>
      </w:pPr>
      <w:r>
        <w:rPr>
          <w:rFonts w:ascii="Times New Roman" w:hAnsi="Times New Roman" w:cs="Times New Roman"/>
          <w:b/>
          <w:i w:val="0"/>
          <w:color w:val="000000"/>
          <w:sz w:val="26"/>
        </w:rPr>
        <w:t>4.3 Implications for Public Health Practice</w:t>
      </w:r>
    </w:p>
    <w:p>
      <w:pPr>
        <w:spacing w:line="360" w:lineRule="auto" w:after="120" w:before="0"/>
        <w:jc w:val="both"/>
      </w:pPr>
      <w:r>
        <w:rPr>
          <w:rFonts w:ascii="Times New Roman" w:hAnsi="Times New Roman" w:cs="Times New Roman"/>
          <w:b w:val="0"/>
          <w:i w:val="0"/>
          <w:color w:val="000000"/>
          <w:sz w:val="24"/>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 information quality within the constraints of each platform.</w:t>
      </w:r>
    </w:p>
    <w:p>
      <w:pPr>
        <w:spacing w:line="360" w:lineRule="auto" w:after="120" w:before="0"/>
        <w:jc w:val="both"/>
      </w:pPr>
      <w:r>
        <w:rPr>
          <w:rFonts w:ascii="Times New Roman" w:hAnsi="Times New Roman" w:cs="Times New Roman"/>
          <w:b w:val="0"/>
          <w:i w:val="0"/>
          <w:color w:val="000000"/>
          <w:sz w:val="24"/>
        </w:rPr>
        <w:t>Second, the finding that engagement metrics do not predict quality within platforms undermines the common assumption that popular content is reliable content. This has implications for health literacy education: consumers should be taught that high view counts and engagement do not signal information trustworthiness. The negative correlation between views and quality on YouTube (rho = -0.316, p = .035) is particularly concerning, as it suggests that the platform's recommendation algorithm may inadvertently promote lower-quality content.</w:t>
      </w:r>
    </w:p>
    <w:p>
      <w:pPr>
        <w:spacing w:line="360" w:lineRule="auto" w:after="120" w:before="0"/>
        <w:jc w:val="both"/>
      </w:pPr>
      <w:r>
        <w:rPr>
          <w:rFonts w:ascii="Times New Roman" w:hAnsi="Times New Roman" w:cs="Times New Roman"/>
          <w:b w:val="0"/>
          <w:i w:val="0"/>
          <w:color w:val="000000"/>
          <w:sz w:val="24"/>
        </w:rPr>
        <w:t>Third, the creator type analysis suggests that professional credentials alone are an insufficient heuristic for quality, given the non-significant binary comparison (p = .094). However, the significant five-category analysis (p = .024) and the consistently lower scores among general users (Mdn = 33.0) indicate that content from unverified general users should be treated with particular caution. Public health communication strategies could leverage platform verification features to help users identify credentialed sources.</w:t>
      </w:r>
    </w:p>
    <w:p>
      <w:pPr>
        <w:spacing w:line="360" w:lineRule="auto" w:after="200" w:before="0"/>
        <w:jc w:val="both"/>
      </w:pPr>
      <w:r>
        <w:rPr>
          <w:rFonts w:ascii="Times New Roman" w:hAnsi="Times New Roman" w:cs="Times New Roman"/>
          <w:b/>
          <w:i w:val="0"/>
          <w:color w:val="000000"/>
          <w:sz w:val="26"/>
        </w:rPr>
        <w:t>4.4 Strengths of the Study</w:t>
      </w:r>
    </w:p>
    <w:p>
      <w:pPr>
        <w:spacing w:line="360" w:lineRule="auto" w:after="120" w:before="0"/>
        <w:jc w:val="both"/>
      </w:pPr>
      <w:r>
        <w:rPr>
          <w:rFonts w:ascii="Times New Roman" w:hAnsi="Times New Roman" w:cs="Times New Roman"/>
          <w:b w:val="0"/>
          <w:i w:val="0"/>
          <w:color w:val="000000"/>
          <w:sz w:val="24"/>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pPr>
        <w:spacing w:line="360" w:lineRule="auto" w:after="120" w:before="0"/>
        <w:jc w:val="both"/>
      </w:pPr>
      <w:r>
        <w:rPr>
          <w:rFonts w:ascii="Times New Roman" w:hAnsi="Times New Roman" w:cs="Times New Roman"/>
          <w:b w:val="0"/>
          <w:i w:val="0"/>
          <w:color w:val="000000"/>
          <w:sz w:val="24"/>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200 items across four platforms is larger than many comparable studies, affording sufficient statistical power for the planned analyses. Furthermore, the operationalisation of DISCERN and JAMA criteria for social media contexts was documented transparently, enabling replication.</w:t>
      </w:r>
    </w:p>
    <w:p>
      <w:pPr>
        <w:spacing w:line="360" w:lineRule="auto" w:after="200" w:before="0"/>
        <w:jc w:val="both"/>
      </w:pPr>
      <w:r>
        <w:rPr>
          <w:rFonts w:ascii="Times New Roman" w:hAnsi="Times New Roman" w:cs="Times New Roman"/>
          <w:b/>
          <w:i w:val="0"/>
          <w:color w:val="000000"/>
          <w:sz w:val="26"/>
        </w:rPr>
        <w:t>4.5 Limitations</w:t>
      </w:r>
    </w:p>
    <w:p>
      <w:pPr>
        <w:spacing w:line="360" w:lineRule="auto" w:after="120" w:before="0"/>
        <w:jc w:val="both"/>
      </w:pPr>
      <w:r>
        <w:rPr>
          <w:rFonts w:ascii="Times New Roman" w:hAnsi="Times New Roman" w:cs="Times New Roman"/>
          <w:b w:val="0"/>
          <w:i w:val="0"/>
          <w:color w:val="000000"/>
          <w:sz w:val="24"/>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pPr>
        <w:spacing w:line="360" w:lineRule="auto" w:after="120" w:before="0"/>
        <w:jc w:val="both"/>
      </w:pPr>
      <w:r>
        <w:rPr>
          <w:rFonts w:ascii="Times New Roman" w:hAnsi="Times New Roman" w:cs="Times New Roman"/>
          <w:b w:val="0"/>
          <w:i w:val="0"/>
          <w:color w:val="000000"/>
          <w:sz w:val="24"/>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pPr>
        <w:spacing w:line="360" w:lineRule="auto" w:after="120" w:before="0"/>
        <w:jc w:val="both"/>
      </w:pPr>
      <w:r>
        <w:rPr>
          <w:rFonts w:ascii="Times New Roman" w:hAnsi="Times New Roman" w:cs="Times New Roman"/>
          <w:b w:val="0"/>
          <w:i w:val="0"/>
          <w:color w:val="000000"/>
          <w:sz w:val="24"/>
        </w:rPr>
        <w:t>Third, and critically, the scoring of video and image-based content relied primarily on visible metadata, captions, and descriptions rather than full content transcription. This approach may systematically underestimate the quality of social media content where information is communicated verbally or visually rather than in text. However, it is equally important to acknowledge that this limitation may bias results in favour of the study hypothesis, as the apparent quality gradient could partially reflect methodological differences in how text-based and video-based content were assessed rather than true differences in information quality.</w:t>
      </w:r>
    </w:p>
    <w:p>
      <w:pPr>
        <w:spacing w:line="360" w:lineRule="auto" w:after="120" w:before="0"/>
        <w:jc w:val="both"/>
      </w:pPr>
      <w:r>
        <w:rPr>
          <w:rFonts w:ascii="Times New Roman" w:hAnsi="Times New Roman" w:cs="Times New Roman"/>
          <w:b w:val="0"/>
          <w:i w:val="0"/>
          <w:color w:val="000000"/>
          <w:sz w:val="24"/>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pPr>
        <w:spacing w:line="360" w:lineRule="auto" w:after="120" w:before="0"/>
        <w:jc w:val="both"/>
      </w:pPr>
      <w:r>
        <w:rPr>
          <w:rFonts w:ascii="Times New Roman" w:hAnsi="Times New Roman" w:cs="Times New Roman"/>
          <w:b w:val="0"/>
          <w:i w:val="0"/>
          <w:color w:val="000000"/>
          <w:sz w:val="24"/>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pPr>
        <w:spacing w:line="360" w:lineRule="auto" w:after="120" w:before="0"/>
        <w:jc w:val="both"/>
      </w:pPr>
      <w:r>
        <w:rPr>
          <w:rFonts w:ascii="Times New Roman" w:hAnsi="Times New Roman" w:cs="Times New Roman"/>
          <w:b w:val="0"/>
          <w:i w:val="0"/>
          <w:color w:val="000000"/>
          <w:sz w:val="24"/>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pPr>
        <w:spacing w:line="360" w:lineRule="auto" w:after="120" w:before="0"/>
        <w:jc w:val="both"/>
      </w:pPr>
      <w:r>
        <w:rPr>
          <w:rFonts w:ascii="Times New Roman" w:hAnsi="Times New Roman" w:cs="Times New Roman"/>
          <w:b w:val="0"/>
          <w:i w:val="0"/>
          <w:color w:val="000000"/>
          <w:sz w:val="24"/>
        </w:rPr>
        <w:t>Seventh, the classification of organisations (n = 85, 42.5%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pPr>
        <w:spacing w:line="360" w:lineRule="auto" w:after="120" w:before="0"/>
        <w:jc w:val="both"/>
      </w:pPr>
      <w:r>
        <w:rPr>
          <w:rFonts w:ascii="Times New Roman" w:hAnsi="Times New Roman" w:cs="Times New Roman"/>
          <w:b w:val="0"/>
          <w:i w:val="0"/>
          <w:color w:val="000000"/>
          <w:sz w:val="24"/>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These cut-points have been adopted from subsequent studies and should be treated as conventional rather than formally validated boundaries.</w:t>
      </w:r>
    </w:p>
    <w:p>
      <w:pPr>
        <w:spacing w:line="360" w:lineRule="auto" w:after="200" w:before="0"/>
        <w:jc w:val="both"/>
      </w:pPr>
      <w:r>
        <w:rPr>
          <w:rFonts w:ascii="Times New Roman" w:hAnsi="Times New Roman" w:cs="Times New Roman"/>
          <w:b/>
          <w:i w:val="0"/>
          <w:color w:val="000000"/>
          <w:sz w:val="26"/>
        </w:rPr>
        <w:t>4.6 Recommendations for Future Research</w:t>
      </w:r>
    </w:p>
    <w:p>
      <w:pPr>
        <w:spacing w:line="360" w:lineRule="auto" w:after="120" w:before="0"/>
        <w:jc w:val="both"/>
      </w:pPr>
      <w:r>
        <w:rPr>
          <w:rFonts w:ascii="Times New Roman" w:hAnsi="Times New Roman" w:cs="Times New Roman"/>
          <w:b w:val="0"/>
          <w:i w:val="0"/>
          <w:color w:val="000000"/>
          <w:sz w:val="24"/>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coding of audio-visual content to address the metadata-only scoring limitation identified here. Fourth, the role of platform algorithms in promoting or suppressing high-quality health content warrants dedicated investigation, particularly given the negative views–quality correlation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