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CHAPTER 1. LITERATURE REVIEW</w:t>
      </w:r>
    </w:p>
    <w:p/>
    <w:p>
      <w:pPr>
        <w:pStyle w:val="Heading2"/>
      </w:pPr>
      <w:r>
        <w:rPr>
          <w:rFonts w:ascii="Times New Roman" w:hAnsi="Times New Roman"/>
          <w:color w:val="000000"/>
        </w:rPr>
        <w:t>1.1 Digital Transformation of Health Information Seeking</w:t>
      </w:r>
    </w:p>
    <w:p/>
    <w:p>
      <w:pPr>
        <w:spacing w:line="360" w:lineRule="auto"/>
        <w:jc w:val="both"/>
      </w:pPr>
      <w:r>
        <w:rPr>
          <w:rFonts w:ascii="Times New Roman" w:hAnsi="Times New Roman"/>
          <w:sz w:val="24"/>
        </w:rP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physical activity (PA) promotion, as individuals increasingly turn to online platforms to learn how, when, and why to exercise.</w:t>
      </w:r>
    </w:p>
    <w:p/>
    <w:p>
      <w:pPr>
        <w:spacing w:line="360" w:lineRule="auto"/>
        <w:jc w:val="both"/>
      </w:pPr>
      <w:r>
        <w:rPr>
          <w:rFonts w:ascii="Times New Roman" w:hAnsi="Times New Roman"/>
          <w:sz w:val="24"/>
        </w:rP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p>
      <w:pPr>
        <w:spacing w:line="360" w:lineRule="auto"/>
        <w:jc w:val="both"/>
      </w:pPr>
      <w:r>
        <w:rPr>
          <w:rFonts w:ascii="Times New Roman" w:hAnsi="Times New Roman"/>
          <w:sz w:val="24"/>
        </w:rP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The percentage of United States adults using social media rose from 5% in 2005 to approximately 72% by 2021 (Pew Research Center, 2021), and health-related engagement on these platforms grew in tandem. By 2022, 58.9% of American adults reported watching health-related videos on YouTube, up from 39.7% only two years earlier (Finney Rutten et al., 2019). This shift from curated, editorially controlled websites to user-generated content ecosystems has introduced new challenges for information quality assurance.</w:t>
      </w:r>
    </w:p>
    <w:p/>
    <w:p>
      <w:pPr>
        <w:spacing w:line="360" w:lineRule="auto"/>
        <w:jc w:val="both"/>
      </w:pPr>
      <w:r>
        <w:rPr>
          <w:rFonts w:ascii="Times New Roman" w:hAnsi="Times New Roman"/>
          <w:sz w:val="24"/>
        </w:rP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p>
      <w:pPr>
        <w:spacing w:line="360" w:lineRule="auto"/>
        <w:jc w:val="both"/>
      </w:pPr>
      <w:r>
        <w:rPr>
          <w:rFonts w:ascii="Times New Roman" w:hAnsi="Times New Roman"/>
          <w:sz w:val="24"/>
        </w:rP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p>
      <w:pPr>
        <w:pStyle w:val="Heading2"/>
      </w:pPr>
      <w:r>
        <w:rPr>
          <w:rFonts w:ascii="Times New Roman" w:hAnsi="Times New Roman"/>
          <w:color w:val="000000"/>
        </w:rPr>
        <w:t>1.2 Theoretical Frameworks</w:t>
      </w:r>
    </w:p>
    <w:p/>
    <w:p>
      <w:pPr>
        <w:spacing w:line="360" w:lineRule="auto"/>
        <w:jc w:val="both"/>
      </w:pPr>
      <w:r>
        <w:rPr>
          <w:rFonts w:ascii="Times New Roman" w:hAnsi="Times New Roman"/>
          <w:sz w:val="24"/>
        </w:rPr>
        <w:t>Several theoretical frameworks underpin the study of health information quality in digital environments. Together, they provide a multidimensional lens through which the quality of physical activity information across platforms can be understood and assessed.</w:t>
      </w:r>
    </w:p>
    <w:p/>
    <w:p>
      <w:pPr>
        <w:spacing w:line="360" w:lineRule="auto"/>
        <w:jc w:val="both"/>
      </w:pPr>
      <w:r>
        <w:rPr>
          <w:rFonts w:ascii="Times New Roman" w:hAnsi="Times New Roman"/>
          <w:sz w:val="24"/>
        </w:rP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p>
      <w:pPr>
        <w:spacing w:line="360" w:lineRule="auto"/>
        <w:jc w:val="both"/>
      </w:pPr>
      <w:r>
        <w:rPr>
          <w:rFonts w:ascii="Times New Roman" w:hAnsi="Times New Roman"/>
          <w:sz w:val="24"/>
        </w:rP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p>
      <w:pPr>
        <w:spacing w:line="360" w:lineRule="auto"/>
        <w:jc w:val="both"/>
      </w:pPr>
      <w:r>
        <w:rPr>
          <w:rFonts w:ascii="Times New Roman" w:hAnsi="Times New Roman"/>
          <w:sz w:val="24"/>
        </w:rPr>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p>
      <w:pPr>
        <w:spacing w:line="360" w:lineRule="auto"/>
        <w:jc w:val="both"/>
      </w:pPr>
      <w:r>
        <w:rPr>
          <w:rFonts w:ascii="Times New Roman" w:hAnsi="Times New Roman"/>
          <w:sz w:val="24"/>
        </w:rP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physically active lifestyles. Thus, poor-quality PA information on digital platforms may not merely misinform but may actively undermine the motivational pathways that the HBM describes.</w:t>
      </w:r>
    </w:p>
    <w:p/>
    <w:p>
      <w:pPr>
        <w:pStyle w:val="Heading2"/>
      </w:pPr>
      <w:r>
        <w:rPr>
          <w:rFonts w:ascii="Times New Roman" w:hAnsi="Times New Roman"/>
          <w:color w:val="000000"/>
        </w:rPr>
        <w:t>1.3 Traditional Websites as Sources of Health and Physical Activity Information</w:t>
      </w:r>
    </w:p>
    <w:p/>
    <w:p>
      <w:pPr>
        <w:spacing w:line="360" w:lineRule="auto"/>
        <w:jc w:val="both"/>
      </w:pPr>
      <w:r>
        <w:rPr>
          <w:rFonts w:ascii="Times New Roman" w:hAnsi="Times New Roman"/>
          <w:sz w:val="24"/>
        </w:rP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health publishers.</w:t>
      </w:r>
    </w:p>
    <w:p/>
    <w:p>
      <w:pPr>
        <w:spacing w:line="360" w:lineRule="auto"/>
        <w:jc w:val="both"/>
      </w:pPr>
      <w:r>
        <w:rPr>
          <w:rFonts w:ascii="Times New Roman" w:hAnsi="Times New Roman"/>
          <w:sz w:val="24"/>
        </w:rP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certification was voluntary and not universally adopted, meaning that consumers had no reliable mechanism for identifying trustworthy websites without actively checking certification status.</w:t>
      </w:r>
    </w:p>
    <w:p/>
    <w:p>
      <w:pPr>
        <w:spacing w:line="360" w:lineRule="auto"/>
        <w:jc w:val="both"/>
      </w:pPr>
      <w:r>
        <w:rPr>
          <w:rFonts w:ascii="Times New Roman" w:hAnsi="Times New Roman"/>
          <w:sz w:val="24"/>
        </w:rP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media-related sources received the lowest scores at 44% (poor). These findings underscore that while traditional websites are generally higher in quality than user-generated social media content, there remains substantial variability in quality even within this category.</w:t>
      </w:r>
    </w:p>
    <w:p/>
    <w:p>
      <w:pPr>
        <w:spacing w:line="360" w:lineRule="auto"/>
        <w:jc w:val="both"/>
      </w:pPr>
      <w:r>
        <w:rPr>
          <w:rFonts w:ascii="Times New Roman" w:hAnsi="Times New Roman"/>
          <w:sz w:val="24"/>
        </w:rPr>
        <w:t>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present PA information that is incomplete, sensationalised, or influenced by commercial interests, potentially leading consumers toward ineffective or unsafe exercise practices.</w:t>
      </w:r>
    </w:p>
    <w:p/>
    <w:p>
      <w:pPr>
        <w:pStyle w:val="Heading2"/>
      </w:pPr>
      <w:r>
        <w:rPr>
          <w:rFonts w:ascii="Times New Roman" w:hAnsi="Times New Roman"/>
          <w:color w:val="000000"/>
        </w:rPr>
        <w:t>1.4 Social Media Platforms as Sources of Health Information</w:t>
      </w:r>
    </w:p>
    <w:p/>
    <w:p>
      <w:pPr>
        <w:spacing w:line="360" w:lineRule="auto"/>
        <w:jc w:val="both"/>
      </w:pPr>
      <w:r>
        <w:rPr>
          <w:rFonts w:ascii="Times New Roman" w:hAnsi="Times New Roman"/>
          <w:sz w:val="24"/>
        </w:rP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reliability require continuous monitoring.</w:t>
      </w:r>
    </w:p>
    <w:p/>
    <w:p>
      <w:pPr>
        <w:spacing w:line="360" w:lineRule="auto"/>
        <w:jc w:val="both"/>
      </w:pPr>
      <w:r>
        <w:rPr>
          <w:rFonts w:ascii="Times New Roman" w:hAnsi="Times New Roman"/>
          <w:sz w:val="24"/>
        </w:rP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study evaluating YouTube videos recommending exercises during the COVID-19 lockdown found mean DISCERN scores of only 2.29 out of 5 and mean Global Quality Scale (GQS) scores of 2.32, indicating low overall quality (Czenczek-Lewandowska et al., 2022).</w:t>
      </w:r>
    </w:p>
    <w:p/>
    <w:p>
      <w:pPr>
        <w:spacing w:line="360" w:lineRule="auto"/>
        <w:jc w:val="both"/>
      </w:pPr>
      <w:r>
        <w:rPr>
          <w:rFonts w:ascii="Times New Roman" w:hAnsi="Times New Roman"/>
          <w:sz w:val="24"/>
        </w:rP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Research has also indicated that only a small minority of TikTok health content is produced by medical professionals, with the majority originating from general users and non-medical influencers (Dinis-Oliveira, 2020).</w:t>
      </w:r>
    </w:p>
    <w:p/>
    <w:p>
      <w:pPr>
        <w:spacing w:line="360" w:lineRule="auto"/>
        <w:jc w:val="both"/>
      </w:pPr>
      <w:r>
        <w:rPr>
          <w:rFonts w:ascii="Times New Roman" w:hAnsi="Times New Roman"/>
          <w:sz w:val="24"/>
        </w:rP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their reach through brand partnerships, creates financial incentives that may conflict with evidence-based health communication. As Pilgrim and Bohnet-Joschko (2022) observed, influencers can earn more revenue by creating content that maximises engagement, and misinformation has been linked to higher levels of user engagement.</w:t>
      </w:r>
    </w:p>
    <w:p/>
    <w:p>
      <w:pPr>
        <w:spacing w:line="360" w:lineRule="auto"/>
        <w:jc w:val="both"/>
      </w:pPr>
      <w:r>
        <w:rPr>
          <w:rFonts w:ascii="Times New Roman" w:hAnsi="Times New Roman"/>
          <w:sz w:val="24"/>
        </w:rPr>
        <w:t>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on social media platforms suggest that PA information is similarly vulnerable to quality deficits.</w:t>
      </w:r>
    </w:p>
    <w:p/>
    <w:p>
      <w:pPr>
        <w:pStyle w:val="Heading2"/>
      </w:pPr>
      <w:r>
        <w:rPr>
          <w:rFonts w:ascii="Times New Roman" w:hAnsi="Times New Roman"/>
          <w:color w:val="000000"/>
        </w:rPr>
        <w:t>1.5 Quality Assessment Tools and Cross-Platform Applicability</w:t>
      </w:r>
    </w:p>
    <w:p/>
    <w:p>
      <w:pPr>
        <w:spacing w:line="360" w:lineRule="auto"/>
        <w:jc w:val="both"/>
      </w:pPr>
      <w:r>
        <w:rPr>
          <w:rFonts w:ascii="Times New Roman" w:hAnsi="Times New Roman"/>
          <w:sz w:val="24"/>
        </w:rPr>
        <w:t>Two instruments occupy a central position in the assessment of consumer health information quality: the DISCERN instrument and the JAMA Benchmarks.</w:t>
      </w:r>
    </w:p>
    <w:p/>
    <w:p>
      <w:pPr>
        <w:spacing w:line="360" w:lineRule="auto"/>
        <w:jc w:val="both"/>
      </w:pPr>
      <w:r>
        <w:rPr>
          <w:rFonts w:ascii="Times New Roman" w:hAnsi="Times New Roman"/>
          <w:sz w:val="24"/>
        </w:rP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 2024).</w:t>
      </w:r>
    </w:p>
    <w:p/>
    <w:p>
      <w:pPr>
        <w:spacing w:line="360" w:lineRule="auto"/>
        <w:jc w:val="both"/>
      </w:pPr>
      <w:r>
        <w:rPr>
          <w:rFonts w:ascii="Times New Roman" w:hAnsi="Times New Roman"/>
          <w:sz w:val="24"/>
        </w:rP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 4. Their streamlined nature makes them efficient for rapid quality screening, and they complement the more detailed DISCERN assessment by capturing essential transparency indicators.</w:t>
      </w:r>
    </w:p>
    <w:p/>
    <w:p>
      <w:pPr>
        <w:spacing w:line="360" w:lineRule="auto"/>
        <w:jc w:val="both"/>
      </w:pPr>
      <w:r>
        <w:rPr>
          <w:rFonts w:ascii="Times New Roman" w:hAnsi="Times New Roman"/>
          <w:sz w:val="24"/>
        </w:rP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p>
      <w:pPr>
        <w:spacing w:line="360" w:lineRule="auto"/>
        <w:jc w:val="both"/>
      </w:pPr>
      <w:r>
        <w:rPr>
          <w:rFonts w:ascii="Times New Roman" w:hAnsi="Times New Roman"/>
          <w:sz w:val="24"/>
        </w:rP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p>
      <w:pPr>
        <w:pStyle w:val="Heading2"/>
      </w:pPr>
      <w:r>
        <w:rPr>
          <w:rFonts w:ascii="Times New Roman" w:hAnsi="Times New Roman"/>
          <w:color w:val="000000"/>
        </w:rPr>
        <w:t>1.6 Evidence for the Quality Gap and Moderating Factors</w:t>
      </w:r>
    </w:p>
    <w:p/>
    <w:p>
      <w:pPr>
        <w:spacing w:line="360" w:lineRule="auto"/>
        <w:jc w:val="both"/>
      </w:pPr>
      <w:r>
        <w:rPr>
          <w:rFonts w:ascii="Times New Roman" w:hAnsi="Times New Roman"/>
          <w:sz w:val="24"/>
        </w:rP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out of 100 (95% CI: 37.80-49.35) for cancer-related information on new media, with approximately 27% of posts containing misinformation (Chen et al., 2025). The analysis further found that studies focusing on video-based media were statistically less likely to yield higher quality conclusions compared with those on text-based media, suggesting a format-dependent quality gradient.</w:t>
      </w:r>
    </w:p>
    <w:p/>
    <w:p>
      <w:pPr>
        <w:spacing w:line="360" w:lineRule="auto"/>
        <w:jc w:val="both"/>
      </w:pPr>
      <w:r>
        <w:rPr>
          <w:rFonts w:ascii="Times New Roman" w:hAnsi="Times New Roman"/>
          <w:sz w:val="24"/>
        </w:rP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TikTok, research has consistently demonstrated low overall quality of health content, with the platform's short-form format constraining the depth and nuance of health information that can be conveyed (Li et al., 2024).</w:t>
      </w:r>
    </w:p>
    <w:p/>
    <w:p>
      <w:pPr>
        <w:spacing w:line="360" w:lineRule="auto"/>
        <w:jc w:val="both"/>
      </w:pPr>
      <w:r>
        <w:rPr>
          <w:rFonts w:ascii="Times New Roman" w:hAnsi="Times New Roman"/>
          <w:sz w:val="24"/>
        </w:rP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research suggests that medical professionals account for only a minority of health content creators, with the majority being general users or non-medical influencers (Dinis-Oliveira, 2020).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p>
      <w:pPr>
        <w:spacing w:line="360" w:lineRule="auto"/>
        <w:jc w:val="both"/>
      </w:pPr>
      <w:r>
        <w:rPr>
          <w:rFonts w:ascii="Times New Roman" w:hAnsi="Times New Roman"/>
          <w:sz w:val="24"/>
        </w:rP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higher engagement than evidence-based but less emotionally stimulating content (Pilgrim &amp; Bohnet-Joschko, 2022).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 by the World Health Organization (2020).</w:t>
      </w:r>
    </w:p>
    <w:p/>
    <w:p>
      <w:pPr>
        <w:pStyle w:val="Heading2"/>
      </w:pPr>
      <w:r>
        <w:rPr>
          <w:rFonts w:ascii="Times New Roman" w:hAnsi="Times New Roman"/>
          <w:color w:val="000000"/>
        </w:rPr>
        <w:t>1.7 Summary and Rationale for the Present Study</w:t>
      </w:r>
    </w:p>
    <w:p/>
    <w:p>
      <w:pPr>
        <w:spacing w:line="360" w:lineRule="auto"/>
        <w:jc w:val="both"/>
      </w:pPr>
      <w:r>
        <w:rPr>
          <w:rFonts w:ascii="Times New Roman" w:hAnsi="Times New Roman"/>
          <w:sz w:val="24"/>
        </w:rP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variability by platform type, creator qualifications, and content format.</w:t>
      </w:r>
    </w:p>
    <w:p/>
    <w:p>
      <w:pPr>
        <w:spacing w:line="360" w:lineRule="auto"/>
        <w:jc w:val="both"/>
      </w:pPr>
      <w:r>
        <w:rPr>
          <w:rFonts w:ascii="Times New Roman" w:hAnsi="Times New Roman"/>
          <w:sz w:val="24"/>
        </w:rP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p>
      <w:pPr>
        <w:spacing w:line="360" w:lineRule="auto"/>
        <w:jc w:val="both"/>
      </w:pPr>
      <w:r>
        <w:rPr>
          <w:rFonts w:ascii="Times New Roman" w:hAnsi="Times New Roman"/>
          <w:sz w:val="24"/>
        </w:rPr>
        <w:t>The present study addresses this gap by conducting a cross-sectional content analysis of 200 items (50 per platform) across traditional websites, YouTube, TikTok, and Instagram, applying both the DISCERN instrument and JAMA Benchmarks to assess physical activity information quality. The study is guided by three research questions:</w:t>
      </w:r>
    </w:p>
    <w:p/>
    <w:p>
      <w:pPr>
        <w:spacing w:line="360" w:lineRule="auto"/>
        <w:ind w:left="720"/>
        <w:jc w:val="both"/>
      </w:pPr>
      <w:r>
        <w:rPr>
          <w:rFonts w:ascii="Times New Roman" w:hAnsi="Times New Roman"/>
          <w:sz w:val="24"/>
        </w:rPr>
        <w:t>1. How does physical activity information quality differ between traditional websites and social media platforms as measured by DISCERN and JAMA benchmarks?</w:t>
      </w:r>
    </w:p>
    <w:p>
      <w:pPr>
        <w:spacing w:line="360" w:lineRule="auto"/>
        <w:ind w:left="720"/>
        <w:jc w:val="both"/>
      </w:pPr>
      <w:r>
        <w:rPr>
          <w:rFonts w:ascii="Times New Roman" w:hAnsi="Times New Roman"/>
          <w:sz w:val="24"/>
        </w:rPr>
        <w:t>2. Does creator type (healthcare professional versus fitness influencer versus general user) moderate quality scores?</w:t>
      </w:r>
    </w:p>
    <w:p>
      <w:pPr>
        <w:spacing w:line="360" w:lineRule="auto"/>
        <w:ind w:left="720"/>
        <w:jc w:val="both"/>
      </w:pPr>
      <w:r>
        <w:rPr>
          <w:rFonts w:ascii="Times New Roman" w:hAnsi="Times New Roman"/>
          <w:sz w:val="24"/>
        </w:rPr>
        <w:t>3. What is the relationship between engagement metrics (views, likes, shares) and information quality?</w:t>
      </w:r>
    </w:p>
    <w:p/>
    <w:p>
      <w:pPr>
        <w:spacing w:line="360" w:lineRule="auto"/>
        <w:jc w:val="both"/>
      </w:pPr>
      <w:r>
        <w:rPr>
          <w:rFonts w:ascii="Times New Roman" w:hAnsi="Times New Roman"/>
          <w:sz w:val="24"/>
        </w:rP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