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2019; Kong et al., 2021).</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