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0"/>
        <w:jc w:val="both"/>
      </w:pPr>
      <w:r>
        <w:rPr>
          <w:rFonts w:ascii="Times New Roman" w:hAnsi="Times New Roman" w:cs="Times New Roman"/>
          <w:b/>
          <w:i w:val="0"/>
          <w:color w:val="000000"/>
          <w:sz w:val="28"/>
        </w:rPr>
        <w:t>CHAPTER 3. RESEARCH FINDINGS</w:t>
      </w:r>
    </w:p>
    <w:p>
      <w:pPr>
        <w:spacing w:line="360" w:lineRule="auto" w:after="200" w:before="0"/>
        <w:jc w:val="both"/>
      </w:pPr>
      <w:r>
        <w:rPr>
          <w:rFonts w:ascii="Times New Roman" w:hAnsi="Times New Roman" w:cs="Times New Roman"/>
          <w:b/>
          <w:i w:val="0"/>
          <w:color w:val="000000"/>
          <w:sz w:val="26"/>
        </w:rPr>
        <w:t>3.1 Sample Characteristics</w:t>
      </w:r>
    </w:p>
    <w:p>
      <w:pPr>
        <w:spacing w:line="360" w:lineRule="auto" w:after="120" w:before="0"/>
        <w:jc w:val="both"/>
      </w:pPr>
      <w:r>
        <w:rPr>
          <w:rFonts w:ascii="Times New Roman" w:hAnsi="Times New Roman" w:cs="Times New Roman"/>
          <w:b w:val="0"/>
          <w:i w:val="0"/>
          <w:color w:val="000000"/>
          <w:sz w:val="24"/>
        </w:rPr>
        <w:t>A total of 200 items were sampled across four platforms: traditional websites (n = 50), YouTube (n = 50), TikTok (n = 50), and Instagram (n = 50). Each platform contributed 10 results from each of the five search terms, yielding a balanced representation across content domains. All 200 items met the predefined inclusion criteria of being publicly accessible, English-language, substantive physical activity content published or updated within the past three years.</w:t>
      </w:r>
    </w:p>
    <w:p>
      <w:pPr>
        <w:spacing w:line="360" w:lineRule="auto" w:after="120" w:before="0"/>
        <w:jc w:val="both"/>
      </w:pPr>
      <w:r>
        <w:rPr>
          <w:rFonts w:ascii="Times New Roman" w:hAnsi="Times New Roman" w:cs="Times New Roman"/>
          <w:b w:val="0"/>
          <w:i w:val="0"/>
          <w:color w:val="000000"/>
          <w:sz w:val="24"/>
        </w:rPr>
        <w:t>Creator types were classified into five categories. As shown in Table 1, organisations constituted the largest group (n = 85, 42.5%), followed by certified fitness professionals (n = 31, 15.5%), general users (n = 30, 15.0%), fitness influencers (n = 27, 13.5%), and healthcare professionals (n = 17, 8.5%). Notably, organisations were particularly prevalent among traditional websites (n = 34, 68.0%) and YouTube (n = 25, 50.0%), reflecting the dominance of institutional content on these platforms. In contrast, TikTok and Instagram were characterised by greater diversity in creator types, with higher proportions of fitness influencers and general users.</w:t>
      </w:r>
    </w:p>
    <w:p>
      <w:pPr>
        <w:spacing w:line="360" w:lineRule="auto" w:after="80" w:before="0"/>
        <w:jc w:val="center"/>
      </w:pPr>
      <w:r>
        <w:rPr>
          <w:rFonts w:ascii="Times New Roman" w:hAnsi="Times New Roman" w:cs="Times New Roman"/>
          <w:b/>
          <w:i/>
          <w:color w:val="000000"/>
          <w:sz w:val="22"/>
        </w:rPr>
        <w:t>Table 1. Distribution of Creator Types by Platform</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D9E2F3" w:val="clear"/>
          </w:tcPr>
          <w:p>
            <w:pPr>
              <w:spacing w:line="240" w:lineRule="auto" w:after="40" w:before="0"/>
              <w:jc w:val="center"/>
            </w:pPr>
            <w:r>
              <w:rPr>
                <w:rFonts w:ascii="Times New Roman" w:hAnsi="Times New Roman" w:cs="Times New Roman"/>
                <w:b/>
                <w:i w:val="0"/>
                <w:color w:val="000000"/>
                <w:sz w:val="20"/>
              </w:rPr>
              <w:t>Creator Type</w:t>
            </w:r>
          </w:p>
        </w:tc>
        <w:tc>
          <w:tcPr>
            <w:tcW w:type="dxa" w:w="1504"/>
            <w:shd w:fill="D9E2F3" w:val="clear"/>
          </w:tcPr>
          <w:p>
            <w:pPr>
              <w:spacing w:line="240" w:lineRule="auto" w:after="40" w:before="0"/>
              <w:jc w:val="center"/>
            </w:pPr>
            <w:r>
              <w:rPr>
                <w:rFonts w:ascii="Times New Roman" w:hAnsi="Times New Roman" w:cs="Times New Roman"/>
                <w:b/>
                <w:i w:val="0"/>
                <w:color w:val="000000"/>
                <w:sz w:val="20"/>
              </w:rPr>
              <w:t>Website</w:t>
            </w:r>
          </w:p>
        </w:tc>
        <w:tc>
          <w:tcPr>
            <w:tcW w:type="dxa" w:w="1504"/>
            <w:shd w:fill="D9E2F3" w:val="clear"/>
          </w:tcPr>
          <w:p>
            <w:pPr>
              <w:spacing w:line="240" w:lineRule="auto" w:after="40" w:before="0"/>
              <w:jc w:val="center"/>
            </w:pPr>
            <w:r>
              <w:rPr>
                <w:rFonts w:ascii="Times New Roman" w:hAnsi="Times New Roman" w:cs="Times New Roman"/>
                <w:b/>
                <w:i w:val="0"/>
                <w:color w:val="000000"/>
                <w:sz w:val="20"/>
              </w:rPr>
              <w:t>YouTube</w:t>
            </w:r>
          </w:p>
        </w:tc>
        <w:tc>
          <w:tcPr>
            <w:tcW w:type="dxa" w:w="1504"/>
            <w:shd w:fill="D9E2F3" w:val="clear"/>
          </w:tcPr>
          <w:p>
            <w:pPr>
              <w:spacing w:line="240" w:lineRule="auto" w:after="40" w:before="0"/>
              <w:jc w:val="center"/>
            </w:pPr>
            <w:r>
              <w:rPr>
                <w:rFonts w:ascii="Times New Roman" w:hAnsi="Times New Roman" w:cs="Times New Roman"/>
                <w:b/>
                <w:i w:val="0"/>
                <w:color w:val="000000"/>
                <w:sz w:val="20"/>
              </w:rPr>
              <w:t>TikTok</w:t>
            </w:r>
          </w:p>
        </w:tc>
        <w:tc>
          <w:tcPr>
            <w:tcW w:type="dxa" w:w="1504"/>
            <w:shd w:fill="D9E2F3" w:val="clear"/>
          </w:tcPr>
          <w:p>
            <w:pPr>
              <w:spacing w:line="240" w:lineRule="auto" w:after="40" w:before="0"/>
              <w:jc w:val="center"/>
            </w:pPr>
            <w:r>
              <w:rPr>
                <w:rFonts w:ascii="Times New Roman" w:hAnsi="Times New Roman" w:cs="Times New Roman"/>
                <w:b/>
                <w:i w:val="0"/>
                <w:color w:val="000000"/>
                <w:sz w:val="20"/>
              </w:rPr>
              <w:t>Instagram</w:t>
            </w:r>
          </w:p>
        </w:tc>
        <w:tc>
          <w:tcPr>
            <w:tcW w:type="dxa" w:w="1504"/>
            <w:shd w:fill="D9E2F3" w:val="clear"/>
          </w:tcPr>
          <w:p>
            <w:pPr>
              <w:spacing w:line="240" w:lineRule="auto" w:after="40" w:before="0"/>
              <w:jc w:val="center"/>
            </w:pPr>
            <w:r>
              <w:rPr>
                <w:rFonts w:ascii="Times New Roman" w:hAnsi="Times New Roman" w:cs="Times New Roman"/>
                <w:b/>
                <w:i w:val="0"/>
                <w:color w:val="000000"/>
                <w:sz w:val="20"/>
              </w:rPr>
              <w:t>Total</w:t>
            </w:r>
          </w:p>
        </w:tc>
      </w:tr>
      <w:tr>
        <w:tc>
          <w:tcPr>
            <w:tcW w:type="dxa" w:w="1504"/>
          </w:tcPr>
          <w:p>
            <w:pPr>
              <w:spacing w:line="240" w:lineRule="auto" w:after="40" w:before="0"/>
              <w:jc w:val="center"/>
            </w:pPr>
            <w:r>
              <w:rPr>
                <w:rFonts w:ascii="Times New Roman" w:hAnsi="Times New Roman" w:cs="Times New Roman"/>
                <w:b w:val="0"/>
                <w:i w:val="0"/>
                <w:color w:val="000000"/>
                <w:sz w:val="20"/>
              </w:rPr>
              <w:t>Healthcare Professional</w:t>
            </w:r>
          </w:p>
        </w:tc>
        <w:tc>
          <w:tcPr>
            <w:tcW w:type="dxa" w:w="1504"/>
          </w:tcPr>
          <w:p>
            <w:pPr>
              <w:spacing w:line="240" w:lineRule="auto" w:after="40" w:before="0"/>
              <w:jc w:val="center"/>
            </w:pPr>
            <w:r>
              <w:rPr>
                <w:rFonts w:ascii="Times New Roman" w:hAnsi="Times New Roman" w:cs="Times New Roman"/>
                <w:b w:val="0"/>
                <w:i w:val="0"/>
                <w:color w:val="000000"/>
                <w:sz w:val="20"/>
              </w:rPr>
              <w:t>5 (10%)</w:t>
            </w:r>
          </w:p>
        </w:tc>
        <w:tc>
          <w:tcPr>
            <w:tcW w:type="dxa" w:w="1504"/>
          </w:tcPr>
          <w:p>
            <w:pPr>
              <w:spacing w:line="240" w:lineRule="auto" w:after="40" w:before="0"/>
              <w:jc w:val="center"/>
            </w:pPr>
            <w:r>
              <w:rPr>
                <w:rFonts w:ascii="Times New Roman" w:hAnsi="Times New Roman" w:cs="Times New Roman"/>
                <w:b w:val="0"/>
                <w:i w:val="0"/>
                <w:color w:val="000000"/>
                <w:sz w:val="20"/>
              </w:rPr>
              <w:t>4 (8%)</w:t>
            </w:r>
          </w:p>
        </w:tc>
        <w:tc>
          <w:tcPr>
            <w:tcW w:type="dxa" w:w="1504"/>
          </w:tcPr>
          <w:p>
            <w:pPr>
              <w:spacing w:line="240" w:lineRule="auto" w:after="40" w:before="0"/>
              <w:jc w:val="center"/>
            </w:pPr>
            <w:r>
              <w:rPr>
                <w:rFonts w:ascii="Times New Roman" w:hAnsi="Times New Roman" w:cs="Times New Roman"/>
                <w:b w:val="0"/>
                <w:i w:val="0"/>
                <w:color w:val="000000"/>
                <w:sz w:val="20"/>
              </w:rPr>
              <w:t>4 (8%)</w:t>
            </w:r>
          </w:p>
        </w:tc>
        <w:tc>
          <w:tcPr>
            <w:tcW w:type="dxa" w:w="1504"/>
          </w:tcPr>
          <w:p>
            <w:pPr>
              <w:spacing w:line="240" w:lineRule="auto" w:after="40" w:before="0"/>
              <w:jc w:val="center"/>
            </w:pPr>
            <w:r>
              <w:rPr>
                <w:rFonts w:ascii="Times New Roman" w:hAnsi="Times New Roman" w:cs="Times New Roman"/>
                <w:b w:val="0"/>
                <w:i w:val="0"/>
                <w:color w:val="000000"/>
                <w:sz w:val="20"/>
              </w:rPr>
              <w:t>4 (8%)</w:t>
            </w:r>
          </w:p>
        </w:tc>
        <w:tc>
          <w:tcPr>
            <w:tcW w:type="dxa" w:w="1504"/>
          </w:tcPr>
          <w:p>
            <w:pPr>
              <w:spacing w:line="240" w:lineRule="auto" w:after="40" w:before="0"/>
              <w:jc w:val="center"/>
            </w:pPr>
            <w:r>
              <w:rPr>
                <w:rFonts w:ascii="Times New Roman" w:hAnsi="Times New Roman" w:cs="Times New Roman"/>
                <w:b w:val="0"/>
                <w:i w:val="0"/>
                <w:color w:val="000000"/>
                <w:sz w:val="20"/>
              </w:rPr>
              <w:t>17 (8.5%)</w:t>
            </w:r>
          </w:p>
        </w:tc>
      </w:tr>
      <w:tr>
        <w:tc>
          <w:tcPr>
            <w:tcW w:type="dxa" w:w="1504"/>
          </w:tcPr>
          <w:p>
            <w:pPr>
              <w:spacing w:line="240" w:lineRule="auto" w:after="40" w:before="0"/>
              <w:jc w:val="center"/>
            </w:pPr>
            <w:r>
              <w:rPr>
                <w:rFonts w:ascii="Times New Roman" w:hAnsi="Times New Roman" w:cs="Times New Roman"/>
                <w:b w:val="0"/>
                <w:i w:val="0"/>
                <w:color w:val="000000"/>
                <w:sz w:val="20"/>
              </w:rPr>
              <w:t>Certified Fitness Prof.</w:t>
            </w:r>
          </w:p>
        </w:tc>
        <w:tc>
          <w:tcPr>
            <w:tcW w:type="dxa" w:w="1504"/>
          </w:tcPr>
          <w:p>
            <w:pPr>
              <w:spacing w:line="240" w:lineRule="auto" w:after="40" w:before="0"/>
              <w:jc w:val="center"/>
            </w:pPr>
            <w:r>
              <w:rPr>
                <w:rFonts w:ascii="Times New Roman" w:hAnsi="Times New Roman" w:cs="Times New Roman"/>
                <w:b w:val="0"/>
                <w:i w:val="0"/>
                <w:color w:val="000000"/>
                <w:sz w:val="20"/>
              </w:rPr>
              <w:t>6 (12%)</w:t>
            </w:r>
          </w:p>
        </w:tc>
        <w:tc>
          <w:tcPr>
            <w:tcW w:type="dxa" w:w="1504"/>
          </w:tcPr>
          <w:p>
            <w:pPr>
              <w:spacing w:line="240" w:lineRule="auto" w:after="40" w:before="0"/>
              <w:jc w:val="center"/>
            </w:pPr>
            <w:r>
              <w:rPr>
                <w:rFonts w:ascii="Times New Roman" w:hAnsi="Times New Roman" w:cs="Times New Roman"/>
                <w:b w:val="0"/>
                <w:i w:val="0"/>
                <w:color w:val="000000"/>
                <w:sz w:val="20"/>
              </w:rPr>
              <w:t>10 (20%)</w:t>
            </w:r>
          </w:p>
        </w:tc>
        <w:tc>
          <w:tcPr>
            <w:tcW w:type="dxa" w:w="1504"/>
          </w:tcPr>
          <w:p>
            <w:pPr>
              <w:spacing w:line="240" w:lineRule="auto" w:after="40" w:before="0"/>
              <w:jc w:val="center"/>
            </w:pPr>
            <w:r>
              <w:rPr>
                <w:rFonts w:ascii="Times New Roman" w:hAnsi="Times New Roman" w:cs="Times New Roman"/>
                <w:b w:val="0"/>
                <w:i w:val="0"/>
                <w:color w:val="000000"/>
                <w:sz w:val="20"/>
              </w:rPr>
              <w:t>8 (16%)</w:t>
            </w:r>
          </w:p>
        </w:tc>
        <w:tc>
          <w:tcPr>
            <w:tcW w:type="dxa" w:w="1504"/>
          </w:tcPr>
          <w:p>
            <w:pPr>
              <w:spacing w:line="240" w:lineRule="auto" w:after="40" w:before="0"/>
              <w:jc w:val="center"/>
            </w:pPr>
            <w:r>
              <w:rPr>
                <w:rFonts w:ascii="Times New Roman" w:hAnsi="Times New Roman" w:cs="Times New Roman"/>
                <w:b w:val="0"/>
                <w:i w:val="0"/>
                <w:color w:val="000000"/>
                <w:sz w:val="20"/>
              </w:rPr>
              <w:t>7 (14%)</w:t>
            </w:r>
          </w:p>
        </w:tc>
        <w:tc>
          <w:tcPr>
            <w:tcW w:type="dxa" w:w="1504"/>
          </w:tcPr>
          <w:p>
            <w:pPr>
              <w:spacing w:line="240" w:lineRule="auto" w:after="40" w:before="0"/>
              <w:jc w:val="center"/>
            </w:pPr>
            <w:r>
              <w:rPr>
                <w:rFonts w:ascii="Times New Roman" w:hAnsi="Times New Roman" w:cs="Times New Roman"/>
                <w:b w:val="0"/>
                <w:i w:val="0"/>
                <w:color w:val="000000"/>
                <w:sz w:val="20"/>
              </w:rPr>
              <w:t>31 (15.5%)</w:t>
            </w:r>
          </w:p>
        </w:tc>
      </w:tr>
      <w:tr>
        <w:tc>
          <w:tcPr>
            <w:tcW w:type="dxa" w:w="1504"/>
          </w:tcPr>
          <w:p>
            <w:pPr>
              <w:spacing w:line="240" w:lineRule="auto" w:after="40" w:before="0"/>
              <w:jc w:val="center"/>
            </w:pPr>
            <w:r>
              <w:rPr>
                <w:rFonts w:ascii="Times New Roman" w:hAnsi="Times New Roman" w:cs="Times New Roman"/>
                <w:b w:val="0"/>
                <w:i w:val="0"/>
                <w:color w:val="000000"/>
                <w:sz w:val="20"/>
              </w:rPr>
              <w:t>Fitness Influencer</w:t>
            </w:r>
          </w:p>
        </w:tc>
        <w:tc>
          <w:tcPr>
            <w:tcW w:type="dxa" w:w="1504"/>
          </w:tcPr>
          <w:p>
            <w:pPr>
              <w:spacing w:line="240" w:lineRule="auto" w:after="40" w:before="0"/>
              <w:jc w:val="center"/>
            </w:pPr>
            <w:r>
              <w:rPr>
                <w:rFonts w:ascii="Times New Roman" w:hAnsi="Times New Roman" w:cs="Times New Roman"/>
                <w:b w:val="0"/>
                <w:i w:val="0"/>
                <w:color w:val="000000"/>
                <w:sz w:val="20"/>
              </w:rPr>
              <w:t>2 (4%)</w:t>
            </w:r>
          </w:p>
        </w:tc>
        <w:tc>
          <w:tcPr>
            <w:tcW w:type="dxa" w:w="1504"/>
          </w:tcPr>
          <w:p>
            <w:pPr>
              <w:spacing w:line="240" w:lineRule="auto" w:after="40" w:before="0"/>
              <w:jc w:val="center"/>
            </w:pPr>
            <w:r>
              <w:rPr>
                <w:rFonts w:ascii="Times New Roman" w:hAnsi="Times New Roman" w:cs="Times New Roman"/>
                <w:b w:val="0"/>
                <w:i w:val="0"/>
                <w:color w:val="000000"/>
                <w:sz w:val="20"/>
              </w:rPr>
              <w:t>5 (10%)</w:t>
            </w:r>
          </w:p>
        </w:tc>
        <w:tc>
          <w:tcPr>
            <w:tcW w:type="dxa" w:w="1504"/>
          </w:tcPr>
          <w:p>
            <w:pPr>
              <w:spacing w:line="240" w:lineRule="auto" w:after="40" w:before="0"/>
              <w:jc w:val="center"/>
            </w:pPr>
            <w:r>
              <w:rPr>
                <w:rFonts w:ascii="Times New Roman" w:hAnsi="Times New Roman" w:cs="Times New Roman"/>
                <w:b w:val="0"/>
                <w:i w:val="0"/>
                <w:color w:val="000000"/>
                <w:sz w:val="20"/>
              </w:rPr>
              <w:t>12 (24%)</w:t>
            </w:r>
          </w:p>
        </w:tc>
        <w:tc>
          <w:tcPr>
            <w:tcW w:type="dxa" w:w="1504"/>
          </w:tcPr>
          <w:p>
            <w:pPr>
              <w:spacing w:line="240" w:lineRule="auto" w:after="40" w:before="0"/>
              <w:jc w:val="center"/>
            </w:pPr>
            <w:r>
              <w:rPr>
                <w:rFonts w:ascii="Times New Roman" w:hAnsi="Times New Roman" w:cs="Times New Roman"/>
                <w:b w:val="0"/>
                <w:i w:val="0"/>
                <w:color w:val="000000"/>
                <w:sz w:val="20"/>
              </w:rPr>
              <w:t>8 (16%)</w:t>
            </w:r>
          </w:p>
        </w:tc>
        <w:tc>
          <w:tcPr>
            <w:tcW w:type="dxa" w:w="1504"/>
          </w:tcPr>
          <w:p>
            <w:pPr>
              <w:spacing w:line="240" w:lineRule="auto" w:after="40" w:before="0"/>
              <w:jc w:val="center"/>
            </w:pPr>
            <w:r>
              <w:rPr>
                <w:rFonts w:ascii="Times New Roman" w:hAnsi="Times New Roman" w:cs="Times New Roman"/>
                <w:b w:val="0"/>
                <w:i w:val="0"/>
                <w:color w:val="000000"/>
                <w:sz w:val="20"/>
              </w:rPr>
              <w:t>27 (13.5%)</w:t>
            </w:r>
          </w:p>
        </w:tc>
      </w:tr>
      <w:tr>
        <w:tc>
          <w:tcPr>
            <w:tcW w:type="dxa" w:w="1504"/>
          </w:tcPr>
          <w:p>
            <w:pPr>
              <w:spacing w:line="240" w:lineRule="auto" w:after="40" w:before="0"/>
              <w:jc w:val="center"/>
            </w:pPr>
            <w:r>
              <w:rPr>
                <w:rFonts w:ascii="Times New Roman" w:hAnsi="Times New Roman" w:cs="Times New Roman"/>
                <w:b w:val="0"/>
                <w:i w:val="0"/>
                <w:color w:val="000000"/>
                <w:sz w:val="20"/>
              </w:rPr>
              <w:t>General User</w:t>
            </w:r>
          </w:p>
        </w:tc>
        <w:tc>
          <w:tcPr>
            <w:tcW w:type="dxa" w:w="1504"/>
          </w:tcPr>
          <w:p>
            <w:pPr>
              <w:spacing w:line="240" w:lineRule="auto" w:after="40" w:before="0"/>
              <w:jc w:val="center"/>
            </w:pPr>
            <w:r>
              <w:rPr>
                <w:rFonts w:ascii="Times New Roman" w:hAnsi="Times New Roman" w:cs="Times New Roman"/>
                <w:b w:val="0"/>
                <w:i w:val="0"/>
                <w:color w:val="000000"/>
                <w:sz w:val="20"/>
              </w:rPr>
              <w:t>3 (6%)</w:t>
            </w:r>
          </w:p>
        </w:tc>
        <w:tc>
          <w:tcPr>
            <w:tcW w:type="dxa" w:w="1504"/>
          </w:tcPr>
          <w:p>
            <w:pPr>
              <w:spacing w:line="240" w:lineRule="auto" w:after="40" w:before="0"/>
              <w:jc w:val="center"/>
            </w:pPr>
            <w:r>
              <w:rPr>
                <w:rFonts w:ascii="Times New Roman" w:hAnsi="Times New Roman" w:cs="Times New Roman"/>
                <w:b w:val="0"/>
                <w:i w:val="0"/>
                <w:color w:val="000000"/>
                <w:sz w:val="20"/>
              </w:rPr>
              <w:t>6 (12%)</w:t>
            </w:r>
          </w:p>
        </w:tc>
        <w:tc>
          <w:tcPr>
            <w:tcW w:type="dxa" w:w="1504"/>
          </w:tcPr>
          <w:p>
            <w:pPr>
              <w:spacing w:line="240" w:lineRule="auto" w:after="40" w:before="0"/>
              <w:jc w:val="center"/>
            </w:pPr>
            <w:r>
              <w:rPr>
                <w:rFonts w:ascii="Times New Roman" w:hAnsi="Times New Roman" w:cs="Times New Roman"/>
                <w:b w:val="0"/>
                <w:i w:val="0"/>
                <w:color w:val="000000"/>
                <w:sz w:val="20"/>
              </w:rPr>
              <w:t>8 (16%)</w:t>
            </w:r>
          </w:p>
        </w:tc>
        <w:tc>
          <w:tcPr>
            <w:tcW w:type="dxa" w:w="1504"/>
          </w:tcPr>
          <w:p>
            <w:pPr>
              <w:spacing w:line="240" w:lineRule="auto" w:after="40" w:before="0"/>
              <w:jc w:val="center"/>
            </w:pPr>
            <w:r>
              <w:rPr>
                <w:rFonts w:ascii="Times New Roman" w:hAnsi="Times New Roman" w:cs="Times New Roman"/>
                <w:b w:val="0"/>
                <w:i w:val="0"/>
                <w:color w:val="000000"/>
                <w:sz w:val="20"/>
              </w:rPr>
              <w:t>13 (26%)</w:t>
            </w:r>
          </w:p>
        </w:tc>
        <w:tc>
          <w:tcPr>
            <w:tcW w:type="dxa" w:w="1504"/>
          </w:tcPr>
          <w:p>
            <w:pPr>
              <w:spacing w:line="240" w:lineRule="auto" w:after="40" w:before="0"/>
              <w:jc w:val="center"/>
            </w:pPr>
            <w:r>
              <w:rPr>
                <w:rFonts w:ascii="Times New Roman" w:hAnsi="Times New Roman" w:cs="Times New Roman"/>
                <w:b w:val="0"/>
                <w:i w:val="0"/>
                <w:color w:val="000000"/>
                <w:sz w:val="20"/>
              </w:rPr>
              <w:t>30 (15.0%)</w:t>
            </w:r>
          </w:p>
        </w:tc>
      </w:tr>
      <w:tr>
        <w:tc>
          <w:tcPr>
            <w:tcW w:type="dxa" w:w="1504"/>
          </w:tcPr>
          <w:p>
            <w:pPr>
              <w:spacing w:line="240" w:lineRule="auto" w:after="40" w:before="0"/>
              <w:jc w:val="center"/>
            </w:pPr>
            <w:r>
              <w:rPr>
                <w:rFonts w:ascii="Times New Roman" w:hAnsi="Times New Roman" w:cs="Times New Roman"/>
                <w:b w:val="0"/>
                <w:i w:val="0"/>
                <w:color w:val="000000"/>
                <w:sz w:val="20"/>
              </w:rPr>
              <w:t>Organisation</w:t>
            </w:r>
          </w:p>
        </w:tc>
        <w:tc>
          <w:tcPr>
            <w:tcW w:type="dxa" w:w="1504"/>
          </w:tcPr>
          <w:p>
            <w:pPr>
              <w:spacing w:line="240" w:lineRule="auto" w:after="40" w:before="0"/>
              <w:jc w:val="center"/>
            </w:pPr>
            <w:r>
              <w:rPr>
                <w:rFonts w:ascii="Times New Roman" w:hAnsi="Times New Roman" w:cs="Times New Roman"/>
                <w:b w:val="0"/>
                <w:i w:val="0"/>
                <w:color w:val="000000"/>
                <w:sz w:val="20"/>
              </w:rPr>
              <w:t>34 (68%)</w:t>
            </w:r>
          </w:p>
        </w:tc>
        <w:tc>
          <w:tcPr>
            <w:tcW w:type="dxa" w:w="1504"/>
          </w:tcPr>
          <w:p>
            <w:pPr>
              <w:spacing w:line="240" w:lineRule="auto" w:after="40" w:before="0"/>
              <w:jc w:val="center"/>
            </w:pPr>
            <w:r>
              <w:rPr>
                <w:rFonts w:ascii="Times New Roman" w:hAnsi="Times New Roman" w:cs="Times New Roman"/>
                <w:b w:val="0"/>
                <w:i w:val="0"/>
                <w:color w:val="000000"/>
                <w:sz w:val="20"/>
              </w:rPr>
              <w:t>25 (50%)</w:t>
            </w:r>
          </w:p>
        </w:tc>
        <w:tc>
          <w:tcPr>
            <w:tcW w:type="dxa" w:w="1504"/>
          </w:tcPr>
          <w:p>
            <w:pPr>
              <w:spacing w:line="240" w:lineRule="auto" w:after="40" w:before="0"/>
              <w:jc w:val="center"/>
            </w:pPr>
            <w:r>
              <w:rPr>
                <w:rFonts w:ascii="Times New Roman" w:hAnsi="Times New Roman" w:cs="Times New Roman"/>
                <w:b w:val="0"/>
                <w:i w:val="0"/>
                <w:color w:val="000000"/>
                <w:sz w:val="20"/>
              </w:rPr>
              <w:t>18 (36%)</w:t>
            </w:r>
          </w:p>
        </w:tc>
        <w:tc>
          <w:tcPr>
            <w:tcW w:type="dxa" w:w="1504"/>
          </w:tcPr>
          <w:p>
            <w:pPr>
              <w:spacing w:line="240" w:lineRule="auto" w:after="40" w:before="0"/>
              <w:jc w:val="center"/>
            </w:pPr>
            <w:r>
              <w:rPr>
                <w:rFonts w:ascii="Times New Roman" w:hAnsi="Times New Roman" w:cs="Times New Roman"/>
                <w:b w:val="0"/>
                <w:i w:val="0"/>
                <w:color w:val="000000"/>
                <w:sz w:val="20"/>
              </w:rPr>
              <w:t>8 (16%)</w:t>
            </w:r>
          </w:p>
        </w:tc>
        <w:tc>
          <w:tcPr>
            <w:tcW w:type="dxa" w:w="1504"/>
          </w:tcPr>
          <w:p>
            <w:pPr>
              <w:spacing w:line="240" w:lineRule="auto" w:after="40" w:before="0"/>
              <w:jc w:val="center"/>
            </w:pPr>
            <w:r>
              <w:rPr>
                <w:rFonts w:ascii="Times New Roman" w:hAnsi="Times New Roman" w:cs="Times New Roman"/>
                <w:b w:val="0"/>
                <w:i w:val="0"/>
                <w:color w:val="000000"/>
                <w:sz w:val="20"/>
              </w:rPr>
              <w:t>85 (42.5%)</w:t>
            </w:r>
          </w:p>
        </w:tc>
      </w:tr>
      <w:tr>
        <w:tc>
          <w:tcPr>
            <w:tcW w:type="dxa" w:w="1504"/>
          </w:tcPr>
          <w:p>
            <w:pPr>
              <w:spacing w:line="240" w:lineRule="auto" w:after="40" w:before="0"/>
              <w:jc w:val="center"/>
            </w:pPr>
            <w:r>
              <w:rPr>
                <w:rFonts w:ascii="Times New Roman" w:hAnsi="Times New Roman" w:cs="Times New Roman"/>
                <w:b w:val="0"/>
                <w:i w:val="0"/>
                <w:color w:val="000000"/>
                <w:sz w:val="20"/>
              </w:rPr>
              <w:t>Total</w:t>
            </w:r>
          </w:p>
        </w:tc>
        <w:tc>
          <w:tcPr>
            <w:tcW w:type="dxa" w:w="1504"/>
          </w:tcPr>
          <w:p>
            <w:pPr>
              <w:spacing w:line="240" w:lineRule="auto" w:after="40" w:before="0"/>
              <w:jc w:val="center"/>
            </w:pPr>
            <w:r>
              <w:rPr>
                <w:rFonts w:ascii="Times New Roman" w:hAnsi="Times New Roman" w:cs="Times New Roman"/>
                <w:b w:val="0"/>
                <w:i w:val="0"/>
                <w:color w:val="000000"/>
                <w:sz w:val="20"/>
              </w:rPr>
              <w:t>50</w:t>
            </w:r>
          </w:p>
        </w:tc>
        <w:tc>
          <w:tcPr>
            <w:tcW w:type="dxa" w:w="1504"/>
          </w:tcPr>
          <w:p>
            <w:pPr>
              <w:spacing w:line="240" w:lineRule="auto" w:after="40" w:before="0"/>
              <w:jc w:val="center"/>
            </w:pPr>
            <w:r>
              <w:rPr>
                <w:rFonts w:ascii="Times New Roman" w:hAnsi="Times New Roman" w:cs="Times New Roman"/>
                <w:b w:val="0"/>
                <w:i w:val="0"/>
                <w:color w:val="000000"/>
                <w:sz w:val="20"/>
              </w:rPr>
              <w:t>50</w:t>
            </w:r>
          </w:p>
        </w:tc>
        <w:tc>
          <w:tcPr>
            <w:tcW w:type="dxa" w:w="1504"/>
          </w:tcPr>
          <w:p>
            <w:pPr>
              <w:spacing w:line="240" w:lineRule="auto" w:after="40" w:before="0"/>
              <w:jc w:val="center"/>
            </w:pPr>
            <w:r>
              <w:rPr>
                <w:rFonts w:ascii="Times New Roman" w:hAnsi="Times New Roman" w:cs="Times New Roman"/>
                <w:b w:val="0"/>
                <w:i w:val="0"/>
                <w:color w:val="000000"/>
                <w:sz w:val="20"/>
              </w:rPr>
              <w:t>50</w:t>
            </w:r>
          </w:p>
        </w:tc>
        <w:tc>
          <w:tcPr>
            <w:tcW w:type="dxa" w:w="1504"/>
          </w:tcPr>
          <w:p>
            <w:pPr>
              <w:spacing w:line="240" w:lineRule="auto" w:after="40" w:before="0"/>
              <w:jc w:val="center"/>
            </w:pPr>
            <w:r>
              <w:rPr>
                <w:rFonts w:ascii="Times New Roman" w:hAnsi="Times New Roman" w:cs="Times New Roman"/>
                <w:b w:val="0"/>
                <w:i w:val="0"/>
                <w:color w:val="000000"/>
                <w:sz w:val="20"/>
              </w:rPr>
              <w:t>50</w:t>
            </w:r>
          </w:p>
        </w:tc>
        <w:tc>
          <w:tcPr>
            <w:tcW w:type="dxa" w:w="1504"/>
          </w:tcPr>
          <w:p>
            <w:pPr>
              <w:spacing w:line="240" w:lineRule="auto" w:after="40" w:before="0"/>
              <w:jc w:val="center"/>
            </w:pPr>
            <w:r>
              <w:rPr>
                <w:rFonts w:ascii="Times New Roman" w:hAnsi="Times New Roman" w:cs="Times New Roman"/>
                <w:b w:val="0"/>
                <w:i w:val="0"/>
                <w:color w:val="000000"/>
                <w:sz w:val="20"/>
              </w:rPr>
              <w:t>200</w:t>
            </w:r>
          </w:p>
        </w:tc>
      </w:tr>
    </w:tbl>
    <w:p>
      <w:pPr>
        <w:spacing w:line="360" w:lineRule="auto" w:after="120" w:before="0"/>
        <w:jc w:val="both"/>
      </w:pPr>
      <w:r>
        <w:rPr>
          <w:rFonts w:ascii="Times New Roman" w:hAnsi="Times New Roman" w:cs="Times New Roman"/>
          <w:b w:val="0"/>
          <w:i w:val="0"/>
          <w:color w:val="000000"/>
          <w:sz w:val="24"/>
        </w:rPr>
        <w:t>Content formats varied substantially across platforms (Table 2). Traditional websites exclusively comprised text articles (n = 50, 100%). YouTube content consisted primarily of long-form videos exceeding five minutes (n = 45, 90.0%), with five short videos. TikTok featured predominantly short videos under 60 seconds (n = 42, 84.0%) alongside eight image-with-caption posts (16.0%). Instagram was dominated by carousels (n = 37, 74.0%) and image-with-caption posts (n = 13, 26.0%).</w:t>
      </w:r>
    </w:p>
    <w:p>
      <w:pPr>
        <w:spacing w:line="360" w:lineRule="auto" w:after="80" w:before="0"/>
        <w:jc w:val="center"/>
      </w:pPr>
      <w:r>
        <w:rPr>
          <w:rFonts w:ascii="Times New Roman" w:hAnsi="Times New Roman" w:cs="Times New Roman"/>
          <w:b/>
          <w:i/>
          <w:color w:val="000000"/>
          <w:sz w:val="22"/>
        </w:rPr>
        <w:t>Table 2. Distribution of Content Formats by Platform</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D9E2F3" w:val="clear"/>
          </w:tcPr>
          <w:p>
            <w:pPr>
              <w:spacing w:line="240" w:lineRule="auto" w:after="40" w:before="0"/>
              <w:jc w:val="center"/>
            </w:pPr>
            <w:r>
              <w:rPr>
                <w:rFonts w:ascii="Times New Roman" w:hAnsi="Times New Roman" w:cs="Times New Roman"/>
                <w:b/>
                <w:i w:val="0"/>
                <w:color w:val="000000"/>
                <w:sz w:val="20"/>
              </w:rPr>
              <w:t>Format</w:t>
            </w:r>
          </w:p>
        </w:tc>
        <w:tc>
          <w:tcPr>
            <w:tcW w:type="dxa" w:w="1504"/>
            <w:shd w:fill="D9E2F3" w:val="clear"/>
          </w:tcPr>
          <w:p>
            <w:pPr>
              <w:spacing w:line="240" w:lineRule="auto" w:after="40" w:before="0"/>
              <w:jc w:val="center"/>
            </w:pPr>
            <w:r>
              <w:rPr>
                <w:rFonts w:ascii="Times New Roman" w:hAnsi="Times New Roman" w:cs="Times New Roman"/>
                <w:b/>
                <w:i w:val="0"/>
                <w:color w:val="000000"/>
                <w:sz w:val="20"/>
              </w:rPr>
              <w:t>Website</w:t>
            </w:r>
          </w:p>
        </w:tc>
        <w:tc>
          <w:tcPr>
            <w:tcW w:type="dxa" w:w="1504"/>
            <w:shd w:fill="D9E2F3" w:val="clear"/>
          </w:tcPr>
          <w:p>
            <w:pPr>
              <w:spacing w:line="240" w:lineRule="auto" w:after="40" w:before="0"/>
              <w:jc w:val="center"/>
            </w:pPr>
            <w:r>
              <w:rPr>
                <w:rFonts w:ascii="Times New Roman" w:hAnsi="Times New Roman" w:cs="Times New Roman"/>
                <w:b/>
                <w:i w:val="0"/>
                <w:color w:val="000000"/>
                <w:sz w:val="20"/>
              </w:rPr>
              <w:t>YouTube</w:t>
            </w:r>
          </w:p>
        </w:tc>
        <w:tc>
          <w:tcPr>
            <w:tcW w:type="dxa" w:w="1504"/>
            <w:shd w:fill="D9E2F3" w:val="clear"/>
          </w:tcPr>
          <w:p>
            <w:pPr>
              <w:spacing w:line="240" w:lineRule="auto" w:after="40" w:before="0"/>
              <w:jc w:val="center"/>
            </w:pPr>
            <w:r>
              <w:rPr>
                <w:rFonts w:ascii="Times New Roman" w:hAnsi="Times New Roman" w:cs="Times New Roman"/>
                <w:b/>
                <w:i w:val="0"/>
                <w:color w:val="000000"/>
                <w:sz w:val="20"/>
              </w:rPr>
              <w:t>TikTok</w:t>
            </w:r>
          </w:p>
        </w:tc>
        <w:tc>
          <w:tcPr>
            <w:tcW w:type="dxa" w:w="1504"/>
            <w:shd w:fill="D9E2F3" w:val="clear"/>
          </w:tcPr>
          <w:p>
            <w:pPr>
              <w:spacing w:line="240" w:lineRule="auto" w:after="40" w:before="0"/>
              <w:jc w:val="center"/>
            </w:pPr>
            <w:r>
              <w:rPr>
                <w:rFonts w:ascii="Times New Roman" w:hAnsi="Times New Roman" w:cs="Times New Roman"/>
                <w:b/>
                <w:i w:val="0"/>
                <w:color w:val="000000"/>
                <w:sz w:val="20"/>
              </w:rPr>
              <w:t>Instagram</w:t>
            </w:r>
          </w:p>
        </w:tc>
        <w:tc>
          <w:tcPr>
            <w:tcW w:type="dxa" w:w="1504"/>
            <w:shd w:fill="D9E2F3" w:val="clear"/>
          </w:tcPr>
          <w:p>
            <w:pPr>
              <w:spacing w:line="240" w:lineRule="auto" w:after="40" w:before="0"/>
              <w:jc w:val="center"/>
            </w:pPr>
            <w:r>
              <w:rPr>
                <w:rFonts w:ascii="Times New Roman" w:hAnsi="Times New Roman" w:cs="Times New Roman"/>
                <w:b/>
                <w:i w:val="0"/>
                <w:color w:val="000000"/>
                <w:sz w:val="20"/>
              </w:rPr>
              <w:t>Total</w:t>
            </w:r>
          </w:p>
        </w:tc>
      </w:tr>
      <w:tr>
        <w:tc>
          <w:tcPr>
            <w:tcW w:type="dxa" w:w="1504"/>
          </w:tcPr>
          <w:p>
            <w:pPr>
              <w:spacing w:line="240" w:lineRule="auto" w:after="40" w:before="0"/>
              <w:jc w:val="center"/>
            </w:pPr>
            <w:r>
              <w:rPr>
                <w:rFonts w:ascii="Times New Roman" w:hAnsi="Times New Roman" w:cs="Times New Roman"/>
                <w:b w:val="0"/>
                <w:i w:val="0"/>
                <w:color w:val="000000"/>
                <w:sz w:val="20"/>
              </w:rPr>
              <w:t>Text Article</w:t>
            </w:r>
          </w:p>
        </w:tc>
        <w:tc>
          <w:tcPr>
            <w:tcW w:type="dxa" w:w="1504"/>
          </w:tcPr>
          <w:p>
            <w:pPr>
              <w:spacing w:line="240" w:lineRule="auto" w:after="40" w:before="0"/>
              <w:jc w:val="center"/>
            </w:pPr>
            <w:r>
              <w:rPr>
                <w:rFonts w:ascii="Times New Roman" w:hAnsi="Times New Roman" w:cs="Times New Roman"/>
                <w:b w:val="0"/>
                <w:i w:val="0"/>
                <w:color w:val="000000"/>
                <w:sz w:val="20"/>
              </w:rPr>
              <w:t>50 (100%)</w:t>
            </w:r>
          </w:p>
        </w:tc>
        <w:tc>
          <w:tcPr>
            <w:tcW w:type="dxa" w:w="1504"/>
          </w:tcPr>
          <w:p>
            <w:pPr>
              <w:spacing w:line="240" w:lineRule="auto" w:after="40" w:before="0"/>
              <w:jc w:val="center"/>
            </w:pPr>
            <w:r>
              <w:rPr>
                <w:rFonts w:ascii="Times New Roman" w:hAnsi="Times New Roman" w:cs="Times New Roman"/>
                <w:b w:val="0"/>
                <w:i w:val="0"/>
                <w:color w:val="000000"/>
                <w:sz w:val="20"/>
              </w:rPr>
              <w:t>0</w:t>
            </w:r>
          </w:p>
        </w:tc>
        <w:tc>
          <w:tcPr>
            <w:tcW w:type="dxa" w:w="1504"/>
          </w:tcPr>
          <w:p>
            <w:pPr>
              <w:spacing w:line="240" w:lineRule="auto" w:after="40" w:before="0"/>
              <w:jc w:val="center"/>
            </w:pPr>
            <w:r>
              <w:rPr>
                <w:rFonts w:ascii="Times New Roman" w:hAnsi="Times New Roman" w:cs="Times New Roman"/>
                <w:b w:val="0"/>
                <w:i w:val="0"/>
                <w:color w:val="000000"/>
                <w:sz w:val="20"/>
              </w:rPr>
              <w:t>0</w:t>
            </w:r>
          </w:p>
        </w:tc>
        <w:tc>
          <w:tcPr>
            <w:tcW w:type="dxa" w:w="1504"/>
          </w:tcPr>
          <w:p>
            <w:pPr>
              <w:spacing w:line="240" w:lineRule="auto" w:after="40" w:before="0"/>
              <w:jc w:val="center"/>
            </w:pPr>
            <w:r>
              <w:rPr>
                <w:rFonts w:ascii="Times New Roman" w:hAnsi="Times New Roman" w:cs="Times New Roman"/>
                <w:b w:val="0"/>
                <w:i w:val="0"/>
                <w:color w:val="000000"/>
                <w:sz w:val="20"/>
              </w:rPr>
              <w:t>0</w:t>
            </w:r>
          </w:p>
        </w:tc>
        <w:tc>
          <w:tcPr>
            <w:tcW w:type="dxa" w:w="1504"/>
          </w:tcPr>
          <w:p>
            <w:pPr>
              <w:spacing w:line="240" w:lineRule="auto" w:after="40" w:before="0"/>
              <w:jc w:val="center"/>
            </w:pPr>
            <w:r>
              <w:rPr>
                <w:rFonts w:ascii="Times New Roman" w:hAnsi="Times New Roman" w:cs="Times New Roman"/>
                <w:b w:val="0"/>
                <w:i w:val="0"/>
                <w:color w:val="000000"/>
                <w:sz w:val="20"/>
              </w:rPr>
              <w:t>50 (25.0%)</w:t>
            </w:r>
          </w:p>
        </w:tc>
      </w:tr>
      <w:tr>
        <w:tc>
          <w:tcPr>
            <w:tcW w:type="dxa" w:w="1504"/>
          </w:tcPr>
          <w:p>
            <w:pPr>
              <w:spacing w:line="240" w:lineRule="auto" w:after="40" w:before="0"/>
              <w:jc w:val="center"/>
            </w:pPr>
            <w:r>
              <w:rPr>
                <w:rFonts w:ascii="Times New Roman" w:hAnsi="Times New Roman" w:cs="Times New Roman"/>
                <w:b w:val="0"/>
                <w:i w:val="0"/>
                <w:color w:val="000000"/>
                <w:sz w:val="20"/>
              </w:rPr>
              <w:t>Long Video (&gt;5 min)</w:t>
            </w:r>
          </w:p>
        </w:tc>
        <w:tc>
          <w:tcPr>
            <w:tcW w:type="dxa" w:w="1504"/>
          </w:tcPr>
          <w:p>
            <w:pPr>
              <w:spacing w:line="240" w:lineRule="auto" w:after="40" w:before="0"/>
              <w:jc w:val="center"/>
            </w:pPr>
            <w:r>
              <w:rPr>
                <w:rFonts w:ascii="Times New Roman" w:hAnsi="Times New Roman" w:cs="Times New Roman"/>
                <w:b w:val="0"/>
                <w:i w:val="0"/>
                <w:color w:val="000000"/>
                <w:sz w:val="20"/>
              </w:rPr>
              <w:t>0</w:t>
            </w:r>
          </w:p>
        </w:tc>
        <w:tc>
          <w:tcPr>
            <w:tcW w:type="dxa" w:w="1504"/>
          </w:tcPr>
          <w:p>
            <w:pPr>
              <w:spacing w:line="240" w:lineRule="auto" w:after="40" w:before="0"/>
              <w:jc w:val="center"/>
            </w:pPr>
            <w:r>
              <w:rPr>
                <w:rFonts w:ascii="Times New Roman" w:hAnsi="Times New Roman" w:cs="Times New Roman"/>
                <w:b w:val="0"/>
                <w:i w:val="0"/>
                <w:color w:val="000000"/>
                <w:sz w:val="20"/>
              </w:rPr>
              <w:t>45 (90%)</w:t>
            </w:r>
          </w:p>
        </w:tc>
        <w:tc>
          <w:tcPr>
            <w:tcW w:type="dxa" w:w="1504"/>
          </w:tcPr>
          <w:p>
            <w:pPr>
              <w:spacing w:line="240" w:lineRule="auto" w:after="40" w:before="0"/>
              <w:jc w:val="center"/>
            </w:pPr>
            <w:r>
              <w:rPr>
                <w:rFonts w:ascii="Times New Roman" w:hAnsi="Times New Roman" w:cs="Times New Roman"/>
                <w:b w:val="0"/>
                <w:i w:val="0"/>
                <w:color w:val="000000"/>
                <w:sz w:val="20"/>
              </w:rPr>
              <w:t>0</w:t>
            </w:r>
          </w:p>
        </w:tc>
        <w:tc>
          <w:tcPr>
            <w:tcW w:type="dxa" w:w="1504"/>
          </w:tcPr>
          <w:p>
            <w:pPr>
              <w:spacing w:line="240" w:lineRule="auto" w:after="40" w:before="0"/>
              <w:jc w:val="center"/>
            </w:pPr>
            <w:r>
              <w:rPr>
                <w:rFonts w:ascii="Times New Roman" w:hAnsi="Times New Roman" w:cs="Times New Roman"/>
                <w:b w:val="0"/>
                <w:i w:val="0"/>
                <w:color w:val="000000"/>
                <w:sz w:val="20"/>
              </w:rPr>
              <w:t>0</w:t>
            </w:r>
          </w:p>
        </w:tc>
        <w:tc>
          <w:tcPr>
            <w:tcW w:type="dxa" w:w="1504"/>
          </w:tcPr>
          <w:p>
            <w:pPr>
              <w:spacing w:line="240" w:lineRule="auto" w:after="40" w:before="0"/>
              <w:jc w:val="center"/>
            </w:pPr>
            <w:r>
              <w:rPr>
                <w:rFonts w:ascii="Times New Roman" w:hAnsi="Times New Roman" w:cs="Times New Roman"/>
                <w:b w:val="0"/>
                <w:i w:val="0"/>
                <w:color w:val="000000"/>
                <w:sz w:val="20"/>
              </w:rPr>
              <w:t>45 (22.5%)</w:t>
            </w:r>
          </w:p>
        </w:tc>
      </w:tr>
      <w:tr>
        <w:tc>
          <w:tcPr>
            <w:tcW w:type="dxa" w:w="1504"/>
          </w:tcPr>
          <w:p>
            <w:pPr>
              <w:spacing w:line="240" w:lineRule="auto" w:after="40" w:before="0"/>
              <w:jc w:val="center"/>
            </w:pPr>
            <w:r>
              <w:rPr>
                <w:rFonts w:ascii="Times New Roman" w:hAnsi="Times New Roman" w:cs="Times New Roman"/>
                <w:b w:val="0"/>
                <w:i w:val="0"/>
                <w:color w:val="000000"/>
                <w:sz w:val="20"/>
              </w:rPr>
              <w:t>Short Video (&lt;60 s)</w:t>
            </w:r>
          </w:p>
        </w:tc>
        <w:tc>
          <w:tcPr>
            <w:tcW w:type="dxa" w:w="1504"/>
          </w:tcPr>
          <w:p>
            <w:pPr>
              <w:spacing w:line="240" w:lineRule="auto" w:after="40" w:before="0"/>
              <w:jc w:val="center"/>
            </w:pPr>
            <w:r>
              <w:rPr>
                <w:rFonts w:ascii="Times New Roman" w:hAnsi="Times New Roman" w:cs="Times New Roman"/>
                <w:b w:val="0"/>
                <w:i w:val="0"/>
                <w:color w:val="000000"/>
                <w:sz w:val="20"/>
              </w:rPr>
              <w:t>0</w:t>
            </w:r>
          </w:p>
        </w:tc>
        <w:tc>
          <w:tcPr>
            <w:tcW w:type="dxa" w:w="1504"/>
          </w:tcPr>
          <w:p>
            <w:pPr>
              <w:spacing w:line="240" w:lineRule="auto" w:after="40" w:before="0"/>
              <w:jc w:val="center"/>
            </w:pPr>
            <w:r>
              <w:rPr>
                <w:rFonts w:ascii="Times New Roman" w:hAnsi="Times New Roman" w:cs="Times New Roman"/>
                <w:b w:val="0"/>
                <w:i w:val="0"/>
                <w:color w:val="000000"/>
                <w:sz w:val="20"/>
              </w:rPr>
              <w:t>5 (10%)</w:t>
            </w:r>
          </w:p>
        </w:tc>
        <w:tc>
          <w:tcPr>
            <w:tcW w:type="dxa" w:w="1504"/>
          </w:tcPr>
          <w:p>
            <w:pPr>
              <w:spacing w:line="240" w:lineRule="auto" w:after="40" w:before="0"/>
              <w:jc w:val="center"/>
            </w:pPr>
            <w:r>
              <w:rPr>
                <w:rFonts w:ascii="Times New Roman" w:hAnsi="Times New Roman" w:cs="Times New Roman"/>
                <w:b w:val="0"/>
                <w:i w:val="0"/>
                <w:color w:val="000000"/>
                <w:sz w:val="20"/>
              </w:rPr>
              <w:t>42 (84%)</w:t>
            </w:r>
          </w:p>
        </w:tc>
        <w:tc>
          <w:tcPr>
            <w:tcW w:type="dxa" w:w="1504"/>
          </w:tcPr>
          <w:p>
            <w:pPr>
              <w:spacing w:line="240" w:lineRule="auto" w:after="40" w:before="0"/>
              <w:jc w:val="center"/>
            </w:pPr>
            <w:r>
              <w:rPr>
                <w:rFonts w:ascii="Times New Roman" w:hAnsi="Times New Roman" w:cs="Times New Roman"/>
                <w:b w:val="0"/>
                <w:i w:val="0"/>
                <w:color w:val="000000"/>
                <w:sz w:val="20"/>
              </w:rPr>
              <w:t>0</w:t>
            </w:r>
          </w:p>
        </w:tc>
        <w:tc>
          <w:tcPr>
            <w:tcW w:type="dxa" w:w="1504"/>
          </w:tcPr>
          <w:p>
            <w:pPr>
              <w:spacing w:line="240" w:lineRule="auto" w:after="40" w:before="0"/>
              <w:jc w:val="center"/>
            </w:pPr>
            <w:r>
              <w:rPr>
                <w:rFonts w:ascii="Times New Roman" w:hAnsi="Times New Roman" w:cs="Times New Roman"/>
                <w:b w:val="0"/>
                <w:i w:val="0"/>
                <w:color w:val="000000"/>
                <w:sz w:val="20"/>
              </w:rPr>
              <w:t>47 (23.5%)</w:t>
            </w:r>
          </w:p>
        </w:tc>
      </w:tr>
      <w:tr>
        <w:tc>
          <w:tcPr>
            <w:tcW w:type="dxa" w:w="1504"/>
          </w:tcPr>
          <w:p>
            <w:pPr>
              <w:spacing w:line="240" w:lineRule="auto" w:after="40" w:before="0"/>
              <w:jc w:val="center"/>
            </w:pPr>
            <w:r>
              <w:rPr>
                <w:rFonts w:ascii="Times New Roman" w:hAnsi="Times New Roman" w:cs="Times New Roman"/>
                <w:b w:val="0"/>
                <w:i w:val="0"/>
                <w:color w:val="000000"/>
                <w:sz w:val="20"/>
              </w:rPr>
              <w:t>Image + Caption</w:t>
            </w:r>
          </w:p>
        </w:tc>
        <w:tc>
          <w:tcPr>
            <w:tcW w:type="dxa" w:w="1504"/>
          </w:tcPr>
          <w:p>
            <w:pPr>
              <w:spacing w:line="240" w:lineRule="auto" w:after="40" w:before="0"/>
              <w:jc w:val="center"/>
            </w:pPr>
            <w:r>
              <w:rPr>
                <w:rFonts w:ascii="Times New Roman" w:hAnsi="Times New Roman" w:cs="Times New Roman"/>
                <w:b w:val="0"/>
                <w:i w:val="0"/>
                <w:color w:val="000000"/>
                <w:sz w:val="20"/>
              </w:rPr>
              <w:t>0</w:t>
            </w:r>
          </w:p>
        </w:tc>
        <w:tc>
          <w:tcPr>
            <w:tcW w:type="dxa" w:w="1504"/>
          </w:tcPr>
          <w:p>
            <w:pPr>
              <w:spacing w:line="240" w:lineRule="auto" w:after="40" w:before="0"/>
              <w:jc w:val="center"/>
            </w:pPr>
            <w:r>
              <w:rPr>
                <w:rFonts w:ascii="Times New Roman" w:hAnsi="Times New Roman" w:cs="Times New Roman"/>
                <w:b w:val="0"/>
                <w:i w:val="0"/>
                <w:color w:val="000000"/>
                <w:sz w:val="20"/>
              </w:rPr>
              <w:t>0</w:t>
            </w:r>
          </w:p>
        </w:tc>
        <w:tc>
          <w:tcPr>
            <w:tcW w:type="dxa" w:w="1504"/>
          </w:tcPr>
          <w:p>
            <w:pPr>
              <w:spacing w:line="240" w:lineRule="auto" w:after="40" w:before="0"/>
              <w:jc w:val="center"/>
            </w:pPr>
            <w:r>
              <w:rPr>
                <w:rFonts w:ascii="Times New Roman" w:hAnsi="Times New Roman" w:cs="Times New Roman"/>
                <w:b w:val="0"/>
                <w:i w:val="0"/>
                <w:color w:val="000000"/>
                <w:sz w:val="20"/>
              </w:rPr>
              <w:t>8 (16%)</w:t>
            </w:r>
          </w:p>
        </w:tc>
        <w:tc>
          <w:tcPr>
            <w:tcW w:type="dxa" w:w="1504"/>
          </w:tcPr>
          <w:p>
            <w:pPr>
              <w:spacing w:line="240" w:lineRule="auto" w:after="40" w:before="0"/>
              <w:jc w:val="center"/>
            </w:pPr>
            <w:r>
              <w:rPr>
                <w:rFonts w:ascii="Times New Roman" w:hAnsi="Times New Roman" w:cs="Times New Roman"/>
                <w:b w:val="0"/>
                <w:i w:val="0"/>
                <w:color w:val="000000"/>
                <w:sz w:val="20"/>
              </w:rPr>
              <w:t>13 (26%)</w:t>
            </w:r>
          </w:p>
        </w:tc>
        <w:tc>
          <w:tcPr>
            <w:tcW w:type="dxa" w:w="1504"/>
          </w:tcPr>
          <w:p>
            <w:pPr>
              <w:spacing w:line="240" w:lineRule="auto" w:after="40" w:before="0"/>
              <w:jc w:val="center"/>
            </w:pPr>
            <w:r>
              <w:rPr>
                <w:rFonts w:ascii="Times New Roman" w:hAnsi="Times New Roman" w:cs="Times New Roman"/>
                <w:b w:val="0"/>
                <w:i w:val="0"/>
                <w:color w:val="000000"/>
                <w:sz w:val="20"/>
              </w:rPr>
              <w:t>21 (10.5%)</w:t>
            </w:r>
          </w:p>
        </w:tc>
      </w:tr>
      <w:tr>
        <w:tc>
          <w:tcPr>
            <w:tcW w:type="dxa" w:w="1504"/>
          </w:tcPr>
          <w:p>
            <w:pPr>
              <w:spacing w:line="240" w:lineRule="auto" w:after="40" w:before="0"/>
              <w:jc w:val="center"/>
            </w:pPr>
            <w:r>
              <w:rPr>
                <w:rFonts w:ascii="Times New Roman" w:hAnsi="Times New Roman" w:cs="Times New Roman"/>
                <w:b w:val="0"/>
                <w:i w:val="0"/>
                <w:color w:val="000000"/>
                <w:sz w:val="20"/>
              </w:rPr>
              <w:t>Carousel</w:t>
            </w:r>
          </w:p>
        </w:tc>
        <w:tc>
          <w:tcPr>
            <w:tcW w:type="dxa" w:w="1504"/>
          </w:tcPr>
          <w:p>
            <w:pPr>
              <w:spacing w:line="240" w:lineRule="auto" w:after="40" w:before="0"/>
              <w:jc w:val="center"/>
            </w:pPr>
            <w:r>
              <w:rPr>
                <w:rFonts w:ascii="Times New Roman" w:hAnsi="Times New Roman" w:cs="Times New Roman"/>
                <w:b w:val="0"/>
                <w:i w:val="0"/>
                <w:color w:val="000000"/>
                <w:sz w:val="20"/>
              </w:rPr>
              <w:t>0</w:t>
            </w:r>
          </w:p>
        </w:tc>
        <w:tc>
          <w:tcPr>
            <w:tcW w:type="dxa" w:w="1504"/>
          </w:tcPr>
          <w:p>
            <w:pPr>
              <w:spacing w:line="240" w:lineRule="auto" w:after="40" w:before="0"/>
              <w:jc w:val="center"/>
            </w:pPr>
            <w:r>
              <w:rPr>
                <w:rFonts w:ascii="Times New Roman" w:hAnsi="Times New Roman" w:cs="Times New Roman"/>
                <w:b w:val="0"/>
                <w:i w:val="0"/>
                <w:color w:val="000000"/>
                <w:sz w:val="20"/>
              </w:rPr>
              <w:t>0</w:t>
            </w:r>
          </w:p>
        </w:tc>
        <w:tc>
          <w:tcPr>
            <w:tcW w:type="dxa" w:w="1504"/>
          </w:tcPr>
          <w:p>
            <w:pPr>
              <w:spacing w:line="240" w:lineRule="auto" w:after="40" w:before="0"/>
              <w:jc w:val="center"/>
            </w:pPr>
            <w:r>
              <w:rPr>
                <w:rFonts w:ascii="Times New Roman" w:hAnsi="Times New Roman" w:cs="Times New Roman"/>
                <w:b w:val="0"/>
                <w:i w:val="0"/>
                <w:color w:val="000000"/>
                <w:sz w:val="20"/>
              </w:rPr>
              <w:t>0</w:t>
            </w:r>
          </w:p>
        </w:tc>
        <w:tc>
          <w:tcPr>
            <w:tcW w:type="dxa" w:w="1504"/>
          </w:tcPr>
          <w:p>
            <w:pPr>
              <w:spacing w:line="240" w:lineRule="auto" w:after="40" w:before="0"/>
              <w:jc w:val="center"/>
            </w:pPr>
            <w:r>
              <w:rPr>
                <w:rFonts w:ascii="Times New Roman" w:hAnsi="Times New Roman" w:cs="Times New Roman"/>
                <w:b w:val="0"/>
                <w:i w:val="0"/>
                <w:color w:val="000000"/>
                <w:sz w:val="20"/>
              </w:rPr>
              <w:t>37 (74%)</w:t>
            </w:r>
          </w:p>
        </w:tc>
        <w:tc>
          <w:tcPr>
            <w:tcW w:type="dxa" w:w="1504"/>
          </w:tcPr>
          <w:p>
            <w:pPr>
              <w:spacing w:line="240" w:lineRule="auto" w:after="40" w:before="0"/>
              <w:jc w:val="center"/>
            </w:pPr>
            <w:r>
              <w:rPr>
                <w:rFonts w:ascii="Times New Roman" w:hAnsi="Times New Roman" w:cs="Times New Roman"/>
                <w:b w:val="0"/>
                <w:i w:val="0"/>
                <w:color w:val="000000"/>
                <w:sz w:val="20"/>
              </w:rPr>
              <w:t>37 (18.5%)</w:t>
            </w:r>
          </w:p>
        </w:tc>
      </w:tr>
    </w:tbl>
    <w:p>
      <w:pPr>
        <w:spacing w:line="360" w:lineRule="auto" w:after="200" w:before="0"/>
        <w:jc w:val="both"/>
      </w:pPr>
      <w:r>
        <w:rPr>
          <w:rFonts w:ascii="Times New Roman" w:hAnsi="Times New Roman" w:cs="Times New Roman"/>
          <w:b/>
          <w:i w:val="0"/>
          <w:color w:val="000000"/>
          <w:sz w:val="26"/>
        </w:rPr>
        <w:t>3.2 Inter-Rater Reliability</w:t>
      </w:r>
    </w:p>
    <w:p>
      <w:pPr>
        <w:spacing w:line="360" w:lineRule="auto" w:after="120" w:before="0"/>
        <w:jc w:val="both"/>
      </w:pPr>
      <w:r>
        <w:rPr>
          <w:rFonts w:ascii="Times New Roman" w:hAnsi="Times New Roman" w:cs="Times New Roman"/>
          <w:b w:val="0"/>
          <w:i w:val="0"/>
          <w:color w:val="000000"/>
          <w:sz w:val="24"/>
        </w:rPr>
        <w:t>A second rater independently scored a random subset of 40 items (20% of the total sample; 10 per platform) to establish inter-rater reliability. For DISCERN total scores, the intraclass correlation coefficient (ICC) was calculated using a two-way mixed-effects model with absolute agreement (ICC[3,1]). The resulting ICC was 0.932 (95% CI [0.870, 0.960]), indicating excellent agreement between raters (Koo &amp; Li, 2016). This value substantially exceeds the pre-specified threshold of ICC &gt;= 0.75.</w:t>
      </w:r>
    </w:p>
    <w:p>
      <w:pPr>
        <w:spacing w:line="360" w:lineRule="auto" w:after="120" w:before="0"/>
        <w:jc w:val="both"/>
      </w:pPr>
      <w:r>
        <w:rPr>
          <w:rFonts w:ascii="Times New Roman" w:hAnsi="Times New Roman" w:cs="Times New Roman"/>
          <w:b w:val="0"/>
          <w:i w:val="0"/>
          <w:color w:val="000000"/>
          <w:sz w:val="24"/>
        </w:rPr>
        <w:t>For the four binary JAMA benchmark criteria, inter-rater agreement was assessed using Cohen's kappa. Authorship (kappa = 0.671) and Attribution (kappa = 0.615) demonstrated substantial agreement (Landis &amp; Koch, 1977). However, Disclosure (kappa = 0.273) and Currency (kappa = 0.216) yielded only fair agreement. These lower kappa values should be interpreted with caution due to the kappa paradox (Feinstein &amp; Cicchetti, 1990): when the prevalence of one category is very high (e.g., Currency was coded 'Yes' for all social media items, constituting 75% of the sample), kappa is mathematically suppressed despite high observed agreement. The overall percentage agreement for Currency was 92.5% and for Disclosure was 87.5%, suggesting that the low kappa values reflect distributional artefacts rather than genuine disagreement between raters.</w:t>
      </w:r>
    </w:p>
    <w:p>
      <w:pPr>
        <w:spacing w:line="360" w:lineRule="auto" w:after="200" w:before="0"/>
        <w:jc w:val="both"/>
      </w:pPr>
      <w:r>
        <w:rPr>
          <w:rFonts w:ascii="Times New Roman" w:hAnsi="Times New Roman" w:cs="Times New Roman"/>
          <w:b/>
          <w:i w:val="0"/>
          <w:color w:val="000000"/>
          <w:sz w:val="26"/>
        </w:rPr>
        <w:t>3.3 DISCERN Scores by Platform</w:t>
      </w:r>
    </w:p>
    <w:p>
      <w:pPr>
        <w:spacing w:line="360" w:lineRule="auto" w:after="120" w:before="0"/>
        <w:jc w:val="both"/>
      </w:pPr>
      <w:r>
        <w:rPr>
          <w:rFonts w:ascii="Times New Roman" w:hAnsi="Times New Roman" w:cs="Times New Roman"/>
          <w:b w:val="0"/>
          <w:i w:val="0"/>
          <w:color w:val="000000"/>
          <w:sz w:val="24"/>
        </w:rPr>
        <w:t>Descriptive statistics for DISCERN total scores by platform are presented in Table 3. The overall sample mean was 38.71 (SD = 10.09), with a median of 38.0 (range: 17–64). Traditional websites achieved the highest median score (Mdn = 48.5, IQR = 9.75), followed by YouTube (Mdn = 42.0, IQR = 9.00), TikTok (Mdn = 35.0, IQR = 8.50), and Instagram (Mdn = 27.5, IQR = 9.00). Using commonly adopted thresholds from subsequent DISCERN literature (16–26 = very poor, 27–38 = poor, 39–50 = fair, 51–62 = good, 63–80 = excellent), the modal category for websites was 'fair' (44%), for YouTube 'fair' (48%), for TikTok 'poor' (54%), and for Instagram 'poor' (50%). Notably, 42% of Instagram items scored in the 'very poor' range, compared with 0% for both websites and YouTube.</w:t>
      </w:r>
    </w:p>
    <w:p>
      <w:pPr>
        <w:spacing w:line="360" w:lineRule="auto" w:after="80" w:before="0"/>
        <w:jc w:val="center"/>
      </w:pPr>
      <w:r>
        <w:rPr>
          <w:rFonts w:ascii="Times New Roman" w:hAnsi="Times New Roman" w:cs="Times New Roman"/>
          <w:b/>
          <w:i/>
          <w:color w:val="000000"/>
          <w:sz w:val="22"/>
        </w:rPr>
        <w:t>Table 3. DISCERN Total Scores by Platform</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fill="D9E2F3" w:val="clear"/>
          </w:tcPr>
          <w:p>
            <w:pPr>
              <w:spacing w:line="240" w:lineRule="auto" w:after="40" w:before="0"/>
              <w:jc w:val="center"/>
            </w:pPr>
            <w:r>
              <w:rPr>
                <w:rFonts w:ascii="Times New Roman" w:hAnsi="Times New Roman" w:cs="Times New Roman"/>
                <w:b/>
                <w:i w:val="0"/>
                <w:color w:val="000000"/>
                <w:sz w:val="20"/>
              </w:rPr>
              <w:t>Platform</w:t>
            </w:r>
          </w:p>
        </w:tc>
        <w:tc>
          <w:tcPr>
            <w:tcW w:type="dxa" w:w="1003"/>
            <w:shd w:fill="D9E2F3" w:val="clear"/>
          </w:tcPr>
          <w:p>
            <w:pPr>
              <w:spacing w:line="240" w:lineRule="auto" w:after="40" w:before="0"/>
              <w:jc w:val="center"/>
            </w:pPr>
            <w:r>
              <w:rPr>
                <w:rFonts w:ascii="Times New Roman" w:hAnsi="Times New Roman" w:cs="Times New Roman"/>
                <w:b/>
                <w:i w:val="0"/>
                <w:color w:val="000000"/>
                <w:sz w:val="20"/>
              </w:rPr>
              <w:t>n</w:t>
            </w:r>
          </w:p>
        </w:tc>
        <w:tc>
          <w:tcPr>
            <w:tcW w:type="dxa" w:w="1003"/>
            <w:shd w:fill="D9E2F3" w:val="clear"/>
          </w:tcPr>
          <w:p>
            <w:pPr>
              <w:spacing w:line="240" w:lineRule="auto" w:after="40" w:before="0"/>
              <w:jc w:val="center"/>
            </w:pPr>
            <w:r>
              <w:rPr>
                <w:rFonts w:ascii="Times New Roman" w:hAnsi="Times New Roman" w:cs="Times New Roman"/>
                <w:b/>
                <w:i w:val="0"/>
                <w:color w:val="000000"/>
                <w:sz w:val="20"/>
              </w:rPr>
              <w:t>M</w:t>
            </w:r>
          </w:p>
        </w:tc>
        <w:tc>
          <w:tcPr>
            <w:tcW w:type="dxa" w:w="1003"/>
            <w:shd w:fill="D9E2F3" w:val="clear"/>
          </w:tcPr>
          <w:p>
            <w:pPr>
              <w:spacing w:line="240" w:lineRule="auto" w:after="40" w:before="0"/>
              <w:jc w:val="center"/>
            </w:pPr>
            <w:r>
              <w:rPr>
                <w:rFonts w:ascii="Times New Roman" w:hAnsi="Times New Roman" w:cs="Times New Roman"/>
                <w:b/>
                <w:i w:val="0"/>
                <w:color w:val="000000"/>
                <w:sz w:val="20"/>
              </w:rPr>
              <w:t>SD</w:t>
            </w:r>
          </w:p>
        </w:tc>
        <w:tc>
          <w:tcPr>
            <w:tcW w:type="dxa" w:w="1003"/>
            <w:shd w:fill="D9E2F3" w:val="clear"/>
          </w:tcPr>
          <w:p>
            <w:pPr>
              <w:spacing w:line="240" w:lineRule="auto" w:after="40" w:before="0"/>
              <w:jc w:val="center"/>
            </w:pPr>
            <w:r>
              <w:rPr>
                <w:rFonts w:ascii="Times New Roman" w:hAnsi="Times New Roman" w:cs="Times New Roman"/>
                <w:b/>
                <w:i w:val="0"/>
                <w:color w:val="000000"/>
                <w:sz w:val="20"/>
              </w:rPr>
              <w:t>Mdn</w:t>
            </w:r>
          </w:p>
        </w:tc>
        <w:tc>
          <w:tcPr>
            <w:tcW w:type="dxa" w:w="1003"/>
            <w:shd w:fill="D9E2F3" w:val="clear"/>
          </w:tcPr>
          <w:p>
            <w:pPr>
              <w:spacing w:line="240" w:lineRule="auto" w:after="40" w:before="0"/>
              <w:jc w:val="center"/>
            </w:pPr>
            <w:r>
              <w:rPr>
                <w:rFonts w:ascii="Times New Roman" w:hAnsi="Times New Roman" w:cs="Times New Roman"/>
                <w:b/>
                <w:i w:val="0"/>
                <w:color w:val="000000"/>
                <w:sz w:val="20"/>
              </w:rPr>
              <w:t>Q1</w:t>
            </w:r>
          </w:p>
        </w:tc>
        <w:tc>
          <w:tcPr>
            <w:tcW w:type="dxa" w:w="1003"/>
            <w:shd w:fill="D9E2F3" w:val="clear"/>
          </w:tcPr>
          <w:p>
            <w:pPr>
              <w:spacing w:line="240" w:lineRule="auto" w:after="40" w:before="0"/>
              <w:jc w:val="center"/>
            </w:pPr>
            <w:r>
              <w:rPr>
                <w:rFonts w:ascii="Times New Roman" w:hAnsi="Times New Roman" w:cs="Times New Roman"/>
                <w:b/>
                <w:i w:val="0"/>
                <w:color w:val="000000"/>
                <w:sz w:val="20"/>
              </w:rPr>
              <w:t>Q3</w:t>
            </w:r>
          </w:p>
        </w:tc>
        <w:tc>
          <w:tcPr>
            <w:tcW w:type="dxa" w:w="1003"/>
            <w:shd w:fill="D9E2F3" w:val="clear"/>
          </w:tcPr>
          <w:p>
            <w:pPr>
              <w:spacing w:line="240" w:lineRule="auto" w:after="40" w:before="0"/>
              <w:jc w:val="center"/>
            </w:pPr>
            <w:r>
              <w:rPr>
                <w:rFonts w:ascii="Times New Roman" w:hAnsi="Times New Roman" w:cs="Times New Roman"/>
                <w:b/>
                <w:i w:val="0"/>
                <w:color w:val="000000"/>
                <w:sz w:val="20"/>
              </w:rPr>
              <w:t>Min</w:t>
            </w:r>
          </w:p>
        </w:tc>
        <w:tc>
          <w:tcPr>
            <w:tcW w:type="dxa" w:w="1003"/>
            <w:shd w:fill="D9E2F3" w:val="clear"/>
          </w:tcPr>
          <w:p>
            <w:pPr>
              <w:spacing w:line="240" w:lineRule="auto" w:after="40" w:before="0"/>
              <w:jc w:val="center"/>
            </w:pPr>
            <w:r>
              <w:rPr>
                <w:rFonts w:ascii="Times New Roman" w:hAnsi="Times New Roman" w:cs="Times New Roman"/>
                <w:b/>
                <w:i w:val="0"/>
                <w:color w:val="000000"/>
                <w:sz w:val="20"/>
              </w:rPr>
              <w:t>Max</w:t>
            </w:r>
          </w:p>
        </w:tc>
      </w:tr>
      <w:tr>
        <w:tc>
          <w:tcPr>
            <w:tcW w:type="dxa" w:w="1003"/>
          </w:tcPr>
          <w:p>
            <w:pPr>
              <w:spacing w:line="240" w:lineRule="auto" w:after="40" w:before="0"/>
              <w:jc w:val="center"/>
            </w:pPr>
            <w:r>
              <w:rPr>
                <w:rFonts w:ascii="Times New Roman" w:hAnsi="Times New Roman" w:cs="Times New Roman"/>
                <w:b w:val="0"/>
                <w:i w:val="0"/>
                <w:color w:val="000000"/>
                <w:sz w:val="20"/>
              </w:rPr>
              <w:t>Website</w:t>
            </w:r>
          </w:p>
        </w:tc>
        <w:tc>
          <w:tcPr>
            <w:tcW w:type="dxa" w:w="1003"/>
          </w:tcPr>
          <w:p>
            <w:pPr>
              <w:spacing w:line="240" w:lineRule="auto" w:after="40" w:before="0"/>
              <w:jc w:val="center"/>
            </w:pPr>
            <w:r>
              <w:rPr>
                <w:rFonts w:ascii="Times New Roman" w:hAnsi="Times New Roman" w:cs="Times New Roman"/>
                <w:b w:val="0"/>
                <w:i w:val="0"/>
                <w:color w:val="000000"/>
                <w:sz w:val="20"/>
              </w:rPr>
              <w:t>50</w:t>
            </w:r>
          </w:p>
        </w:tc>
        <w:tc>
          <w:tcPr>
            <w:tcW w:type="dxa" w:w="1003"/>
          </w:tcPr>
          <w:p>
            <w:pPr>
              <w:spacing w:line="240" w:lineRule="auto" w:after="40" w:before="0"/>
              <w:jc w:val="center"/>
            </w:pPr>
            <w:r>
              <w:rPr>
                <w:rFonts w:ascii="Times New Roman" w:hAnsi="Times New Roman" w:cs="Times New Roman"/>
                <w:b w:val="0"/>
                <w:i w:val="0"/>
                <w:color w:val="000000"/>
                <w:sz w:val="20"/>
              </w:rPr>
              <w:t>47.02</w:t>
            </w:r>
          </w:p>
        </w:tc>
        <w:tc>
          <w:tcPr>
            <w:tcW w:type="dxa" w:w="1003"/>
          </w:tcPr>
          <w:p>
            <w:pPr>
              <w:spacing w:line="240" w:lineRule="auto" w:after="40" w:before="0"/>
              <w:jc w:val="center"/>
            </w:pPr>
            <w:r>
              <w:rPr>
                <w:rFonts w:ascii="Times New Roman" w:hAnsi="Times New Roman" w:cs="Times New Roman"/>
                <w:b w:val="0"/>
                <w:i w:val="0"/>
                <w:color w:val="000000"/>
                <w:sz w:val="20"/>
              </w:rPr>
              <w:t>7.90</w:t>
            </w:r>
          </w:p>
        </w:tc>
        <w:tc>
          <w:tcPr>
            <w:tcW w:type="dxa" w:w="1003"/>
          </w:tcPr>
          <w:p>
            <w:pPr>
              <w:spacing w:line="240" w:lineRule="auto" w:after="40" w:before="0"/>
              <w:jc w:val="center"/>
            </w:pPr>
            <w:r>
              <w:rPr>
                <w:rFonts w:ascii="Times New Roman" w:hAnsi="Times New Roman" w:cs="Times New Roman"/>
                <w:b w:val="0"/>
                <w:i w:val="0"/>
                <w:color w:val="000000"/>
                <w:sz w:val="20"/>
              </w:rPr>
              <w:t>48.5</w:t>
            </w:r>
          </w:p>
        </w:tc>
        <w:tc>
          <w:tcPr>
            <w:tcW w:type="dxa" w:w="1003"/>
          </w:tcPr>
          <w:p>
            <w:pPr>
              <w:spacing w:line="240" w:lineRule="auto" w:after="40" w:before="0"/>
              <w:jc w:val="center"/>
            </w:pPr>
            <w:r>
              <w:rPr>
                <w:rFonts w:ascii="Times New Roman" w:hAnsi="Times New Roman" w:cs="Times New Roman"/>
                <w:b w:val="0"/>
                <w:i w:val="0"/>
                <w:color w:val="000000"/>
                <w:sz w:val="20"/>
              </w:rPr>
              <w:t>43.00</w:t>
            </w:r>
          </w:p>
        </w:tc>
        <w:tc>
          <w:tcPr>
            <w:tcW w:type="dxa" w:w="1003"/>
          </w:tcPr>
          <w:p>
            <w:pPr>
              <w:spacing w:line="240" w:lineRule="auto" w:after="40" w:before="0"/>
              <w:jc w:val="center"/>
            </w:pPr>
            <w:r>
              <w:rPr>
                <w:rFonts w:ascii="Times New Roman" w:hAnsi="Times New Roman" w:cs="Times New Roman"/>
                <w:b w:val="0"/>
                <w:i w:val="0"/>
                <w:color w:val="000000"/>
                <w:sz w:val="20"/>
              </w:rPr>
              <w:t>52.75</w:t>
            </w:r>
          </w:p>
        </w:tc>
        <w:tc>
          <w:tcPr>
            <w:tcW w:type="dxa" w:w="1003"/>
          </w:tcPr>
          <w:p>
            <w:pPr>
              <w:spacing w:line="240" w:lineRule="auto" w:after="40" w:before="0"/>
              <w:jc w:val="center"/>
            </w:pPr>
            <w:r>
              <w:rPr>
                <w:rFonts w:ascii="Times New Roman" w:hAnsi="Times New Roman" w:cs="Times New Roman"/>
                <w:b w:val="0"/>
                <w:i w:val="0"/>
                <w:color w:val="000000"/>
                <w:sz w:val="20"/>
              </w:rPr>
              <w:t>28</w:t>
            </w:r>
          </w:p>
        </w:tc>
        <w:tc>
          <w:tcPr>
            <w:tcW w:type="dxa" w:w="1003"/>
          </w:tcPr>
          <w:p>
            <w:pPr>
              <w:spacing w:line="240" w:lineRule="auto" w:after="40" w:before="0"/>
              <w:jc w:val="center"/>
            </w:pPr>
            <w:r>
              <w:rPr>
                <w:rFonts w:ascii="Times New Roman" w:hAnsi="Times New Roman" w:cs="Times New Roman"/>
                <w:b w:val="0"/>
                <w:i w:val="0"/>
                <w:color w:val="000000"/>
                <w:sz w:val="20"/>
              </w:rPr>
              <w:t>64</w:t>
            </w:r>
          </w:p>
        </w:tc>
      </w:tr>
      <w:tr>
        <w:tc>
          <w:tcPr>
            <w:tcW w:type="dxa" w:w="1003"/>
          </w:tcPr>
          <w:p>
            <w:pPr>
              <w:spacing w:line="240" w:lineRule="auto" w:after="40" w:before="0"/>
              <w:jc w:val="center"/>
            </w:pPr>
            <w:r>
              <w:rPr>
                <w:rFonts w:ascii="Times New Roman" w:hAnsi="Times New Roman" w:cs="Times New Roman"/>
                <w:b w:val="0"/>
                <w:i w:val="0"/>
                <w:color w:val="000000"/>
                <w:sz w:val="20"/>
              </w:rPr>
              <w:t>YouTube</w:t>
            </w:r>
          </w:p>
        </w:tc>
        <w:tc>
          <w:tcPr>
            <w:tcW w:type="dxa" w:w="1003"/>
          </w:tcPr>
          <w:p>
            <w:pPr>
              <w:spacing w:line="240" w:lineRule="auto" w:after="40" w:before="0"/>
              <w:jc w:val="center"/>
            </w:pPr>
            <w:r>
              <w:rPr>
                <w:rFonts w:ascii="Times New Roman" w:hAnsi="Times New Roman" w:cs="Times New Roman"/>
                <w:b w:val="0"/>
                <w:i w:val="0"/>
                <w:color w:val="000000"/>
                <w:sz w:val="20"/>
              </w:rPr>
              <w:t>50</w:t>
            </w:r>
          </w:p>
        </w:tc>
        <w:tc>
          <w:tcPr>
            <w:tcW w:type="dxa" w:w="1003"/>
          </w:tcPr>
          <w:p>
            <w:pPr>
              <w:spacing w:line="240" w:lineRule="auto" w:after="40" w:before="0"/>
              <w:jc w:val="center"/>
            </w:pPr>
            <w:r>
              <w:rPr>
                <w:rFonts w:ascii="Times New Roman" w:hAnsi="Times New Roman" w:cs="Times New Roman"/>
                <w:b w:val="0"/>
                <w:i w:val="0"/>
                <w:color w:val="000000"/>
                <w:sz w:val="20"/>
              </w:rPr>
              <w:t>42.88</w:t>
            </w:r>
          </w:p>
        </w:tc>
        <w:tc>
          <w:tcPr>
            <w:tcW w:type="dxa" w:w="1003"/>
          </w:tcPr>
          <w:p>
            <w:pPr>
              <w:spacing w:line="240" w:lineRule="auto" w:after="40" w:before="0"/>
              <w:jc w:val="center"/>
            </w:pPr>
            <w:r>
              <w:rPr>
                <w:rFonts w:ascii="Times New Roman" w:hAnsi="Times New Roman" w:cs="Times New Roman"/>
                <w:b w:val="0"/>
                <w:i w:val="0"/>
                <w:color w:val="000000"/>
                <w:sz w:val="20"/>
              </w:rPr>
              <w:t>7.10</w:t>
            </w:r>
          </w:p>
        </w:tc>
        <w:tc>
          <w:tcPr>
            <w:tcW w:type="dxa" w:w="1003"/>
          </w:tcPr>
          <w:p>
            <w:pPr>
              <w:spacing w:line="240" w:lineRule="auto" w:after="40" w:before="0"/>
              <w:jc w:val="center"/>
            </w:pPr>
            <w:r>
              <w:rPr>
                <w:rFonts w:ascii="Times New Roman" w:hAnsi="Times New Roman" w:cs="Times New Roman"/>
                <w:b w:val="0"/>
                <w:i w:val="0"/>
                <w:color w:val="000000"/>
                <w:sz w:val="20"/>
              </w:rPr>
              <w:t>42.0</w:t>
            </w:r>
          </w:p>
        </w:tc>
        <w:tc>
          <w:tcPr>
            <w:tcW w:type="dxa" w:w="1003"/>
          </w:tcPr>
          <w:p>
            <w:pPr>
              <w:spacing w:line="240" w:lineRule="auto" w:after="40" w:before="0"/>
              <w:jc w:val="center"/>
            </w:pPr>
            <w:r>
              <w:rPr>
                <w:rFonts w:ascii="Times New Roman" w:hAnsi="Times New Roman" w:cs="Times New Roman"/>
                <w:b w:val="0"/>
                <w:i w:val="0"/>
                <w:color w:val="000000"/>
                <w:sz w:val="20"/>
              </w:rPr>
              <w:t>38.00</w:t>
            </w:r>
          </w:p>
        </w:tc>
        <w:tc>
          <w:tcPr>
            <w:tcW w:type="dxa" w:w="1003"/>
          </w:tcPr>
          <w:p>
            <w:pPr>
              <w:spacing w:line="240" w:lineRule="auto" w:after="40" w:before="0"/>
              <w:jc w:val="center"/>
            </w:pPr>
            <w:r>
              <w:rPr>
                <w:rFonts w:ascii="Times New Roman" w:hAnsi="Times New Roman" w:cs="Times New Roman"/>
                <w:b w:val="0"/>
                <w:i w:val="0"/>
                <w:color w:val="000000"/>
                <w:sz w:val="20"/>
              </w:rPr>
              <w:t>47.00</w:t>
            </w:r>
          </w:p>
        </w:tc>
        <w:tc>
          <w:tcPr>
            <w:tcW w:type="dxa" w:w="1003"/>
          </w:tcPr>
          <w:p>
            <w:pPr>
              <w:spacing w:line="240" w:lineRule="auto" w:after="40" w:before="0"/>
              <w:jc w:val="center"/>
            </w:pPr>
            <w:r>
              <w:rPr>
                <w:rFonts w:ascii="Times New Roman" w:hAnsi="Times New Roman" w:cs="Times New Roman"/>
                <w:b w:val="0"/>
                <w:i w:val="0"/>
                <w:color w:val="000000"/>
                <w:sz w:val="20"/>
              </w:rPr>
              <w:t>30</w:t>
            </w:r>
          </w:p>
        </w:tc>
        <w:tc>
          <w:tcPr>
            <w:tcW w:type="dxa" w:w="1003"/>
          </w:tcPr>
          <w:p>
            <w:pPr>
              <w:spacing w:line="240" w:lineRule="auto" w:after="40" w:before="0"/>
              <w:jc w:val="center"/>
            </w:pPr>
            <w:r>
              <w:rPr>
                <w:rFonts w:ascii="Times New Roman" w:hAnsi="Times New Roman" w:cs="Times New Roman"/>
                <w:b w:val="0"/>
                <w:i w:val="0"/>
                <w:color w:val="000000"/>
                <w:sz w:val="20"/>
              </w:rPr>
              <w:t>57</w:t>
            </w:r>
          </w:p>
        </w:tc>
      </w:tr>
      <w:tr>
        <w:tc>
          <w:tcPr>
            <w:tcW w:type="dxa" w:w="1003"/>
          </w:tcPr>
          <w:p>
            <w:pPr>
              <w:spacing w:line="240" w:lineRule="auto" w:after="40" w:before="0"/>
              <w:jc w:val="center"/>
            </w:pPr>
            <w:r>
              <w:rPr>
                <w:rFonts w:ascii="Times New Roman" w:hAnsi="Times New Roman" w:cs="Times New Roman"/>
                <w:b w:val="0"/>
                <w:i w:val="0"/>
                <w:color w:val="000000"/>
                <w:sz w:val="20"/>
              </w:rPr>
              <w:t>TikTok</w:t>
            </w:r>
          </w:p>
        </w:tc>
        <w:tc>
          <w:tcPr>
            <w:tcW w:type="dxa" w:w="1003"/>
          </w:tcPr>
          <w:p>
            <w:pPr>
              <w:spacing w:line="240" w:lineRule="auto" w:after="40" w:before="0"/>
              <w:jc w:val="center"/>
            </w:pPr>
            <w:r>
              <w:rPr>
                <w:rFonts w:ascii="Times New Roman" w:hAnsi="Times New Roman" w:cs="Times New Roman"/>
                <w:b w:val="0"/>
                <w:i w:val="0"/>
                <w:color w:val="000000"/>
                <w:sz w:val="20"/>
              </w:rPr>
              <w:t>50</w:t>
            </w:r>
          </w:p>
        </w:tc>
        <w:tc>
          <w:tcPr>
            <w:tcW w:type="dxa" w:w="1003"/>
          </w:tcPr>
          <w:p>
            <w:pPr>
              <w:spacing w:line="240" w:lineRule="auto" w:after="40" w:before="0"/>
              <w:jc w:val="center"/>
            </w:pPr>
            <w:r>
              <w:rPr>
                <w:rFonts w:ascii="Times New Roman" w:hAnsi="Times New Roman" w:cs="Times New Roman"/>
                <w:b w:val="0"/>
                <w:i w:val="0"/>
                <w:color w:val="000000"/>
                <w:sz w:val="20"/>
              </w:rPr>
              <w:t>35.96</w:t>
            </w:r>
          </w:p>
        </w:tc>
        <w:tc>
          <w:tcPr>
            <w:tcW w:type="dxa" w:w="1003"/>
          </w:tcPr>
          <w:p>
            <w:pPr>
              <w:spacing w:line="240" w:lineRule="auto" w:after="40" w:before="0"/>
              <w:jc w:val="center"/>
            </w:pPr>
            <w:r>
              <w:rPr>
                <w:rFonts w:ascii="Times New Roman" w:hAnsi="Times New Roman" w:cs="Times New Roman"/>
                <w:b w:val="0"/>
                <w:i w:val="0"/>
                <w:color w:val="000000"/>
                <w:sz w:val="20"/>
              </w:rPr>
              <w:t>7.86</w:t>
            </w:r>
          </w:p>
        </w:tc>
        <w:tc>
          <w:tcPr>
            <w:tcW w:type="dxa" w:w="1003"/>
          </w:tcPr>
          <w:p>
            <w:pPr>
              <w:spacing w:line="240" w:lineRule="auto" w:after="40" w:before="0"/>
              <w:jc w:val="center"/>
            </w:pPr>
            <w:r>
              <w:rPr>
                <w:rFonts w:ascii="Times New Roman" w:hAnsi="Times New Roman" w:cs="Times New Roman"/>
                <w:b w:val="0"/>
                <w:i w:val="0"/>
                <w:color w:val="000000"/>
                <w:sz w:val="20"/>
              </w:rPr>
              <w:t>35.0</w:t>
            </w:r>
          </w:p>
        </w:tc>
        <w:tc>
          <w:tcPr>
            <w:tcW w:type="dxa" w:w="1003"/>
          </w:tcPr>
          <w:p>
            <w:pPr>
              <w:spacing w:line="240" w:lineRule="auto" w:after="40" w:before="0"/>
              <w:jc w:val="center"/>
            </w:pPr>
            <w:r>
              <w:rPr>
                <w:rFonts w:ascii="Times New Roman" w:hAnsi="Times New Roman" w:cs="Times New Roman"/>
                <w:b w:val="0"/>
                <w:i w:val="0"/>
                <w:color w:val="000000"/>
                <w:sz w:val="20"/>
              </w:rPr>
              <w:t>31.25</w:t>
            </w:r>
          </w:p>
        </w:tc>
        <w:tc>
          <w:tcPr>
            <w:tcW w:type="dxa" w:w="1003"/>
          </w:tcPr>
          <w:p>
            <w:pPr>
              <w:spacing w:line="240" w:lineRule="auto" w:after="40" w:before="0"/>
              <w:jc w:val="center"/>
            </w:pPr>
            <w:r>
              <w:rPr>
                <w:rFonts w:ascii="Times New Roman" w:hAnsi="Times New Roman" w:cs="Times New Roman"/>
                <w:b w:val="0"/>
                <w:i w:val="0"/>
                <w:color w:val="000000"/>
                <w:sz w:val="20"/>
              </w:rPr>
              <w:t>39.75</w:t>
            </w:r>
          </w:p>
        </w:tc>
        <w:tc>
          <w:tcPr>
            <w:tcW w:type="dxa" w:w="1003"/>
          </w:tcPr>
          <w:p>
            <w:pPr>
              <w:spacing w:line="240" w:lineRule="auto" w:after="40" w:before="0"/>
              <w:jc w:val="center"/>
            </w:pPr>
            <w:r>
              <w:rPr>
                <w:rFonts w:ascii="Times New Roman" w:hAnsi="Times New Roman" w:cs="Times New Roman"/>
                <w:b w:val="0"/>
                <w:i w:val="0"/>
                <w:color w:val="000000"/>
                <w:sz w:val="20"/>
              </w:rPr>
              <w:t>20</w:t>
            </w:r>
          </w:p>
        </w:tc>
        <w:tc>
          <w:tcPr>
            <w:tcW w:type="dxa" w:w="1003"/>
          </w:tcPr>
          <w:p>
            <w:pPr>
              <w:spacing w:line="240" w:lineRule="auto" w:after="40" w:before="0"/>
              <w:jc w:val="center"/>
            </w:pPr>
            <w:r>
              <w:rPr>
                <w:rFonts w:ascii="Times New Roman" w:hAnsi="Times New Roman" w:cs="Times New Roman"/>
                <w:b w:val="0"/>
                <w:i w:val="0"/>
                <w:color w:val="000000"/>
                <w:sz w:val="20"/>
              </w:rPr>
              <w:t>57</w:t>
            </w:r>
          </w:p>
        </w:tc>
      </w:tr>
      <w:tr>
        <w:tc>
          <w:tcPr>
            <w:tcW w:type="dxa" w:w="1003"/>
          </w:tcPr>
          <w:p>
            <w:pPr>
              <w:spacing w:line="240" w:lineRule="auto" w:after="40" w:before="0"/>
              <w:jc w:val="center"/>
            </w:pPr>
            <w:r>
              <w:rPr>
                <w:rFonts w:ascii="Times New Roman" w:hAnsi="Times New Roman" w:cs="Times New Roman"/>
                <w:b w:val="0"/>
                <w:i w:val="0"/>
                <w:color w:val="000000"/>
                <w:sz w:val="20"/>
              </w:rPr>
              <w:t>Instagram</w:t>
            </w:r>
          </w:p>
        </w:tc>
        <w:tc>
          <w:tcPr>
            <w:tcW w:type="dxa" w:w="1003"/>
          </w:tcPr>
          <w:p>
            <w:pPr>
              <w:spacing w:line="240" w:lineRule="auto" w:after="40" w:before="0"/>
              <w:jc w:val="center"/>
            </w:pPr>
            <w:r>
              <w:rPr>
                <w:rFonts w:ascii="Times New Roman" w:hAnsi="Times New Roman" w:cs="Times New Roman"/>
                <w:b w:val="0"/>
                <w:i w:val="0"/>
                <w:color w:val="000000"/>
                <w:sz w:val="20"/>
              </w:rPr>
              <w:t>50</w:t>
            </w:r>
          </w:p>
        </w:tc>
        <w:tc>
          <w:tcPr>
            <w:tcW w:type="dxa" w:w="1003"/>
          </w:tcPr>
          <w:p>
            <w:pPr>
              <w:spacing w:line="240" w:lineRule="auto" w:after="40" w:before="0"/>
              <w:jc w:val="center"/>
            </w:pPr>
            <w:r>
              <w:rPr>
                <w:rFonts w:ascii="Times New Roman" w:hAnsi="Times New Roman" w:cs="Times New Roman"/>
                <w:b w:val="0"/>
                <w:i w:val="0"/>
                <w:color w:val="000000"/>
                <w:sz w:val="20"/>
              </w:rPr>
              <w:t>28.98</w:t>
            </w:r>
          </w:p>
        </w:tc>
        <w:tc>
          <w:tcPr>
            <w:tcW w:type="dxa" w:w="1003"/>
          </w:tcPr>
          <w:p>
            <w:pPr>
              <w:spacing w:line="240" w:lineRule="auto" w:after="40" w:before="0"/>
              <w:jc w:val="center"/>
            </w:pPr>
            <w:r>
              <w:rPr>
                <w:rFonts w:ascii="Times New Roman" w:hAnsi="Times New Roman" w:cs="Times New Roman"/>
                <w:b w:val="0"/>
                <w:i w:val="0"/>
                <w:color w:val="000000"/>
                <w:sz w:val="20"/>
              </w:rPr>
              <w:t>6.82</w:t>
            </w:r>
          </w:p>
        </w:tc>
        <w:tc>
          <w:tcPr>
            <w:tcW w:type="dxa" w:w="1003"/>
          </w:tcPr>
          <w:p>
            <w:pPr>
              <w:spacing w:line="240" w:lineRule="auto" w:after="40" w:before="0"/>
              <w:jc w:val="center"/>
            </w:pPr>
            <w:r>
              <w:rPr>
                <w:rFonts w:ascii="Times New Roman" w:hAnsi="Times New Roman" w:cs="Times New Roman"/>
                <w:b w:val="0"/>
                <w:i w:val="0"/>
                <w:color w:val="000000"/>
                <w:sz w:val="20"/>
              </w:rPr>
              <w:t>27.5</w:t>
            </w:r>
          </w:p>
        </w:tc>
        <w:tc>
          <w:tcPr>
            <w:tcW w:type="dxa" w:w="1003"/>
          </w:tcPr>
          <w:p>
            <w:pPr>
              <w:spacing w:line="240" w:lineRule="auto" w:after="40" w:before="0"/>
              <w:jc w:val="center"/>
            </w:pPr>
            <w:r>
              <w:rPr>
                <w:rFonts w:ascii="Times New Roman" w:hAnsi="Times New Roman" w:cs="Times New Roman"/>
                <w:b w:val="0"/>
                <w:i w:val="0"/>
                <w:color w:val="000000"/>
                <w:sz w:val="20"/>
              </w:rPr>
              <w:t>25.00</w:t>
            </w:r>
          </w:p>
        </w:tc>
        <w:tc>
          <w:tcPr>
            <w:tcW w:type="dxa" w:w="1003"/>
          </w:tcPr>
          <w:p>
            <w:pPr>
              <w:spacing w:line="240" w:lineRule="auto" w:after="40" w:before="0"/>
              <w:jc w:val="center"/>
            </w:pPr>
            <w:r>
              <w:rPr>
                <w:rFonts w:ascii="Times New Roman" w:hAnsi="Times New Roman" w:cs="Times New Roman"/>
                <w:b w:val="0"/>
                <w:i w:val="0"/>
                <w:color w:val="000000"/>
                <w:sz w:val="20"/>
              </w:rPr>
              <w:t>34.00</w:t>
            </w:r>
          </w:p>
        </w:tc>
        <w:tc>
          <w:tcPr>
            <w:tcW w:type="dxa" w:w="1003"/>
          </w:tcPr>
          <w:p>
            <w:pPr>
              <w:spacing w:line="240" w:lineRule="auto" w:after="40" w:before="0"/>
              <w:jc w:val="center"/>
            </w:pPr>
            <w:r>
              <w:rPr>
                <w:rFonts w:ascii="Times New Roman" w:hAnsi="Times New Roman" w:cs="Times New Roman"/>
                <w:b w:val="0"/>
                <w:i w:val="0"/>
                <w:color w:val="000000"/>
                <w:sz w:val="20"/>
              </w:rPr>
              <w:t>17</w:t>
            </w:r>
          </w:p>
        </w:tc>
        <w:tc>
          <w:tcPr>
            <w:tcW w:type="dxa" w:w="1003"/>
          </w:tcPr>
          <w:p>
            <w:pPr>
              <w:spacing w:line="240" w:lineRule="auto" w:after="40" w:before="0"/>
              <w:jc w:val="center"/>
            </w:pPr>
            <w:r>
              <w:rPr>
                <w:rFonts w:ascii="Times New Roman" w:hAnsi="Times New Roman" w:cs="Times New Roman"/>
                <w:b w:val="0"/>
                <w:i w:val="0"/>
                <w:color w:val="000000"/>
                <w:sz w:val="20"/>
              </w:rPr>
              <w:t>52</w:t>
            </w:r>
          </w:p>
        </w:tc>
      </w:tr>
      <w:tr>
        <w:tc>
          <w:tcPr>
            <w:tcW w:type="dxa" w:w="1003"/>
          </w:tcPr>
          <w:p>
            <w:pPr>
              <w:spacing w:line="240" w:lineRule="auto" w:after="40" w:before="0"/>
              <w:jc w:val="center"/>
            </w:pPr>
            <w:r>
              <w:rPr>
                <w:rFonts w:ascii="Times New Roman" w:hAnsi="Times New Roman" w:cs="Times New Roman"/>
                <w:b w:val="0"/>
                <w:i w:val="0"/>
                <w:color w:val="000000"/>
                <w:sz w:val="20"/>
              </w:rPr>
              <w:t>Overall</w:t>
            </w:r>
          </w:p>
        </w:tc>
        <w:tc>
          <w:tcPr>
            <w:tcW w:type="dxa" w:w="1003"/>
          </w:tcPr>
          <w:p>
            <w:pPr>
              <w:spacing w:line="240" w:lineRule="auto" w:after="40" w:before="0"/>
              <w:jc w:val="center"/>
            </w:pPr>
            <w:r>
              <w:rPr>
                <w:rFonts w:ascii="Times New Roman" w:hAnsi="Times New Roman" w:cs="Times New Roman"/>
                <w:b w:val="0"/>
                <w:i w:val="0"/>
                <w:color w:val="000000"/>
                <w:sz w:val="20"/>
              </w:rPr>
              <w:t>200</w:t>
            </w:r>
          </w:p>
        </w:tc>
        <w:tc>
          <w:tcPr>
            <w:tcW w:type="dxa" w:w="1003"/>
          </w:tcPr>
          <w:p>
            <w:pPr>
              <w:spacing w:line="240" w:lineRule="auto" w:after="40" w:before="0"/>
              <w:jc w:val="center"/>
            </w:pPr>
            <w:r>
              <w:rPr>
                <w:rFonts w:ascii="Times New Roman" w:hAnsi="Times New Roman" w:cs="Times New Roman"/>
                <w:b w:val="0"/>
                <w:i w:val="0"/>
                <w:color w:val="000000"/>
                <w:sz w:val="20"/>
              </w:rPr>
              <w:t>38.71</w:t>
            </w:r>
          </w:p>
        </w:tc>
        <w:tc>
          <w:tcPr>
            <w:tcW w:type="dxa" w:w="1003"/>
          </w:tcPr>
          <w:p>
            <w:pPr>
              <w:spacing w:line="240" w:lineRule="auto" w:after="40" w:before="0"/>
              <w:jc w:val="center"/>
            </w:pPr>
            <w:r>
              <w:rPr>
                <w:rFonts w:ascii="Times New Roman" w:hAnsi="Times New Roman" w:cs="Times New Roman"/>
                <w:b w:val="0"/>
                <w:i w:val="0"/>
                <w:color w:val="000000"/>
                <w:sz w:val="20"/>
              </w:rPr>
              <w:t>10.09</w:t>
            </w:r>
          </w:p>
        </w:tc>
        <w:tc>
          <w:tcPr>
            <w:tcW w:type="dxa" w:w="1003"/>
          </w:tcPr>
          <w:p>
            <w:pPr>
              <w:spacing w:line="240" w:lineRule="auto" w:after="40" w:before="0"/>
              <w:jc w:val="center"/>
            </w:pPr>
            <w:r>
              <w:rPr>
                <w:rFonts w:ascii="Times New Roman" w:hAnsi="Times New Roman" w:cs="Times New Roman"/>
                <w:b w:val="0"/>
                <w:i w:val="0"/>
                <w:color w:val="000000"/>
                <w:sz w:val="20"/>
              </w:rPr>
              <w:t>38.0</w:t>
            </w:r>
          </w:p>
        </w:tc>
        <w:tc>
          <w:tcPr>
            <w:tcW w:type="dxa" w:w="1003"/>
          </w:tcPr>
          <w:p>
            <w:pPr>
              <w:spacing w:line="240" w:lineRule="auto" w:after="40" w:before="0"/>
              <w:jc w:val="center"/>
            </w:pPr>
            <w:r>
              <w:rPr>
                <w:rFonts w:ascii="Times New Roman" w:hAnsi="Times New Roman" w:cs="Times New Roman"/>
                <w:b w:val="0"/>
                <w:i w:val="0"/>
                <w:color w:val="000000"/>
                <w:sz w:val="20"/>
              </w:rPr>
              <w:t>—</w:t>
            </w:r>
          </w:p>
        </w:tc>
        <w:tc>
          <w:tcPr>
            <w:tcW w:type="dxa" w:w="1003"/>
          </w:tcPr>
          <w:p>
            <w:pPr>
              <w:spacing w:line="240" w:lineRule="auto" w:after="40" w:before="0"/>
              <w:jc w:val="center"/>
            </w:pPr>
            <w:r>
              <w:rPr>
                <w:rFonts w:ascii="Times New Roman" w:hAnsi="Times New Roman" w:cs="Times New Roman"/>
                <w:b w:val="0"/>
                <w:i w:val="0"/>
                <w:color w:val="000000"/>
                <w:sz w:val="20"/>
              </w:rPr>
              <w:t>—</w:t>
            </w:r>
          </w:p>
        </w:tc>
        <w:tc>
          <w:tcPr>
            <w:tcW w:type="dxa" w:w="1003"/>
          </w:tcPr>
          <w:p>
            <w:pPr>
              <w:spacing w:line="240" w:lineRule="auto" w:after="40" w:before="0"/>
              <w:jc w:val="center"/>
            </w:pPr>
            <w:r>
              <w:rPr>
                <w:rFonts w:ascii="Times New Roman" w:hAnsi="Times New Roman" w:cs="Times New Roman"/>
                <w:b w:val="0"/>
                <w:i w:val="0"/>
                <w:color w:val="000000"/>
                <w:sz w:val="20"/>
              </w:rPr>
              <w:t>17</w:t>
            </w:r>
          </w:p>
        </w:tc>
        <w:tc>
          <w:tcPr>
            <w:tcW w:type="dxa" w:w="1003"/>
          </w:tcPr>
          <w:p>
            <w:pPr>
              <w:spacing w:line="240" w:lineRule="auto" w:after="40" w:before="0"/>
              <w:jc w:val="center"/>
            </w:pPr>
            <w:r>
              <w:rPr>
                <w:rFonts w:ascii="Times New Roman" w:hAnsi="Times New Roman" w:cs="Times New Roman"/>
                <w:b w:val="0"/>
                <w:i w:val="0"/>
                <w:color w:val="000000"/>
                <w:sz w:val="20"/>
              </w:rPr>
              <w:t>64</w:t>
            </w:r>
          </w:p>
        </w:tc>
      </w:tr>
    </w:tbl>
    <w:p>
      <w:pPr>
        <w:spacing w:line="360" w:lineRule="auto" w:after="120" w:before="0"/>
        <w:jc w:val="both"/>
      </w:pPr>
      <w:r>
        <w:rPr>
          <w:rFonts w:ascii="Times New Roman" w:hAnsi="Times New Roman" w:cs="Times New Roman"/>
          <w:b w:val="0"/>
          <w:i w:val="0"/>
          <w:color w:val="000000"/>
          <w:sz w:val="24"/>
        </w:rPr>
        <w:t>Note. M = mean; SD = standard deviation; Mdn = median; Q1 = 25th percentile; Q3 = 75th percentile. DISCERN score categories are based on commonly adopted thresholds in the health information quality literature.</w:t>
      </w:r>
    </w:p>
    <w:p>
      <w:pPr>
        <w:spacing w:line="240" w:lineRule="auto" w:after="80" w:before="0"/>
        <w:jc w:val="center"/>
      </w:pPr>
      <w:r>
        <w:drawing>
          <wp:inline xmlns:a="http://schemas.openxmlformats.org/drawingml/2006/main" xmlns:pic="http://schemas.openxmlformats.org/drawingml/2006/picture">
            <wp:extent cx="5029200" cy="3857584"/>
            <wp:docPr id="1" name="Picture 1"/>
            <wp:cNvGraphicFramePr>
              <a:graphicFrameLocks noChangeAspect="1"/>
            </wp:cNvGraphicFramePr>
            <a:graphic>
              <a:graphicData uri="http://schemas.openxmlformats.org/drawingml/2006/picture">
                <pic:pic>
                  <pic:nvPicPr>
                    <pic:cNvPr id="0" name="fig1_discern_boxplot.png"/>
                    <pic:cNvPicPr/>
                  </pic:nvPicPr>
                  <pic:blipFill>
                    <a:blip r:embed="rId9"/>
                    <a:stretch>
                      <a:fillRect/>
                    </a:stretch>
                  </pic:blipFill>
                  <pic:spPr>
                    <a:xfrm>
                      <a:off x="0" y="0"/>
                      <a:ext cx="5029200" cy="3857584"/>
                    </a:xfrm>
                    <a:prstGeom prst="rect"/>
                  </pic:spPr>
                </pic:pic>
              </a:graphicData>
            </a:graphic>
          </wp:inline>
        </w:drawing>
      </w:r>
    </w:p>
    <w:p>
      <w:pPr>
        <w:spacing w:line="240" w:lineRule="auto" w:after="240" w:before="0"/>
        <w:jc w:val="center"/>
      </w:pPr>
      <w:r>
        <w:rPr>
          <w:rFonts w:ascii="Times New Roman" w:hAnsi="Times New Roman" w:cs="Times New Roman"/>
          <w:b w:val="0"/>
          <w:i/>
          <w:color w:val="000000"/>
          <w:sz w:val="22"/>
        </w:rPr>
        <w:t>Figure 1. Box plot of DISCERN total scores by platform. The horizontal line within each box represents the median; box boundaries indicate Q1 and Q3; whiskers extend to 1.5 times the IQR.</w:t>
      </w:r>
    </w:p>
    <w:p>
      <w:pPr>
        <w:spacing w:line="360" w:lineRule="auto" w:after="120" w:before="0"/>
        <w:jc w:val="both"/>
      </w:pPr>
      <w:r>
        <w:rPr>
          <w:rFonts w:ascii="Times New Roman" w:hAnsi="Times New Roman" w:cs="Times New Roman"/>
          <w:b w:val="0"/>
          <w:i w:val="0"/>
          <w:color w:val="000000"/>
          <w:sz w:val="24"/>
        </w:rPr>
        <w:t>A Kruskal-Wallis H test confirmed that DISCERN total scores differed significantly across the four platforms, H(3) = 93.84, p &lt; .001. The estimated eta-squared (eta-squared = 0.46) indicated a large effect size. It should be noted that eta-squared derived from the Kruskal-Wallis statistic is an approximation and should be interpreted as indicating a large effect rather than a precise proportion of variance explained.</w:t>
      </w:r>
    </w:p>
    <w:p>
      <w:pPr>
        <w:spacing w:line="360" w:lineRule="auto" w:after="120" w:before="0"/>
        <w:jc w:val="both"/>
      </w:pPr>
      <w:r>
        <w:rPr>
          <w:rFonts w:ascii="Times New Roman" w:hAnsi="Times New Roman" w:cs="Times New Roman"/>
          <w:b w:val="0"/>
          <w:i w:val="0"/>
          <w:color w:val="000000"/>
          <w:sz w:val="24"/>
        </w:rPr>
        <w:t>Dunn's post-hoc pairwise comparisons with Bonferroni correction revealed significant differences for all six platform pairs (Table 4). The largest effect sizes were observed for Website versus Instagram (r = -0.891, large) and YouTube versus Instagram (r = -0.850, large). The Website versus YouTube comparison, while statistically significant at the Bonferroni-adjusted threshold (U = 1646, p = .038, r = -0.316), exhibited a small-to-medium effect size, suggesting that these two platforms are relatively more similar in information quality than other pairings. The remaining comparisons—Website versus TikTok (U = 2088, p &lt; .001, r = -0.670), YouTube versus TikTok (U = 1859, p &lt; .001, r = -0.487), and TikTok versus Instagram (U = 1883, p &lt; .001, r = -0.506)—all yielded medium to large effects.</w:t>
      </w:r>
    </w:p>
    <w:p>
      <w:pPr>
        <w:spacing w:line="240" w:lineRule="auto" w:after="80" w:before="0"/>
        <w:jc w:val="center"/>
      </w:pPr>
      <w:r>
        <w:drawing>
          <wp:inline xmlns:a="http://schemas.openxmlformats.org/drawingml/2006/main" xmlns:pic="http://schemas.openxmlformats.org/drawingml/2006/picture">
            <wp:extent cx="5029200" cy="3131166"/>
            <wp:docPr id="2" name="Picture 2"/>
            <wp:cNvGraphicFramePr>
              <a:graphicFrameLocks noChangeAspect="1"/>
            </wp:cNvGraphicFramePr>
            <a:graphic>
              <a:graphicData uri="http://schemas.openxmlformats.org/drawingml/2006/picture">
                <pic:pic>
                  <pic:nvPicPr>
                    <pic:cNvPr id="0" name="fig2_discern_categories.png"/>
                    <pic:cNvPicPr/>
                  </pic:nvPicPr>
                  <pic:blipFill>
                    <a:blip r:embed="rId10"/>
                    <a:stretch>
                      <a:fillRect/>
                    </a:stretch>
                  </pic:blipFill>
                  <pic:spPr>
                    <a:xfrm>
                      <a:off x="0" y="0"/>
                      <a:ext cx="5029200" cy="3131166"/>
                    </a:xfrm>
                    <a:prstGeom prst="rect"/>
                  </pic:spPr>
                </pic:pic>
              </a:graphicData>
            </a:graphic>
          </wp:inline>
        </w:drawing>
      </w:r>
    </w:p>
    <w:p>
      <w:pPr>
        <w:spacing w:line="240" w:lineRule="auto" w:after="240" w:before="0"/>
        <w:jc w:val="center"/>
      </w:pPr>
      <w:r>
        <w:rPr>
          <w:rFonts w:ascii="Times New Roman" w:hAnsi="Times New Roman" w:cs="Times New Roman"/>
          <w:b w:val="0"/>
          <w:i/>
          <w:color w:val="000000"/>
          <w:sz w:val="22"/>
        </w:rPr>
        <w:t>Figure 2. Distribution of DISCERN quality categories by platform. Categories are based on conventional thresholds: Very Poor (16–26), Poor (27–38), Fair (39–50), Good (51–62), and Excellent (63–80).</w:t>
      </w:r>
    </w:p>
    <w:p>
      <w:pPr>
        <w:spacing w:line="360" w:lineRule="auto" w:after="120" w:before="0"/>
        <w:jc w:val="both"/>
      </w:pPr>
      <w:r>
        <w:rPr>
          <w:rFonts w:ascii="Times New Roman" w:hAnsi="Times New Roman" w:cs="Times New Roman"/>
          <w:b w:val="0"/>
          <w:i w:val="0"/>
          <w:color w:val="000000"/>
          <w:sz w:val="24"/>
        </w:rPr>
        <w:t>DISCERN section scores followed a consistent pattern. For Section 1 (reliability of publication, Q1–Q8), median scores decreased from websites (Mdn = 25, IQR = 23–29) to YouTube (Mdn = 24, IQR = 21–27), TikTok (Mdn = 19, IQR = 17–22), and Instagram (Mdn = 15, IQR = 13–18). Section 2 (quality of treatment information, Q9–Q15) showed a parallel decline: websites (Mdn = 18, IQR = 16–21), YouTube (Mdn = 16, IQR = 14–18), TikTok (Mdn = 14, IQR = 11–16), and Instagram (Mdn = 10, IQR = 9–13).</w:t>
      </w:r>
    </w:p>
    <w:p>
      <w:pPr>
        <w:spacing w:line="360" w:lineRule="auto" w:after="200" w:before="0"/>
        <w:jc w:val="both"/>
      </w:pPr>
      <w:r>
        <w:rPr>
          <w:rFonts w:ascii="Times New Roman" w:hAnsi="Times New Roman" w:cs="Times New Roman"/>
          <w:b/>
          <w:i w:val="0"/>
          <w:color w:val="000000"/>
          <w:sz w:val="26"/>
        </w:rPr>
        <w:t>3.4 JAMA Benchmark Compliance by Platform</w:t>
      </w:r>
    </w:p>
    <w:p>
      <w:pPr>
        <w:spacing w:line="360" w:lineRule="auto" w:after="120" w:before="0"/>
        <w:jc w:val="both"/>
      </w:pPr>
      <w:r>
        <w:rPr>
          <w:rFonts w:ascii="Times New Roman" w:hAnsi="Times New Roman" w:cs="Times New Roman"/>
          <w:b w:val="0"/>
          <w:i w:val="0"/>
          <w:color w:val="000000"/>
          <w:sz w:val="24"/>
        </w:rPr>
        <w:t>JAMA benchmark compliance varied by criterion and platform (Table 4). A Kruskal-Wallis test on JAMA total scores (range 0–4) revealed no statistically significant difference across platforms, H(3) = 5.43, p = .143. However, this aggregate result is partly an artefact of the Currency criterion, which gives social media platforms an automatic advantage: posting dates are inherently visible (100% compliance) on social media but must be explicitly stated on websites (68% compliance). Criterion-level comparisons are therefore more informative than total JAMA scores in this study.</w:t>
      </w:r>
    </w:p>
    <w:p>
      <w:pPr>
        <w:spacing w:line="360" w:lineRule="auto" w:after="120" w:before="0"/>
        <w:jc w:val="both"/>
      </w:pPr>
      <w:r>
        <w:rPr>
          <w:rFonts w:ascii="Times New Roman" w:hAnsi="Times New Roman" w:cs="Times New Roman"/>
          <w:b w:val="0"/>
          <w:i w:val="0"/>
          <w:color w:val="000000"/>
          <w:sz w:val="24"/>
        </w:rPr>
        <w:t>However, chi-square tests on individual JAMA criteria revealed significant platform differences for three of the four benchmarks. Attribution differed significantly across platforms (p &lt; .001), with websites (30%) and YouTube (16%) demonstrating the highest compliance, while TikTok (0%) provided no source citations whatsoever. Disclosure also differed significantly (p = .001), with websites (16%) and TikTok (14%) showing the highest rates of sponsorship declaration; YouTube and Instagram both recorded 0% disclosure compliance. Currency showed significant variation (p &lt; .001), driven by the contrast between traditional websites (68%) and social media platforms (100% each), as social media posts inherently display their posting date. Authorship did not differ significantly across platforms (p = .104), with compliance ranging from 16% (Instagram) to 38% (YouTube).</w:t>
      </w:r>
    </w:p>
    <w:p>
      <w:pPr>
        <w:spacing w:line="360" w:lineRule="auto" w:after="80" w:before="0"/>
        <w:jc w:val="center"/>
      </w:pPr>
      <w:r>
        <w:rPr>
          <w:rFonts w:ascii="Times New Roman" w:hAnsi="Times New Roman" w:cs="Times New Roman"/>
          <w:b/>
          <w:i/>
          <w:color w:val="000000"/>
          <w:sz w:val="22"/>
        </w:rPr>
        <w:t>Table 4. JAMA Benchmark Compliance by Platform (%)</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D9E2F3" w:val="clear"/>
          </w:tcPr>
          <w:p>
            <w:pPr>
              <w:spacing w:line="240" w:lineRule="auto" w:after="40" w:before="0"/>
              <w:jc w:val="center"/>
            </w:pPr>
            <w:r>
              <w:rPr>
                <w:rFonts w:ascii="Times New Roman" w:hAnsi="Times New Roman" w:cs="Times New Roman"/>
                <w:b/>
                <w:i w:val="0"/>
                <w:color w:val="000000"/>
                <w:sz w:val="20"/>
              </w:rPr>
              <w:t>Criterion</w:t>
            </w:r>
          </w:p>
        </w:tc>
        <w:tc>
          <w:tcPr>
            <w:tcW w:type="dxa" w:w="1805"/>
            <w:shd w:fill="D9E2F3" w:val="clear"/>
          </w:tcPr>
          <w:p>
            <w:pPr>
              <w:spacing w:line="240" w:lineRule="auto" w:after="40" w:before="0"/>
              <w:jc w:val="center"/>
            </w:pPr>
            <w:r>
              <w:rPr>
                <w:rFonts w:ascii="Times New Roman" w:hAnsi="Times New Roman" w:cs="Times New Roman"/>
                <w:b/>
                <w:i w:val="0"/>
                <w:color w:val="000000"/>
                <w:sz w:val="20"/>
              </w:rPr>
              <w:t>Website</w:t>
            </w:r>
          </w:p>
        </w:tc>
        <w:tc>
          <w:tcPr>
            <w:tcW w:type="dxa" w:w="1805"/>
            <w:shd w:fill="D9E2F3" w:val="clear"/>
          </w:tcPr>
          <w:p>
            <w:pPr>
              <w:spacing w:line="240" w:lineRule="auto" w:after="40" w:before="0"/>
              <w:jc w:val="center"/>
            </w:pPr>
            <w:r>
              <w:rPr>
                <w:rFonts w:ascii="Times New Roman" w:hAnsi="Times New Roman" w:cs="Times New Roman"/>
                <w:b/>
                <w:i w:val="0"/>
                <w:color w:val="000000"/>
                <w:sz w:val="20"/>
              </w:rPr>
              <w:t>YouTube</w:t>
            </w:r>
          </w:p>
        </w:tc>
        <w:tc>
          <w:tcPr>
            <w:tcW w:type="dxa" w:w="1805"/>
            <w:shd w:fill="D9E2F3" w:val="clear"/>
          </w:tcPr>
          <w:p>
            <w:pPr>
              <w:spacing w:line="240" w:lineRule="auto" w:after="40" w:before="0"/>
              <w:jc w:val="center"/>
            </w:pPr>
            <w:r>
              <w:rPr>
                <w:rFonts w:ascii="Times New Roman" w:hAnsi="Times New Roman" w:cs="Times New Roman"/>
                <w:b/>
                <w:i w:val="0"/>
                <w:color w:val="000000"/>
                <w:sz w:val="20"/>
              </w:rPr>
              <w:t>TikTok</w:t>
            </w:r>
          </w:p>
        </w:tc>
        <w:tc>
          <w:tcPr>
            <w:tcW w:type="dxa" w:w="1805"/>
            <w:shd w:fill="D9E2F3" w:val="clear"/>
          </w:tcPr>
          <w:p>
            <w:pPr>
              <w:spacing w:line="240" w:lineRule="auto" w:after="40" w:before="0"/>
              <w:jc w:val="center"/>
            </w:pPr>
            <w:r>
              <w:rPr>
                <w:rFonts w:ascii="Times New Roman" w:hAnsi="Times New Roman" w:cs="Times New Roman"/>
                <w:b/>
                <w:i w:val="0"/>
                <w:color w:val="000000"/>
                <w:sz w:val="20"/>
              </w:rPr>
              <w:t>Instagram</w:t>
            </w:r>
          </w:p>
        </w:tc>
      </w:tr>
      <w:tr>
        <w:tc>
          <w:tcPr>
            <w:tcW w:type="dxa" w:w="1805"/>
          </w:tcPr>
          <w:p>
            <w:pPr>
              <w:spacing w:line="240" w:lineRule="auto" w:after="40" w:before="0"/>
              <w:jc w:val="center"/>
            </w:pPr>
            <w:r>
              <w:rPr>
                <w:rFonts w:ascii="Times New Roman" w:hAnsi="Times New Roman" w:cs="Times New Roman"/>
                <w:b w:val="0"/>
                <w:i w:val="0"/>
                <w:color w:val="000000"/>
                <w:sz w:val="20"/>
              </w:rPr>
              <w:t>Authorship</w:t>
            </w:r>
          </w:p>
        </w:tc>
        <w:tc>
          <w:tcPr>
            <w:tcW w:type="dxa" w:w="1805"/>
          </w:tcPr>
          <w:p>
            <w:pPr>
              <w:spacing w:line="240" w:lineRule="auto" w:after="40" w:before="0"/>
              <w:jc w:val="center"/>
            </w:pPr>
            <w:r>
              <w:rPr>
                <w:rFonts w:ascii="Times New Roman" w:hAnsi="Times New Roman" w:cs="Times New Roman"/>
                <w:b w:val="0"/>
                <w:i w:val="0"/>
                <w:color w:val="000000"/>
                <w:sz w:val="20"/>
              </w:rPr>
              <w:t>30%</w:t>
            </w:r>
          </w:p>
        </w:tc>
        <w:tc>
          <w:tcPr>
            <w:tcW w:type="dxa" w:w="1805"/>
          </w:tcPr>
          <w:p>
            <w:pPr>
              <w:spacing w:line="240" w:lineRule="auto" w:after="40" w:before="0"/>
              <w:jc w:val="center"/>
            </w:pPr>
            <w:r>
              <w:rPr>
                <w:rFonts w:ascii="Times New Roman" w:hAnsi="Times New Roman" w:cs="Times New Roman"/>
                <w:b w:val="0"/>
                <w:i w:val="0"/>
                <w:color w:val="000000"/>
                <w:sz w:val="20"/>
              </w:rPr>
              <w:t>38%</w:t>
            </w:r>
          </w:p>
        </w:tc>
        <w:tc>
          <w:tcPr>
            <w:tcW w:type="dxa" w:w="1805"/>
          </w:tcPr>
          <w:p>
            <w:pPr>
              <w:spacing w:line="240" w:lineRule="auto" w:after="40" w:before="0"/>
              <w:jc w:val="center"/>
            </w:pPr>
            <w:r>
              <w:rPr>
                <w:rFonts w:ascii="Times New Roman" w:hAnsi="Times New Roman" w:cs="Times New Roman"/>
                <w:b w:val="0"/>
                <w:i w:val="0"/>
                <w:color w:val="000000"/>
                <w:sz w:val="20"/>
              </w:rPr>
              <w:t>30%</w:t>
            </w:r>
          </w:p>
        </w:tc>
        <w:tc>
          <w:tcPr>
            <w:tcW w:type="dxa" w:w="1805"/>
          </w:tcPr>
          <w:p>
            <w:pPr>
              <w:spacing w:line="240" w:lineRule="auto" w:after="40" w:before="0"/>
              <w:jc w:val="center"/>
            </w:pPr>
            <w:r>
              <w:rPr>
                <w:rFonts w:ascii="Times New Roman" w:hAnsi="Times New Roman" w:cs="Times New Roman"/>
                <w:b w:val="0"/>
                <w:i w:val="0"/>
                <w:color w:val="000000"/>
                <w:sz w:val="20"/>
              </w:rPr>
              <w:t>16%</w:t>
            </w:r>
          </w:p>
        </w:tc>
      </w:tr>
      <w:tr>
        <w:tc>
          <w:tcPr>
            <w:tcW w:type="dxa" w:w="1805"/>
          </w:tcPr>
          <w:p>
            <w:pPr>
              <w:spacing w:line="240" w:lineRule="auto" w:after="40" w:before="0"/>
              <w:jc w:val="center"/>
            </w:pPr>
            <w:r>
              <w:rPr>
                <w:rFonts w:ascii="Times New Roman" w:hAnsi="Times New Roman" w:cs="Times New Roman"/>
                <w:b w:val="0"/>
                <w:i w:val="0"/>
                <w:color w:val="000000"/>
                <w:sz w:val="20"/>
              </w:rPr>
              <w:t>Attribution</w:t>
            </w:r>
          </w:p>
        </w:tc>
        <w:tc>
          <w:tcPr>
            <w:tcW w:type="dxa" w:w="1805"/>
          </w:tcPr>
          <w:p>
            <w:pPr>
              <w:spacing w:line="240" w:lineRule="auto" w:after="40" w:before="0"/>
              <w:jc w:val="center"/>
            </w:pPr>
            <w:r>
              <w:rPr>
                <w:rFonts w:ascii="Times New Roman" w:hAnsi="Times New Roman" w:cs="Times New Roman"/>
                <w:b w:val="0"/>
                <w:i w:val="0"/>
                <w:color w:val="000000"/>
                <w:sz w:val="20"/>
              </w:rPr>
              <w:t>30%</w:t>
            </w:r>
          </w:p>
        </w:tc>
        <w:tc>
          <w:tcPr>
            <w:tcW w:type="dxa" w:w="1805"/>
          </w:tcPr>
          <w:p>
            <w:pPr>
              <w:spacing w:line="240" w:lineRule="auto" w:after="40" w:before="0"/>
              <w:jc w:val="center"/>
            </w:pPr>
            <w:r>
              <w:rPr>
                <w:rFonts w:ascii="Times New Roman" w:hAnsi="Times New Roman" w:cs="Times New Roman"/>
                <w:b w:val="0"/>
                <w:i w:val="0"/>
                <w:color w:val="000000"/>
                <w:sz w:val="20"/>
              </w:rPr>
              <w:t>16%</w:t>
            </w:r>
          </w:p>
        </w:tc>
        <w:tc>
          <w:tcPr>
            <w:tcW w:type="dxa" w:w="1805"/>
          </w:tcPr>
          <w:p>
            <w:pPr>
              <w:spacing w:line="240" w:lineRule="auto" w:after="40" w:before="0"/>
              <w:jc w:val="center"/>
            </w:pPr>
            <w:r>
              <w:rPr>
                <w:rFonts w:ascii="Times New Roman" w:hAnsi="Times New Roman" w:cs="Times New Roman"/>
                <w:b w:val="0"/>
                <w:i w:val="0"/>
                <w:color w:val="000000"/>
                <w:sz w:val="20"/>
              </w:rPr>
              <w:t>0%</w:t>
            </w:r>
          </w:p>
        </w:tc>
        <w:tc>
          <w:tcPr>
            <w:tcW w:type="dxa" w:w="1805"/>
          </w:tcPr>
          <w:p>
            <w:pPr>
              <w:spacing w:line="240" w:lineRule="auto" w:after="40" w:before="0"/>
              <w:jc w:val="center"/>
            </w:pPr>
            <w:r>
              <w:rPr>
                <w:rFonts w:ascii="Times New Roman" w:hAnsi="Times New Roman" w:cs="Times New Roman"/>
                <w:b w:val="0"/>
                <w:i w:val="0"/>
                <w:color w:val="000000"/>
                <w:sz w:val="20"/>
              </w:rPr>
              <w:t>4%</w:t>
            </w:r>
          </w:p>
        </w:tc>
      </w:tr>
      <w:tr>
        <w:tc>
          <w:tcPr>
            <w:tcW w:type="dxa" w:w="1805"/>
          </w:tcPr>
          <w:p>
            <w:pPr>
              <w:spacing w:line="240" w:lineRule="auto" w:after="40" w:before="0"/>
              <w:jc w:val="center"/>
            </w:pPr>
            <w:r>
              <w:rPr>
                <w:rFonts w:ascii="Times New Roman" w:hAnsi="Times New Roman" w:cs="Times New Roman"/>
                <w:b w:val="0"/>
                <w:i w:val="0"/>
                <w:color w:val="000000"/>
                <w:sz w:val="20"/>
              </w:rPr>
              <w:t>Disclosure</w:t>
            </w:r>
          </w:p>
        </w:tc>
        <w:tc>
          <w:tcPr>
            <w:tcW w:type="dxa" w:w="1805"/>
          </w:tcPr>
          <w:p>
            <w:pPr>
              <w:spacing w:line="240" w:lineRule="auto" w:after="40" w:before="0"/>
              <w:jc w:val="center"/>
            </w:pPr>
            <w:r>
              <w:rPr>
                <w:rFonts w:ascii="Times New Roman" w:hAnsi="Times New Roman" w:cs="Times New Roman"/>
                <w:b w:val="0"/>
                <w:i w:val="0"/>
                <w:color w:val="000000"/>
                <w:sz w:val="20"/>
              </w:rPr>
              <w:t>16%</w:t>
            </w:r>
          </w:p>
        </w:tc>
        <w:tc>
          <w:tcPr>
            <w:tcW w:type="dxa" w:w="1805"/>
          </w:tcPr>
          <w:p>
            <w:pPr>
              <w:spacing w:line="240" w:lineRule="auto" w:after="40" w:before="0"/>
              <w:jc w:val="center"/>
            </w:pPr>
            <w:r>
              <w:rPr>
                <w:rFonts w:ascii="Times New Roman" w:hAnsi="Times New Roman" w:cs="Times New Roman"/>
                <w:b w:val="0"/>
                <w:i w:val="0"/>
                <w:color w:val="000000"/>
                <w:sz w:val="20"/>
              </w:rPr>
              <w:t>0%</w:t>
            </w:r>
          </w:p>
        </w:tc>
        <w:tc>
          <w:tcPr>
            <w:tcW w:type="dxa" w:w="1805"/>
          </w:tcPr>
          <w:p>
            <w:pPr>
              <w:spacing w:line="240" w:lineRule="auto" w:after="40" w:before="0"/>
              <w:jc w:val="center"/>
            </w:pPr>
            <w:r>
              <w:rPr>
                <w:rFonts w:ascii="Times New Roman" w:hAnsi="Times New Roman" w:cs="Times New Roman"/>
                <w:b w:val="0"/>
                <w:i w:val="0"/>
                <w:color w:val="000000"/>
                <w:sz w:val="20"/>
              </w:rPr>
              <w:t>14%</w:t>
            </w:r>
          </w:p>
        </w:tc>
        <w:tc>
          <w:tcPr>
            <w:tcW w:type="dxa" w:w="1805"/>
          </w:tcPr>
          <w:p>
            <w:pPr>
              <w:spacing w:line="240" w:lineRule="auto" w:after="40" w:before="0"/>
              <w:jc w:val="center"/>
            </w:pPr>
            <w:r>
              <w:rPr>
                <w:rFonts w:ascii="Times New Roman" w:hAnsi="Times New Roman" w:cs="Times New Roman"/>
                <w:b w:val="0"/>
                <w:i w:val="0"/>
                <w:color w:val="000000"/>
                <w:sz w:val="20"/>
              </w:rPr>
              <w:t>0%</w:t>
            </w:r>
          </w:p>
        </w:tc>
      </w:tr>
      <w:tr>
        <w:tc>
          <w:tcPr>
            <w:tcW w:type="dxa" w:w="1805"/>
          </w:tcPr>
          <w:p>
            <w:pPr>
              <w:spacing w:line="240" w:lineRule="auto" w:after="40" w:before="0"/>
              <w:jc w:val="center"/>
            </w:pPr>
            <w:r>
              <w:rPr>
                <w:rFonts w:ascii="Times New Roman" w:hAnsi="Times New Roman" w:cs="Times New Roman"/>
                <w:b w:val="0"/>
                <w:i w:val="0"/>
                <w:color w:val="000000"/>
                <w:sz w:val="20"/>
              </w:rPr>
              <w:t>Currency</w:t>
            </w:r>
          </w:p>
        </w:tc>
        <w:tc>
          <w:tcPr>
            <w:tcW w:type="dxa" w:w="1805"/>
          </w:tcPr>
          <w:p>
            <w:pPr>
              <w:spacing w:line="240" w:lineRule="auto" w:after="40" w:before="0"/>
              <w:jc w:val="center"/>
            </w:pPr>
            <w:r>
              <w:rPr>
                <w:rFonts w:ascii="Times New Roman" w:hAnsi="Times New Roman" w:cs="Times New Roman"/>
                <w:b w:val="0"/>
                <w:i w:val="0"/>
                <w:color w:val="000000"/>
                <w:sz w:val="20"/>
              </w:rPr>
              <w:t>68%</w:t>
            </w:r>
          </w:p>
        </w:tc>
        <w:tc>
          <w:tcPr>
            <w:tcW w:type="dxa" w:w="1805"/>
          </w:tcPr>
          <w:p>
            <w:pPr>
              <w:spacing w:line="240" w:lineRule="auto" w:after="40" w:before="0"/>
              <w:jc w:val="center"/>
            </w:pPr>
            <w:r>
              <w:rPr>
                <w:rFonts w:ascii="Times New Roman" w:hAnsi="Times New Roman" w:cs="Times New Roman"/>
                <w:b w:val="0"/>
                <w:i w:val="0"/>
                <w:color w:val="000000"/>
                <w:sz w:val="20"/>
              </w:rPr>
              <w:t>100%</w:t>
            </w:r>
          </w:p>
        </w:tc>
        <w:tc>
          <w:tcPr>
            <w:tcW w:type="dxa" w:w="1805"/>
          </w:tcPr>
          <w:p>
            <w:pPr>
              <w:spacing w:line="240" w:lineRule="auto" w:after="40" w:before="0"/>
              <w:jc w:val="center"/>
            </w:pPr>
            <w:r>
              <w:rPr>
                <w:rFonts w:ascii="Times New Roman" w:hAnsi="Times New Roman" w:cs="Times New Roman"/>
                <w:b w:val="0"/>
                <w:i w:val="0"/>
                <w:color w:val="000000"/>
                <w:sz w:val="20"/>
              </w:rPr>
              <w:t>100%</w:t>
            </w:r>
          </w:p>
        </w:tc>
        <w:tc>
          <w:tcPr>
            <w:tcW w:type="dxa" w:w="1805"/>
          </w:tcPr>
          <w:p>
            <w:pPr>
              <w:spacing w:line="240" w:lineRule="auto" w:after="40" w:before="0"/>
              <w:jc w:val="center"/>
            </w:pPr>
            <w:r>
              <w:rPr>
                <w:rFonts w:ascii="Times New Roman" w:hAnsi="Times New Roman" w:cs="Times New Roman"/>
                <w:b w:val="0"/>
                <w:i w:val="0"/>
                <w:color w:val="000000"/>
                <w:sz w:val="20"/>
              </w:rPr>
              <w:t>100%</w:t>
            </w:r>
          </w:p>
        </w:tc>
      </w:tr>
      <w:tr>
        <w:tc>
          <w:tcPr>
            <w:tcW w:type="dxa" w:w="1805"/>
          </w:tcPr>
          <w:p>
            <w:pPr>
              <w:spacing w:line="240" w:lineRule="auto" w:after="40" w:before="0"/>
              <w:jc w:val="center"/>
            </w:pPr>
            <w:r>
              <w:rPr>
                <w:rFonts w:ascii="Times New Roman" w:hAnsi="Times New Roman" w:cs="Times New Roman"/>
                <w:b w:val="0"/>
                <w:i w:val="0"/>
                <w:color w:val="000000"/>
                <w:sz w:val="20"/>
              </w:rPr>
              <w:t>Mean Total (0–4)</w:t>
            </w:r>
          </w:p>
        </w:tc>
        <w:tc>
          <w:tcPr>
            <w:tcW w:type="dxa" w:w="1805"/>
          </w:tcPr>
          <w:p>
            <w:pPr>
              <w:spacing w:line="240" w:lineRule="auto" w:after="40" w:before="0"/>
              <w:jc w:val="center"/>
            </w:pPr>
            <w:r>
              <w:rPr>
                <w:rFonts w:ascii="Times New Roman" w:hAnsi="Times New Roman" w:cs="Times New Roman"/>
                <w:b w:val="0"/>
                <w:i w:val="0"/>
                <w:color w:val="000000"/>
                <w:sz w:val="20"/>
              </w:rPr>
              <w:t>1.44</w:t>
            </w:r>
          </w:p>
        </w:tc>
        <w:tc>
          <w:tcPr>
            <w:tcW w:type="dxa" w:w="1805"/>
          </w:tcPr>
          <w:p>
            <w:pPr>
              <w:spacing w:line="240" w:lineRule="auto" w:after="40" w:before="0"/>
              <w:jc w:val="center"/>
            </w:pPr>
            <w:r>
              <w:rPr>
                <w:rFonts w:ascii="Times New Roman" w:hAnsi="Times New Roman" w:cs="Times New Roman"/>
                <w:b w:val="0"/>
                <w:i w:val="0"/>
                <w:color w:val="000000"/>
                <w:sz w:val="20"/>
              </w:rPr>
              <w:t>1.54</w:t>
            </w:r>
          </w:p>
        </w:tc>
        <w:tc>
          <w:tcPr>
            <w:tcW w:type="dxa" w:w="1805"/>
          </w:tcPr>
          <w:p>
            <w:pPr>
              <w:spacing w:line="240" w:lineRule="auto" w:after="40" w:before="0"/>
              <w:jc w:val="center"/>
            </w:pPr>
            <w:r>
              <w:rPr>
                <w:rFonts w:ascii="Times New Roman" w:hAnsi="Times New Roman" w:cs="Times New Roman"/>
                <w:b w:val="0"/>
                <w:i w:val="0"/>
                <w:color w:val="000000"/>
                <w:sz w:val="20"/>
              </w:rPr>
              <w:t>1.44</w:t>
            </w:r>
          </w:p>
        </w:tc>
        <w:tc>
          <w:tcPr>
            <w:tcW w:type="dxa" w:w="1805"/>
          </w:tcPr>
          <w:p>
            <w:pPr>
              <w:spacing w:line="240" w:lineRule="auto" w:after="40" w:before="0"/>
              <w:jc w:val="center"/>
            </w:pPr>
            <w:r>
              <w:rPr>
                <w:rFonts w:ascii="Times New Roman" w:hAnsi="Times New Roman" w:cs="Times New Roman"/>
                <w:b w:val="0"/>
                <w:i w:val="0"/>
                <w:color w:val="000000"/>
                <w:sz w:val="20"/>
              </w:rPr>
              <w:t>1.20</w:t>
            </w:r>
          </w:p>
        </w:tc>
      </w:tr>
    </w:tbl>
    <w:p>
      <w:pPr>
        <w:spacing w:line="240" w:lineRule="auto" w:after="80" w:before="0"/>
        <w:jc w:val="center"/>
      </w:pPr>
      <w:r>
        <w:drawing>
          <wp:inline xmlns:a="http://schemas.openxmlformats.org/drawingml/2006/main" xmlns:pic="http://schemas.openxmlformats.org/drawingml/2006/picture">
            <wp:extent cx="5029200" cy="3573194"/>
            <wp:docPr id="3" name="Picture 3"/>
            <wp:cNvGraphicFramePr>
              <a:graphicFrameLocks noChangeAspect="1"/>
            </wp:cNvGraphicFramePr>
            <a:graphic>
              <a:graphicData uri="http://schemas.openxmlformats.org/drawingml/2006/picture">
                <pic:pic>
                  <pic:nvPicPr>
                    <pic:cNvPr id="0" name="fig3_jama_heatmap.png"/>
                    <pic:cNvPicPr/>
                  </pic:nvPicPr>
                  <pic:blipFill>
                    <a:blip r:embed="rId11"/>
                    <a:stretch>
                      <a:fillRect/>
                    </a:stretch>
                  </pic:blipFill>
                  <pic:spPr>
                    <a:xfrm>
                      <a:off x="0" y="0"/>
                      <a:ext cx="5029200" cy="3573194"/>
                    </a:xfrm>
                    <a:prstGeom prst="rect"/>
                  </pic:spPr>
                </pic:pic>
              </a:graphicData>
            </a:graphic>
          </wp:inline>
        </w:drawing>
      </w:r>
    </w:p>
    <w:p>
      <w:pPr>
        <w:spacing w:line="240" w:lineRule="auto" w:after="240" w:before="0"/>
        <w:jc w:val="center"/>
      </w:pPr>
      <w:r>
        <w:rPr>
          <w:rFonts w:ascii="Times New Roman" w:hAnsi="Times New Roman" w:cs="Times New Roman"/>
          <w:b w:val="0"/>
          <w:i/>
          <w:color w:val="000000"/>
          <w:sz w:val="22"/>
        </w:rPr>
        <w:t>Figure 3. Heatmap of JAMA benchmark compliance across platforms. Darker cells indicate higher compliance rates.</w:t>
      </w:r>
    </w:p>
    <w:p>
      <w:pPr>
        <w:spacing w:line="360" w:lineRule="auto" w:after="200" w:before="0"/>
        <w:jc w:val="both"/>
      </w:pPr>
      <w:r>
        <w:rPr>
          <w:rFonts w:ascii="Times New Roman" w:hAnsi="Times New Roman" w:cs="Times New Roman"/>
          <w:b/>
          <w:i w:val="0"/>
          <w:color w:val="000000"/>
          <w:sz w:val="26"/>
        </w:rPr>
        <w:t>3.5 Creator Type Analysis</w:t>
      </w:r>
    </w:p>
    <w:p>
      <w:pPr>
        <w:spacing w:line="360" w:lineRule="auto" w:after="120" w:before="0"/>
        <w:jc w:val="both"/>
      </w:pPr>
      <w:r>
        <w:rPr>
          <w:rFonts w:ascii="Times New Roman" w:hAnsi="Times New Roman" w:cs="Times New Roman"/>
          <w:b w:val="0"/>
          <w:i w:val="0"/>
          <w:color w:val="000000"/>
          <w:sz w:val="24"/>
        </w:rPr>
        <w:t>To address Research Question 2, creators were initially dichotomised into professional (healthcare professionals and certified fitness professionals, n = 48) and non-professional (fitness influencers, general users, and organisations, n = 152) categories. A Mann-Whitney U test comparing DISCERN total scores between these two groups yielded U = 4233, p = .094, r = -0.160. This result approached but did not reach conventional statistical significance at the alpha = .05 level, with a small effect size. Professional creators achieved a median DISCERN score of 41.0, compared with 37.5 for non-professional creators.</w:t>
      </w:r>
    </w:p>
    <w:p>
      <w:pPr>
        <w:spacing w:line="360" w:lineRule="auto" w:after="120" w:before="0"/>
        <w:jc w:val="both"/>
      </w:pPr>
      <w:r>
        <w:rPr>
          <w:rFonts w:ascii="Times New Roman" w:hAnsi="Times New Roman" w:cs="Times New Roman"/>
          <w:b w:val="0"/>
          <w:i w:val="0"/>
          <w:color w:val="000000"/>
          <w:sz w:val="24"/>
        </w:rPr>
        <w:t>It is important to note that the binary classification is complicated by the treatment of organisations (n = 85, 42.5% of the sample). Organisations were classified as non-professional because they encompass a heterogeneous mix of entities ranging from government health departments to commercial fitness brands, making uniform professional classification inappropriate. However, this is analytically consequential: many organisational websites (e.g., NHS, WHO, Mayo Clinic) produce content overseen by healthcare professionals. As a sensitivity analysis, when organisations were excluded from the binary classification, the difference between professional (n = 48, Mdn = 41.0) and non-professional creators (n = 67, comprising fitness influencers and general users, Mdn = 35.0) remained non-significant, though the trend was more pronounced.</w:t>
      </w:r>
    </w:p>
    <w:p>
      <w:pPr>
        <w:spacing w:line="360" w:lineRule="auto" w:after="120" w:before="0"/>
        <w:jc w:val="both"/>
      </w:pPr>
      <w:r>
        <w:rPr>
          <w:rFonts w:ascii="Times New Roman" w:hAnsi="Times New Roman" w:cs="Times New Roman"/>
          <w:b w:val="0"/>
          <w:i w:val="0"/>
          <w:color w:val="000000"/>
          <w:sz w:val="24"/>
        </w:rPr>
        <w:t>A more informative picture emerged from the Kruskal-Wallis test comparing all five creator types individually, H(4) = 11.26, p = .024. General users scored lowest (Mdn = 33.0), while healthcare professionals and certified fitness professionals both achieved the highest median scores (Mdn = 41.0 each). Fitness influencers (Mdn = 36.0) and organisations (Mdn = 39.0) fell between these extremes. This five-category result is the more meaningful analysis: the binary classification was analytically crude, collapsing a heterogeneous group of organisations—ranging from NHS and WHO to commercial fitness brands—into the non-professional category, which diluted any real quality difference between credentialed and non-credentialed creators.</w:t>
      </w:r>
    </w:p>
    <w:p>
      <w:pPr>
        <w:spacing w:line="240" w:lineRule="auto" w:after="80" w:before="0"/>
        <w:jc w:val="center"/>
      </w:pPr>
      <w:r>
        <w:drawing>
          <wp:inline xmlns:a="http://schemas.openxmlformats.org/drawingml/2006/main" xmlns:pic="http://schemas.openxmlformats.org/drawingml/2006/picture">
            <wp:extent cx="5029200" cy="3294582"/>
            <wp:docPr id="4" name="Picture 4"/>
            <wp:cNvGraphicFramePr>
              <a:graphicFrameLocks noChangeAspect="1"/>
            </wp:cNvGraphicFramePr>
            <a:graphic>
              <a:graphicData uri="http://schemas.openxmlformats.org/drawingml/2006/picture">
                <pic:pic>
                  <pic:nvPicPr>
                    <pic:cNvPr id="0" name="fig4_creator_type_discern.png"/>
                    <pic:cNvPicPr/>
                  </pic:nvPicPr>
                  <pic:blipFill>
                    <a:blip r:embed="rId12"/>
                    <a:stretch>
                      <a:fillRect/>
                    </a:stretch>
                  </pic:blipFill>
                  <pic:spPr>
                    <a:xfrm>
                      <a:off x="0" y="0"/>
                      <a:ext cx="5029200" cy="3294582"/>
                    </a:xfrm>
                    <a:prstGeom prst="rect"/>
                  </pic:spPr>
                </pic:pic>
              </a:graphicData>
            </a:graphic>
          </wp:inline>
        </w:drawing>
      </w:r>
    </w:p>
    <w:p>
      <w:pPr>
        <w:spacing w:line="240" w:lineRule="auto" w:after="240" w:before="0"/>
        <w:jc w:val="center"/>
      </w:pPr>
      <w:r>
        <w:rPr>
          <w:rFonts w:ascii="Times New Roman" w:hAnsi="Times New Roman" w:cs="Times New Roman"/>
          <w:b w:val="0"/>
          <w:i/>
          <w:color w:val="000000"/>
          <w:sz w:val="22"/>
        </w:rPr>
        <w:t>Figure 4. DISCERN total scores by creator type. Box plots show median, IQR, and individual observations.</w:t>
      </w:r>
    </w:p>
    <w:p>
      <w:pPr>
        <w:spacing w:line="360" w:lineRule="auto" w:after="200" w:before="0"/>
        <w:jc w:val="both"/>
      </w:pPr>
      <w:r>
        <w:rPr>
          <w:rFonts w:ascii="Times New Roman" w:hAnsi="Times New Roman" w:cs="Times New Roman"/>
          <w:b/>
          <w:i w:val="0"/>
          <w:color w:val="000000"/>
          <w:sz w:val="26"/>
        </w:rPr>
        <w:t>3.6 Engagement-Quality Relationship</w:t>
      </w:r>
    </w:p>
    <w:p>
      <w:pPr>
        <w:spacing w:line="360" w:lineRule="auto" w:after="120" w:before="0"/>
        <w:jc w:val="both"/>
      </w:pPr>
      <w:r>
        <w:rPr>
          <w:rFonts w:ascii="Times New Roman" w:hAnsi="Times New Roman" w:cs="Times New Roman"/>
          <w:b w:val="0"/>
          <w:i w:val="0"/>
          <w:color w:val="000000"/>
          <w:sz w:val="24"/>
        </w:rPr>
        <w:t>Research Question 3 examined whether engagement metrics were associated with information quality. Table 6 summarises the Spearman rank-order correlations between engagement indicators and DISCERN total scores.</w:t>
      </w:r>
    </w:p>
    <w:p>
      <w:pPr>
        <w:spacing w:line="360" w:lineRule="auto" w:after="120" w:before="0"/>
        <w:jc w:val="both"/>
      </w:pPr>
      <w:r>
        <w:rPr>
          <w:rFonts w:ascii="Times New Roman" w:hAnsi="Times New Roman" w:cs="Times New Roman"/>
          <w:b w:val="0"/>
          <w:i w:val="0"/>
          <w:color w:val="000000"/>
          <w:sz w:val="24"/>
        </w:rPr>
        <w:t>At the overall sample level (social media platforms only, n = 150 for views; N = 200 for likes and comments), views showed a negligible and non-significant correlation with DISCERN scores (rho = -0.073, p = .571). However, both likes (rho = 0.413, p &lt; .001) and comments (rho = 0.415, p &lt; .001) exhibited moderate positive correlations with quality scores.</w:t>
      </w:r>
    </w:p>
    <w:p>
      <w:pPr>
        <w:spacing w:line="360" w:lineRule="auto" w:after="120" w:before="0"/>
        <w:jc w:val="both"/>
      </w:pPr>
      <w:r>
        <w:rPr>
          <w:rFonts w:ascii="Times New Roman" w:hAnsi="Times New Roman" w:cs="Times New Roman"/>
          <w:b w:val="0"/>
          <w:i w:val="0"/>
          <w:color w:val="000000"/>
          <w:sz w:val="24"/>
        </w:rPr>
        <w:t>These overall positive correlations for likes and comments must be interpreted with considerable caution, as they represent a confounded association—an instance of Simpson's paradox. The positive overall relationship is driven largely by between-platform differences: traditional websites, which scored highest on DISCERN, also tend to accumulate higher absolute engagement counts (e.g., social sharing metrics aggregated over longer time periods), while Instagram posts, which scored lowest, tend to have lower absolute engagement. When examined within individual platforms, the likes–quality correlation was not significant for any platform: YouTube (rho = -0.279, p = .063), TikTok (rho = 0.280, p = .098), and Instagram (rho = -0.013, p = .936). This pattern strongly suggests that the overall positive correlation is an ecological artefact of platform-level differences rather than evidence that higher-quality content attracts more engagement within platforms.</w:t>
      </w:r>
    </w:p>
    <w:p>
      <w:pPr>
        <w:spacing w:line="360" w:lineRule="auto" w:after="120" w:before="0"/>
        <w:jc w:val="both"/>
      </w:pPr>
      <w:r>
        <w:rPr>
          <w:rFonts w:ascii="Times New Roman" w:hAnsi="Times New Roman" w:cs="Times New Roman"/>
          <w:b w:val="0"/>
          <w:i w:val="0"/>
          <w:color w:val="000000"/>
          <w:sz w:val="24"/>
        </w:rPr>
        <w:t>For views, a significant negative correlation was observed within YouTube (rho = -0.316, p = .035), suggesting that more frequently viewed YouTube physical activity videos tend to be of slightly lower quality. Within TikTok, the views–quality correlation was positive but non-significant (rho = 0.249, p = .318).</w:t>
      </w:r>
    </w:p>
    <w:p>
      <w:pPr>
        <w:spacing w:line="240" w:lineRule="auto" w:after="80" w:before="0"/>
        <w:jc w:val="center"/>
      </w:pPr>
      <w:r>
        <w:drawing>
          <wp:inline xmlns:a="http://schemas.openxmlformats.org/drawingml/2006/main" xmlns:pic="http://schemas.openxmlformats.org/drawingml/2006/picture">
            <wp:extent cx="5029200" cy="3458844"/>
            <wp:docPr id="5" name="Picture 5"/>
            <wp:cNvGraphicFramePr>
              <a:graphicFrameLocks noChangeAspect="1"/>
            </wp:cNvGraphicFramePr>
            <a:graphic>
              <a:graphicData uri="http://schemas.openxmlformats.org/drawingml/2006/picture">
                <pic:pic>
                  <pic:nvPicPr>
                    <pic:cNvPr id="0" name="fig5_engagement_vs_quality.png"/>
                    <pic:cNvPicPr/>
                  </pic:nvPicPr>
                  <pic:blipFill>
                    <a:blip r:embed="rId13"/>
                    <a:stretch>
                      <a:fillRect/>
                    </a:stretch>
                  </pic:blipFill>
                  <pic:spPr>
                    <a:xfrm>
                      <a:off x="0" y="0"/>
                      <a:ext cx="5029200" cy="3458844"/>
                    </a:xfrm>
                    <a:prstGeom prst="rect"/>
                  </pic:spPr>
                </pic:pic>
              </a:graphicData>
            </a:graphic>
          </wp:inline>
        </w:drawing>
      </w:r>
    </w:p>
    <w:p>
      <w:pPr>
        <w:spacing w:line="240" w:lineRule="auto" w:after="240" w:before="0"/>
        <w:jc w:val="center"/>
      </w:pPr>
      <w:r>
        <w:rPr>
          <w:rFonts w:ascii="Times New Roman" w:hAnsi="Times New Roman" w:cs="Times New Roman"/>
          <w:b w:val="0"/>
          <w:i/>
          <w:color w:val="000000"/>
          <w:sz w:val="22"/>
        </w:rPr>
        <w:t>Figure 5. Scatter plots of engagement metrics versus DISCERN total scores by platform. Top row: views (Instagram lacks public view counts for non-Reel posts). Bottom row: likes. Trend lines are fitted using linear regression.</w:t>
      </w:r>
    </w:p>
    <w:p>
      <w:pPr>
        <w:spacing w:line="360" w:lineRule="auto" w:after="200" w:before="0"/>
        <w:jc w:val="both"/>
      </w:pPr>
      <w:r>
        <w:rPr>
          <w:rFonts w:ascii="Times New Roman" w:hAnsi="Times New Roman" w:cs="Times New Roman"/>
          <w:b/>
          <w:i w:val="0"/>
          <w:color w:val="000000"/>
          <w:sz w:val="26"/>
        </w:rPr>
        <w:t>3.7 DISCERN Question-Level Patterns</w:t>
      </w:r>
    </w:p>
    <w:p>
      <w:pPr>
        <w:spacing w:line="360" w:lineRule="auto" w:after="120" w:before="0"/>
        <w:jc w:val="both"/>
      </w:pPr>
      <w:r>
        <w:rPr>
          <w:rFonts w:ascii="Times New Roman" w:hAnsi="Times New Roman" w:cs="Times New Roman"/>
          <w:b w:val="0"/>
          <w:i w:val="0"/>
          <w:color w:val="000000"/>
          <w:sz w:val="24"/>
        </w:rPr>
        <w:t>Figure 6 presents a heatmap of mean scores for each of the 16 DISCERN questions across platforms. Several patterns merit attention. First, items relating to treatment choices (Q9–Q15) consistently scored lower than reliability items (Q1–Q8) across all platforms, indicating that even higher-quality sources tended to provide less comprehensive information about exercise alternatives and their relative benefits and risks. Second, Q4 ('Is it clear what sources of information were used to compile the publication?') showed the steepest platform gradient, with traditional websites scoring substantially higher than all social media platforms on source transparency. Q5 ('Is it clear when the information used or reported was produced?') showed a different pattern: YouTube scored highest on this currency item because upload dates are automatically and prominently displayed, whereas Instagram and TikTok scored lowest despite also auto-displaying post dates, likely because their content less frequently referenced when the underlying information was produced. Third, Q16 (overall quality rating) closely tracked the total DISCERN score pattern, with websites receiving the highest overall quality ratings and Instagram the lowest.</w:t>
      </w:r>
    </w:p>
    <w:p>
      <w:pPr>
        <w:spacing w:line="240" w:lineRule="auto" w:after="80" w:before="0"/>
        <w:jc w:val="center"/>
      </w:pPr>
      <w:r>
        <w:drawing>
          <wp:inline xmlns:a="http://schemas.openxmlformats.org/drawingml/2006/main" xmlns:pic="http://schemas.openxmlformats.org/drawingml/2006/picture">
            <wp:extent cx="5029200" cy="2317460"/>
            <wp:docPr id="6" name="Picture 6"/>
            <wp:cNvGraphicFramePr>
              <a:graphicFrameLocks noChangeAspect="1"/>
            </wp:cNvGraphicFramePr>
            <a:graphic>
              <a:graphicData uri="http://schemas.openxmlformats.org/drawingml/2006/picture">
                <pic:pic>
                  <pic:nvPicPr>
                    <pic:cNvPr id="0" name="fig6_discern_questions_heatmap.png"/>
                    <pic:cNvPicPr/>
                  </pic:nvPicPr>
                  <pic:blipFill>
                    <a:blip r:embed="rId14"/>
                    <a:stretch>
                      <a:fillRect/>
                    </a:stretch>
                  </pic:blipFill>
                  <pic:spPr>
                    <a:xfrm>
                      <a:off x="0" y="0"/>
                      <a:ext cx="5029200" cy="2317460"/>
                    </a:xfrm>
                    <a:prstGeom prst="rect"/>
                  </pic:spPr>
                </pic:pic>
              </a:graphicData>
            </a:graphic>
          </wp:inline>
        </w:drawing>
      </w:r>
    </w:p>
    <w:p>
      <w:pPr>
        <w:spacing w:line="240" w:lineRule="auto" w:after="240" w:before="0"/>
        <w:jc w:val="center"/>
      </w:pPr>
      <w:r>
        <w:rPr>
          <w:rFonts w:ascii="Times New Roman" w:hAnsi="Times New Roman" w:cs="Times New Roman"/>
          <w:b w:val="0"/>
          <w:i/>
          <w:color w:val="000000"/>
          <w:sz w:val="22"/>
        </w:rPr>
        <w:t>Figure 6. Heatmap of mean DISCERN item scores (Q1–Q16) by platform. Darker shading indicates higher mean scores (maximum = 5).</w:t>
      </w:r>
    </w:p>
    <w:p>
      <w:pPr>
        <w:spacing w:line="360" w:lineRule="auto" w:after="200" w:before="0"/>
        <w:jc w:val="both"/>
      </w:pPr>
      <w:r>
        <w:rPr>
          <w:rFonts w:ascii="Times New Roman" w:hAnsi="Times New Roman" w:cs="Times New Roman"/>
          <w:b/>
          <w:i w:val="0"/>
          <w:color w:val="000000"/>
          <w:sz w:val="26"/>
        </w:rPr>
        <w:t>3.8 Content Format and Search Term Effects</w:t>
      </w:r>
    </w:p>
    <w:p>
      <w:pPr>
        <w:spacing w:line="360" w:lineRule="auto" w:after="120" w:before="0"/>
        <w:jc w:val="both"/>
      </w:pPr>
      <w:r>
        <w:rPr>
          <w:rFonts w:ascii="Times New Roman" w:hAnsi="Times New Roman" w:cs="Times New Roman"/>
          <w:b w:val="0"/>
          <w:i w:val="0"/>
          <w:color w:val="000000"/>
          <w:sz w:val="24"/>
        </w:rPr>
        <w:t>Exploratory analysis of content format revealed notable differences in DISCERN scores. Text articles (n = 50, exclusive to websites) achieved the highest median score (Mdn = 48.5, M = 47.0), followed by long-form videos exceeding five minutes (predominantly YouTube; n = 45, Mdn = 43.0, M = 43.1). Short videos under 60 seconds (n = 47, comprising 5 from YouTube and 42 from TikTok; Mdn = 34.0, M = 33.8) scored lower. Image-with-caption posts (n = 21, from TikTok and Instagram; Mdn = 30.0, M = 30.5) and carousel posts (n = 37, exclusive to Instagram; Mdn = 27.5, M = 28.4) scored lowest. These format differences are largely confounded with platform, as content formats were strongly associated with specific platforms.</w:t>
      </w:r>
    </w:p>
    <w:p>
      <w:pPr>
        <w:spacing w:line="360" w:lineRule="auto" w:after="120" w:before="0"/>
        <w:jc w:val="both"/>
      </w:pPr>
      <w:r>
        <w:rPr>
          <w:rFonts w:ascii="Times New Roman" w:hAnsi="Times New Roman" w:cs="Times New Roman"/>
          <w:b w:val="0"/>
          <w:i w:val="0"/>
          <w:color w:val="000000"/>
          <w:sz w:val="24"/>
        </w:rPr>
        <w:t>Search terms also influenced quality scores. A Kruskal-Wallis test indicated significant variation across the five search terms, H(4) = 27.72, p &lt; .001. Items retrieved using the term 'how to start exercising' scored highest, while 'home workout routine' yielded the lowest median DISCERN scores. This may reflect differences in the specificity and clinical relevance of search queries, with more general health-oriented terms retrieving content from authoritative sources.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