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</w:rPr>
        <w:t>REFERENCES</w:t>
      </w:r>
    </w:p>
    <w:p/>
    <w:p>
      <w:pPr>
        <w:spacing w:line="360" w:lineRule="auto"/>
        <w:ind w:left="720" w:hanging="720"/>
        <w:jc w:val="both"/>
      </w:pPr>
      <w:r>
        <w:rPr>
          <w:rFonts w:ascii="Times New Roman" w:hAnsi="Times New Roman"/>
          <w:sz w:val="24"/>
        </w:rPr>
        <w:t>Avram, M., Micallef, N., Patil, S., &amp; Menczer, F. (2020). Exposure to social engagement metrics increases vulnerability to misinformation. Harvard Kennedy School Misinformation Review, 1(5). https://doi.org/10.37016/mr-2020-033</w:t>
      </w:r>
    </w:p>
    <w:p>
      <w:pPr>
        <w:spacing w:line="360" w:lineRule="auto"/>
        <w:ind w:left="720" w:hanging="720"/>
        <w:jc w:val="both"/>
      </w:pPr>
      <w:r>
        <w:rPr>
          <w:rFonts w:ascii="Times New Roman" w:hAnsi="Times New Roman"/>
          <w:sz w:val="24"/>
        </w:rPr>
        <w:t>Ayyash, M., Albarqouni, L., &amp; Dawkins, B. (2025). Quality assessment of health information on social media: A systematic review and meta-analysis. Journal of Medical Internet Research, 27(2), e65722. https://doi.org/10.2196/65722</w:t>
      </w:r>
    </w:p>
    <w:p>
      <w:pPr>
        <w:spacing w:line="360" w:lineRule="auto"/>
        <w:ind w:left="720" w:hanging="720"/>
        <w:jc w:val="both"/>
      </w:pPr>
      <w:r>
        <w:rPr>
          <w:rFonts w:ascii="Times New Roman" w:hAnsi="Times New Roman"/>
          <w:sz w:val="24"/>
        </w:rPr>
        <w:t>Ayyash, M., Musaad, S., Albarqouni, L., &amp; Dawkins, B. (2025). Quality of online health information on traditional websites: A systematic review and meta-analysis. Journal of Medical Internet Research, 27(3), e67481.</w:t>
      </w:r>
    </w:p>
    <w:p>
      <w:pPr>
        <w:spacing w:line="360" w:lineRule="auto"/>
        <w:ind w:left="720" w:hanging="720"/>
        <w:jc w:val="both"/>
      </w:pPr>
      <w:r>
        <w:rPr>
          <w:rFonts w:ascii="Times New Roman" w:hAnsi="Times New Roman"/>
          <w:sz w:val="24"/>
        </w:rPr>
        <w:t>Azer, S. A. (2020). Are DISCERN and JAMA suitable instruments for assessing YouTube videos on thyroid cancer? Methodological concerns. Journal of Cancer Education, 35(6), 1267–1277. https://doi.org/10.1007/s13187-020-01763-9</w:t>
      </w:r>
    </w:p>
    <w:p>
      <w:pPr>
        <w:spacing w:line="360" w:lineRule="auto"/>
        <w:ind w:left="720" w:hanging="720"/>
        <w:jc w:val="both"/>
      </w:pPr>
      <w:r>
        <w:rPr>
          <w:rFonts w:ascii="Times New Roman" w:hAnsi="Times New Roman"/>
          <w:sz w:val="24"/>
        </w:rPr>
        <w:t>Bernard, A., Langille, M., Hughes, S., Rose, C., Leddin, D., &amp; Veldhuyzen van Zanten, S. (2007). A systematic review of patient inflammatory bowel disease information resources on the World Wide Web. American Journal of Gastroenterology, 102(9), 2070–2077. https://doi.org/10.1111/j.1572-0241.2007.01325.x</w:t>
      </w:r>
    </w:p>
    <w:p>
      <w:pPr>
        <w:spacing w:line="360" w:lineRule="auto"/>
        <w:ind w:left="720" w:hanging="720"/>
        <w:jc w:val="both"/>
      </w:pPr>
      <w:r>
        <w:rPr>
          <w:rFonts w:ascii="Times New Roman" w:hAnsi="Times New Roman"/>
          <w:sz w:val="24"/>
        </w:rPr>
        <w:t>Blakeslee, S. (2004). The CRAAP test. LOEX Quarterly, 31(3), 6–7. https://commons.emich.edu/loexquarterly/vol31/iss3/4</w:t>
      </w:r>
    </w:p>
    <w:p>
      <w:pPr>
        <w:spacing w:line="360" w:lineRule="auto"/>
        <w:ind w:left="720" w:hanging="720"/>
        <w:jc w:val="both"/>
      </w:pPr>
      <w:r>
        <w:rPr>
          <w:rFonts w:ascii="Times New Roman" w:hAnsi="Times New Roman"/>
          <w:sz w:val="24"/>
        </w:rPr>
        <w:t>Boyer, C., Baujard, V., &amp; Geissbuhler, A. (2011). Evolution of health web certification through the HONcode experience. Studies in Health Technology and Informatics, 169, 53–57. https://doi.org/10.3233/978-1-60750-806-9-53</w:t>
      </w:r>
    </w:p>
    <w:p>
      <w:pPr>
        <w:spacing w:line="360" w:lineRule="auto"/>
        <w:ind w:left="720" w:hanging="720"/>
        <w:jc w:val="both"/>
      </w:pPr>
      <w:r>
        <w:rPr>
          <w:rFonts w:ascii="Times New Roman" w:hAnsi="Times New Roman"/>
          <w:sz w:val="24"/>
        </w:rPr>
        <w:t>Charnock, D., Shepperd, S., Needham, G., &amp; Gann, R. (1999). DISCERN: An instrument for judging the quality of written consumer health information on treatment choices. Journal of Epidemiology and Community Health, 53(2), 105–111. https://doi.org/10.1136/jech.53.2.105</w:t>
      </w:r>
    </w:p>
    <w:p>
      <w:pPr>
        <w:spacing w:line="360" w:lineRule="auto"/>
        <w:ind w:left="720" w:hanging="720"/>
        <w:jc w:val="both"/>
      </w:pPr>
      <w:r>
        <w:rPr>
          <w:rFonts w:ascii="Times New Roman" w:hAnsi="Times New Roman"/>
          <w:sz w:val="24"/>
        </w:rPr>
        <w:t>Chea, C. Y., &amp; Lim, P. K. (2023). Quality and accuracy of dental health-related information on social media: A systematic review. Journal of Dental Sciences, 18(3), 1070–1079.</w:t>
      </w:r>
    </w:p>
    <w:p>
      <w:pPr>
        <w:spacing w:line="360" w:lineRule="auto"/>
        <w:ind w:left="720" w:hanging="720"/>
        <w:jc w:val="both"/>
      </w:pPr>
      <w:r>
        <w:rPr>
          <w:rFonts w:ascii="Times New Roman" w:hAnsi="Times New Roman"/>
          <w:sz w:val="24"/>
        </w:rPr>
        <w:t>Chen, S., Tang, Y., Zhang, Y., Liu, Z., Zhong, Y., Fang, H., Xu, Y., Sun, J., &amp; Zhang, Y. (2025). Quality of cancer-related information on new media (2014–2023): Systematic review and meta-analysis. Journal of Medical Internet Research, 27(1), e73185. https://doi.org/10.2196/73185</w:t>
      </w:r>
    </w:p>
    <w:p>
      <w:pPr>
        <w:spacing w:line="360" w:lineRule="auto"/>
        <w:ind w:left="720" w:hanging="720"/>
        <w:jc w:val="both"/>
      </w:pPr>
      <w:r>
        <w:rPr>
          <w:rFonts w:ascii="Times New Roman" w:hAnsi="Times New Roman"/>
          <w:sz w:val="24"/>
        </w:rPr>
        <w:t>Cohen, J. (1988). Statistical power analysis for the behavioral sciences (2nd ed.). Lawrence Erlbaum Associates.</w:t>
      </w:r>
    </w:p>
    <w:p>
      <w:pPr>
        <w:spacing w:line="360" w:lineRule="auto"/>
        <w:ind w:left="720" w:hanging="720"/>
        <w:jc w:val="both"/>
      </w:pPr>
      <w:r>
        <w:rPr>
          <w:rFonts w:ascii="Times New Roman" w:hAnsi="Times New Roman"/>
          <w:sz w:val="24"/>
        </w:rPr>
        <w:t>Cooke, A., Smith, D., &amp; Booth, A. (2012). Beyond PICO: The SPIDER tool for qualitative evidence synthesis. Qualitative Health Research, 22(10), 1435–1443. https://doi.org/10.1177/1049732312452938</w:t>
      </w:r>
    </w:p>
    <w:p>
      <w:pPr>
        <w:spacing w:line="360" w:lineRule="auto"/>
        <w:ind w:left="720" w:hanging="720"/>
        <w:jc w:val="both"/>
      </w:pPr>
      <w:r>
        <w:rPr>
          <w:rFonts w:ascii="Times New Roman" w:hAnsi="Times New Roman"/>
          <w:sz w:val="24"/>
        </w:rPr>
        <w:t>Czenczek-Lewandowska, E., Leszczak, J., Mazur, A., &amp; Rak, S. (2022). Review of the quality of YouTube videos recommending exercises for the COVID-19 lockdown. International Journal of Environmental Research and Public Health, 19(10), 6348. https://doi.org/10.3390/ijerph19106348</w:t>
      </w:r>
    </w:p>
    <w:p>
      <w:pPr>
        <w:spacing w:line="360" w:lineRule="auto"/>
        <w:ind w:left="720" w:hanging="720"/>
        <w:jc w:val="both"/>
      </w:pPr>
      <w:r>
        <w:rPr>
          <w:rFonts w:ascii="Times New Roman" w:hAnsi="Times New Roman"/>
          <w:sz w:val="24"/>
        </w:rPr>
        <w:t>Daraz, L., Morrow, A. S., Ponce, O. J., Farah, W., Katabi, A., Majzoub, A., Seisa, M. O., Benkhadra, R., Alsawas, M., Larry, P., &amp; Murad, M. H. (2019). Can patients trust online health information? A meta-narrative systematic review addressing the quality of health information on the internet. Journal of General Internal Medicine, 34(9), 1884–1891. https://doi.org/10.1007/s11606-019-05109-0</w:t>
      </w:r>
    </w:p>
    <w:p>
      <w:pPr>
        <w:spacing w:line="360" w:lineRule="auto"/>
        <w:ind w:left="720" w:hanging="720"/>
        <w:jc w:val="both"/>
      </w:pPr>
      <w:r>
        <w:rPr>
          <w:rFonts w:ascii="Times New Roman" w:hAnsi="Times New Roman"/>
          <w:sz w:val="24"/>
        </w:rPr>
        <w:t>de Moel-Mandel, C., Shelley, B., &amp; Gericke, C. A. (2025). Quality and reliability of physical activity information on TikTok: A content analysis. Health Promotion Journal of Australia, 36(1), e752. https://doi.org/10.1002/hpja.752</w:t>
      </w:r>
    </w:p>
    <w:p>
      <w:pPr>
        <w:spacing w:line="360" w:lineRule="auto"/>
        <w:ind w:left="720" w:hanging="720"/>
        <w:jc w:val="both"/>
      </w:pPr>
      <w:r>
        <w:rPr>
          <w:rFonts w:ascii="Times New Roman" w:hAnsi="Times New Roman"/>
          <w:sz w:val="24"/>
        </w:rPr>
        <w:t>Delli, K., Livas, C., Ammari, A. B., Silver, J., &amp; Trottman, G. (2016). Assessing the quality and readability of online information on dental implants. International Dental Journal, 66(2), 100–106.</w:t>
      </w:r>
    </w:p>
    <w:p>
      <w:pPr>
        <w:spacing w:line="360" w:lineRule="auto"/>
        <w:ind w:left="720" w:hanging="720"/>
        <w:jc w:val="both"/>
      </w:pPr>
      <w:r>
        <w:rPr>
          <w:rFonts w:ascii="Times New Roman" w:hAnsi="Times New Roman"/>
          <w:sz w:val="24"/>
        </w:rPr>
        <w:t>Dinis-Oliveira, R. J. (2020). COVID-19 research: Pandemic versus “paperdemic,” integrity, values and risks of speed science. Forensic Sciences Research, 5(2), 174–187. https://doi.org/10.1080/20961790.2020.1767754</w:t>
      </w:r>
    </w:p>
    <w:p>
      <w:pPr>
        <w:spacing w:line="360" w:lineRule="auto"/>
        <w:ind w:left="720" w:hanging="720"/>
        <w:jc w:val="both"/>
      </w:pPr>
      <w:r>
        <w:rPr>
          <w:rFonts w:ascii="Times New Roman" w:hAnsi="Times New Roman"/>
          <w:sz w:val="24"/>
        </w:rPr>
        <w:t>Diviani, N., van den Putte, B., Giani, S., &amp; van Weert, J. C. (2015). Low health literacy and evaluation of online health information: A systematic review of the literature. Journal of Medical Internet Research, 17(5), e112. https://doi.org/10.2196/jmir.4018</w:t>
      </w:r>
    </w:p>
    <w:p>
      <w:pPr>
        <w:spacing w:line="360" w:lineRule="auto"/>
        <w:ind w:left="720" w:hanging="720"/>
        <w:jc w:val="both"/>
      </w:pPr>
      <w:r>
        <w:rPr>
          <w:rFonts w:ascii="Times New Roman" w:hAnsi="Times New Roman"/>
          <w:sz w:val="24"/>
        </w:rPr>
        <w:t>Drozd, B., Couvillon, E., &amp; Suarez, A. (2018). Medical YouTube videos and methods of evaluation: Literature review. JMIR Medical Education, 4(1), e3. https://doi.org/10.2196/mededu.8527</w:t>
      </w:r>
    </w:p>
    <w:p>
      <w:pPr>
        <w:spacing w:line="360" w:lineRule="auto"/>
        <w:ind w:left="720" w:hanging="720"/>
        <w:jc w:val="both"/>
      </w:pPr>
      <w:r>
        <w:rPr>
          <w:rFonts w:ascii="Times New Roman" w:hAnsi="Times New Roman"/>
          <w:sz w:val="24"/>
        </w:rPr>
        <w:t>Eysenbach, G., Powell, J., Kuss, O., &amp; Sa, E. R. (2002). Empirical studies assessing the quality of health information for consumers on the World Wide Web: A systematic review. JAMA, 287(20), 2691–2700. https://doi.org/10.1001/jama.287.20.2691</w:t>
      </w:r>
    </w:p>
    <w:p>
      <w:pPr>
        <w:spacing w:line="360" w:lineRule="auto"/>
        <w:ind w:left="720" w:hanging="720"/>
        <w:jc w:val="both"/>
      </w:pPr>
      <w:r>
        <w:rPr>
          <w:rFonts w:ascii="Times New Roman" w:hAnsi="Times New Roman"/>
          <w:sz w:val="24"/>
        </w:rPr>
        <w:t>Feinstein, A. R., &amp; Cicchetti, D. V. (1990). High agreement but low kappa: I. The problems of two paradoxes. Journal of Clinical Epidemiology, 43(6), 543–549. https://doi.org/10.1016/0895-4356(90)90158-L</w:t>
      </w:r>
    </w:p>
    <w:p>
      <w:pPr>
        <w:spacing w:line="360" w:lineRule="auto"/>
        <w:ind w:left="720" w:hanging="720"/>
        <w:jc w:val="both"/>
      </w:pPr>
      <w:r>
        <w:rPr>
          <w:rFonts w:ascii="Times New Roman" w:hAnsi="Times New Roman"/>
          <w:sz w:val="24"/>
        </w:rPr>
        <w:t>Finney Rutten, L. J., Blake, K. D., Greenberg-Worisek, A. J., Allen, S. V., Moser, R. P., &amp; Hesse, B. W. (2019). Online health information seeking among US adults: Measuring progress toward a Healthy People 2020 objective. Public Health Reports, 134(6), 617–625. https://doi.org/10.1177/0033354919874074</w:t>
      </w:r>
    </w:p>
    <w:p>
      <w:pPr>
        <w:spacing w:line="360" w:lineRule="auto"/>
        <w:ind w:left="720" w:hanging="720"/>
        <w:jc w:val="both"/>
      </w:pPr>
      <w:r>
        <w:rPr>
          <w:rFonts w:ascii="Times New Roman" w:hAnsi="Times New Roman"/>
          <w:sz w:val="24"/>
        </w:rPr>
        <w:t>Fox, S., &amp; Duggan, M. (2013). Health online 2013. Pew Internet and American Life Project. https://www.pewresearch.org/internet/2013/01/15/health-online-2013-2/</w:t>
      </w:r>
    </w:p>
    <w:p>
      <w:pPr>
        <w:spacing w:line="360" w:lineRule="auto"/>
        <w:ind w:left="720" w:hanging="720"/>
        <w:jc w:val="both"/>
      </w:pPr>
      <w:r>
        <w:rPr>
          <w:rFonts w:ascii="Times New Roman" w:hAnsi="Times New Roman"/>
          <w:sz w:val="24"/>
        </w:rPr>
        <w:t>Fritz, C. O., Morris, P. E., &amp; Richler, J. J. (2012). Effect size estimates: Current use, calculations, and interpretation. Journal of Experimental Psychology: General, 141(1), 2–18. https://doi.org/10.1037/a0024338</w:t>
      </w:r>
    </w:p>
    <w:p>
      <w:pPr>
        <w:spacing w:line="360" w:lineRule="auto"/>
        <w:ind w:left="720" w:hanging="720"/>
        <w:jc w:val="both"/>
      </w:pPr>
      <w:r>
        <w:rPr>
          <w:rFonts w:ascii="Times New Roman" w:hAnsi="Times New Roman"/>
          <w:sz w:val="24"/>
        </w:rPr>
        <w:t>Haghighi, R., &amp; Farhadloo, M. (2025). Quality assessment of health information on social media during a public health crisis: Infodemiology study. JMIR Infodemiology, 5(1), e70756. https://doi.org/10.2196/70756</w:t>
      </w:r>
    </w:p>
    <w:p>
      <w:pPr>
        <w:spacing w:line="360" w:lineRule="auto"/>
        <w:ind w:left="720" w:hanging="720"/>
        <w:jc w:val="both"/>
      </w:pPr>
      <w:r>
        <w:rPr>
          <w:rFonts w:ascii="Times New Roman" w:hAnsi="Times New Roman"/>
          <w:sz w:val="24"/>
        </w:rPr>
        <w:t>Kbaier, D., Kalra, P. A., &amp; Alderson, H. V. (2024). Social media health misinformation: Characteristics of sharers and non-sharers. JMIR Infodemiology, 4, e45459.</w:t>
      </w:r>
    </w:p>
    <w:p>
      <w:pPr>
        <w:spacing w:line="360" w:lineRule="auto"/>
        <w:ind w:left="720" w:hanging="720"/>
        <w:jc w:val="both"/>
      </w:pPr>
      <w:r>
        <w:rPr>
          <w:rFonts w:ascii="Times New Roman" w:hAnsi="Times New Roman"/>
          <w:sz w:val="24"/>
        </w:rPr>
        <w:t>Kocyigit, B. F., Nacitarhan, V., Koca, T. T., &amp; Berk, E. (2019). YouTube as a source of patient information for ankylosing spondylitis exercises. Clinical Rheumatology, 38(6), 1747–1751. https://doi.org/10.1007/s10067-018-04413-0</w:t>
      </w:r>
    </w:p>
    <w:p>
      <w:pPr>
        <w:spacing w:line="360" w:lineRule="auto"/>
        <w:ind w:left="720" w:hanging="720"/>
        <w:jc w:val="both"/>
      </w:pPr>
      <w:r>
        <w:rPr>
          <w:rFonts w:ascii="Times New Roman" w:hAnsi="Times New Roman"/>
          <w:sz w:val="24"/>
        </w:rPr>
        <w:t>Kong, W., Song, S., Zhao, Y. C., Zhu, Q., &amp; Sha, L. (2021). TikTok as a health information source: Assessment of the quality of information in diabetes-related videos. Journal of Medical Internet Research, 23(9), e30409. https://doi.org/10.2196/30409</w:t>
      </w:r>
    </w:p>
    <w:p>
      <w:pPr>
        <w:spacing w:line="360" w:lineRule="auto"/>
        <w:ind w:left="720" w:hanging="720"/>
        <w:jc w:val="both"/>
      </w:pPr>
      <w:r>
        <w:rPr>
          <w:rFonts w:ascii="Times New Roman" w:hAnsi="Times New Roman"/>
          <w:sz w:val="24"/>
        </w:rPr>
        <w:t>Koo, T. K., &amp; Li, M. Y. (2016). A guideline of selecting and reporting intraclass correlation coefficients for reliability research. Journal of Chiropractic Medicine, 15(2), 155–163. https://doi.org/10.1016/j.jcm.2016.02.012</w:t>
      </w:r>
    </w:p>
    <w:p>
      <w:pPr>
        <w:spacing w:line="360" w:lineRule="auto"/>
        <w:ind w:left="720" w:hanging="720"/>
        <w:jc w:val="both"/>
      </w:pPr>
      <w:r>
        <w:rPr>
          <w:rFonts w:ascii="Times New Roman" w:hAnsi="Times New Roman"/>
          <w:sz w:val="24"/>
        </w:rPr>
        <w:t>Krippendorff, K. (2018). Content analysis: An introduction to its methodology (4th ed.). SAGE Publications.</w:t>
      </w:r>
    </w:p>
    <w:p>
      <w:pPr>
        <w:spacing w:line="360" w:lineRule="auto"/>
        <w:ind w:left="720" w:hanging="720"/>
        <w:jc w:val="both"/>
      </w:pPr>
      <w:r>
        <w:rPr>
          <w:rFonts w:ascii="Times New Roman" w:hAnsi="Times New Roman"/>
          <w:sz w:val="24"/>
        </w:rPr>
        <w:t>Landis, J. R., &amp; Koch, G. G. (1977). The measurement of observer agreement for categorical data. Biometrics, 33(1), 159–174. https://doi.org/10.2307/2529310</w:t>
      </w:r>
    </w:p>
    <w:p>
      <w:pPr>
        <w:spacing w:line="360" w:lineRule="auto"/>
        <w:ind w:left="720" w:hanging="720"/>
        <w:jc w:val="both"/>
      </w:pPr>
      <w:r>
        <w:rPr>
          <w:rFonts w:ascii="Times New Roman" w:hAnsi="Times New Roman"/>
          <w:sz w:val="24"/>
        </w:rPr>
        <w:t>Leong, Q. Y., Sani, S. A., &amp; Khor, G. L. (2021). Quality of nutrition and diet-related information on the internet for consumers: A systematic review. Health Promotion International, 36(3), 686–700. https://doi.org/10.1093/heapro/daaa082</w:t>
      </w:r>
    </w:p>
    <w:p>
      <w:pPr>
        <w:spacing w:line="360" w:lineRule="auto"/>
        <w:ind w:left="720" w:hanging="720"/>
        <w:jc w:val="both"/>
      </w:pPr>
      <w:r>
        <w:rPr>
          <w:rFonts w:ascii="Times New Roman" w:hAnsi="Times New Roman"/>
          <w:sz w:val="24"/>
        </w:rPr>
        <w:t>Li, B., Liu, X., Zhang, Y., Wang, Y., &amp; Zheng, L. (2024). Quality assessment of health science-related short videos on TikTok: A scoping review. International Journal of Medical Informatics, 186, 105426. https://doi.org/10.1016/j.ijmedinf.2024.105426</w:t>
      </w:r>
    </w:p>
    <w:p>
      <w:pPr>
        <w:spacing w:line="360" w:lineRule="auto"/>
        <w:ind w:left="720" w:hanging="720"/>
        <w:jc w:val="both"/>
      </w:pPr>
      <w:r>
        <w:rPr>
          <w:rFonts w:ascii="Times New Roman" w:hAnsi="Times New Roman"/>
          <w:sz w:val="24"/>
        </w:rPr>
        <w:t>Madathil, K. C., Rivera-Rodriguez, A. J., Greenstein, J. S., &amp; Gramopadhye, A. K. (2015). Healthcare information on YouTube: A systematic review. Health Informatics Journal, 21(3), 173–194. https://doi.org/10.1177/1460458213512220</w:t>
      </w:r>
    </w:p>
    <w:p>
      <w:pPr>
        <w:spacing w:line="360" w:lineRule="auto"/>
        <w:ind w:left="720" w:hanging="720"/>
        <w:jc w:val="both"/>
      </w:pPr>
      <w:r>
        <w:rPr>
          <w:rFonts w:ascii="Times New Roman" w:hAnsi="Times New Roman"/>
          <w:sz w:val="24"/>
        </w:rPr>
        <w:t>Marocolo, M., Meireles, A., de Souza, H. L. R., Mota, G. R., Oranchuk, D. J., Arriel, R. A., &amp; Leite, L. H. R. (2021). Is social media spreading misinformation on exercise and health in Brazil? International Journal of Environmental Research and Public Health, 18(22), 11914. https://doi.org/10.3390/ijerph182211914</w:t>
      </w:r>
    </w:p>
    <w:p>
      <w:pPr>
        <w:spacing w:line="360" w:lineRule="auto"/>
        <w:ind w:left="720" w:hanging="720"/>
        <w:jc w:val="both"/>
      </w:pPr>
      <w:r>
        <w:rPr>
          <w:rFonts w:ascii="Times New Roman" w:hAnsi="Times New Roman"/>
          <w:sz w:val="24"/>
        </w:rPr>
        <w:t>McKinney, W. (2010). Data structures for statistical computing in Python. In S. van der Walt &amp; J. Millman (Eds.), Proceedings of the 9th Python in Science Conference (pp. 56–61). https://doi.org/10.25080/Majora-92bf1922-00a</w:t>
      </w:r>
    </w:p>
    <w:p>
      <w:pPr>
        <w:spacing w:line="360" w:lineRule="auto"/>
        <w:ind w:left="720" w:hanging="720"/>
        <w:jc w:val="both"/>
      </w:pPr>
      <w:r>
        <w:rPr>
          <w:rFonts w:ascii="Times New Roman" w:hAnsi="Times New Roman"/>
          <w:sz w:val="24"/>
        </w:rPr>
        <w:t>Moorhead, S. A., Hazlett, D. E., Harrison, L., Carroll, J. K., Irwin, A., &amp; Hoving, C. (2013). A new dimension of health care: Systematic review of the uses, benefits, and limitations of social media for health communication. Journal of Medical Internet Research, 15(4), e85. https://doi.org/10.2196/jmir.1933</w:t>
      </w:r>
    </w:p>
    <w:p>
      <w:pPr>
        <w:spacing w:line="360" w:lineRule="auto"/>
        <w:ind w:left="720" w:hanging="720"/>
        <w:jc w:val="both"/>
      </w:pPr>
      <w:r>
        <w:rPr>
          <w:rFonts w:ascii="Times New Roman" w:hAnsi="Times New Roman"/>
          <w:sz w:val="24"/>
        </w:rPr>
        <w:t>Naaman, R., Thompson, K., Goldstein, S., &amp; Kirshenbaum, M. (2022). Quality assessment methodology for online health information: A systematic review. Digital Health, 8, 20552076221115044. https://doi.org/10.1177/20552076221115044</w:t>
      </w:r>
    </w:p>
    <w:p>
      <w:pPr>
        <w:spacing w:line="360" w:lineRule="auto"/>
        <w:ind w:left="720" w:hanging="720"/>
        <w:jc w:val="both"/>
      </w:pPr>
      <w:r>
        <w:rPr>
          <w:rFonts w:ascii="Times New Roman" w:hAnsi="Times New Roman"/>
          <w:sz w:val="24"/>
        </w:rPr>
        <w:t>Norman, C. D., &amp; Skinner, H. A. (2006). eHEALS: The eHealth Literacy Scale. Journal of Medical Internet Research, 8(4), e27. https://doi.org/10.2196/jmir.8.4.e27</w:t>
      </w:r>
    </w:p>
    <w:p>
      <w:pPr>
        <w:spacing w:line="360" w:lineRule="auto"/>
        <w:ind w:left="720" w:hanging="720"/>
        <w:jc w:val="both"/>
      </w:pPr>
      <w:r>
        <w:rPr>
          <w:rFonts w:ascii="Times New Roman" w:hAnsi="Times New Roman"/>
          <w:sz w:val="24"/>
        </w:rPr>
        <w:t>Osman, W., Mohamed, F., Elhassan, M., &amp; Shoufan, A. (2022). Is YouTube a reliable source of health-related information? A systematic review. BMC Medical Education, 22, 382. https://doi.org/10.1186/s12909-022-03446-z</w:t>
      </w:r>
    </w:p>
    <w:p>
      <w:pPr>
        <w:spacing w:line="360" w:lineRule="auto"/>
        <w:ind w:left="720" w:hanging="720"/>
        <w:jc w:val="both"/>
      </w:pPr>
      <w:r>
        <w:rPr>
          <w:rFonts w:ascii="Times New Roman" w:hAnsi="Times New Roman"/>
          <w:sz w:val="24"/>
        </w:rPr>
        <w:t>Pan, B., Hembrooke, H., Joachims, T., Lorigo, L., Gay, G., &amp; Granka, L. (2007). In Google we trust: Users’ decisions on rank, position, and relevance. Journal of Computer-Mediated Communication, 12(3), 801–823.</w:t>
      </w:r>
    </w:p>
    <w:p>
      <w:pPr>
        <w:spacing w:line="360" w:lineRule="auto"/>
        <w:ind w:left="720" w:hanging="720"/>
        <w:jc w:val="both"/>
      </w:pPr>
      <w:r>
        <w:rPr>
          <w:rFonts w:ascii="Times New Roman" w:hAnsi="Times New Roman"/>
          <w:sz w:val="24"/>
        </w:rPr>
        <w:t>Pew Research Center. (2021). Social media fact sheet. https://www.pewresearch.org/internet/fact-sheet/social-media/</w:t>
      </w:r>
    </w:p>
    <w:p>
      <w:pPr>
        <w:spacing w:line="360" w:lineRule="auto"/>
        <w:ind w:left="720" w:hanging="720"/>
        <w:jc w:val="both"/>
      </w:pPr>
      <w:r>
        <w:rPr>
          <w:rFonts w:ascii="Times New Roman" w:hAnsi="Times New Roman"/>
          <w:sz w:val="24"/>
        </w:rPr>
        <w:t>Pilgrim, K., &amp; Bohnet-Joschko, S. (2022). Selling health and happiness: How influencers communicate on Instagram about dieting and exercise. BMC Public Health, 19, 1054. https://doi.org/10.1186/s12889-019-7387-8</w:t>
      </w:r>
    </w:p>
    <w:p>
      <w:pPr>
        <w:spacing w:line="360" w:lineRule="auto"/>
        <w:ind w:left="720" w:hanging="720"/>
        <w:jc w:val="both"/>
      </w:pPr>
      <w:r>
        <w:rPr>
          <w:rFonts w:ascii="Times New Roman" w:hAnsi="Times New Roman"/>
          <w:sz w:val="24"/>
        </w:rPr>
        <w:t>Rosenstock, I. M. (1974). Historical origins of the Health Belief Model. Health Education Monographs, 2(4), 328–335. https://doi.org/10.1177/109019817400200403</w:t>
      </w:r>
    </w:p>
    <w:p>
      <w:pPr>
        <w:spacing w:line="360" w:lineRule="auto"/>
        <w:ind w:left="720" w:hanging="720"/>
        <w:jc w:val="both"/>
      </w:pPr>
      <w:r>
        <w:rPr>
          <w:rFonts w:ascii="Times New Roman" w:hAnsi="Times New Roman"/>
          <w:sz w:val="24"/>
        </w:rPr>
        <w:t>Sbaffi, L., &amp; Rowley, J. (2017). Trust and credibility in web-based health information: A review and agenda for future research. Journal of Medical Internet Research, 19(6), e218. https://doi.org/10.2196/jmir.7579</w:t>
      </w:r>
    </w:p>
    <w:p>
      <w:pPr>
        <w:spacing w:line="360" w:lineRule="auto"/>
        <w:ind w:left="720" w:hanging="720"/>
        <w:jc w:val="both"/>
      </w:pPr>
      <w:r>
        <w:rPr>
          <w:rFonts w:ascii="Times New Roman" w:hAnsi="Times New Roman"/>
          <w:sz w:val="24"/>
        </w:rPr>
        <w:t>Schober, P., Boer, C., &amp; Schwarte, L. A. (2018). Correlation coefficients: Appropriate use and interpretation. Anesthesia &amp; Analgesia, 126(5), 1763–1768. https://doi.org/10.1213/ANE.0000000000002864</w:t>
      </w:r>
    </w:p>
    <w:p>
      <w:pPr>
        <w:spacing w:line="360" w:lineRule="auto"/>
        <w:ind w:left="720" w:hanging="720"/>
        <w:jc w:val="both"/>
      </w:pPr>
      <w:r>
        <w:rPr>
          <w:rFonts w:ascii="Times New Roman" w:hAnsi="Times New Roman"/>
          <w:sz w:val="24"/>
        </w:rPr>
        <w:t>Silberg, W. M., Lundberg, G. D., &amp; Musacchio, R. A. (1997). Assessing, controlling, and assuring the quality of medical information on the internet: Caveant lector et viewor—Let the reader and viewer beware. JAMA, 277(15), 1244–1245. https://doi.org/10.1001/jama.1997.03540390074039</w:t>
      </w:r>
    </w:p>
    <w:p>
      <w:pPr>
        <w:spacing w:line="360" w:lineRule="auto"/>
        <w:ind w:left="720" w:hanging="720"/>
        <w:jc w:val="both"/>
      </w:pPr>
      <w:r>
        <w:rPr>
          <w:rFonts w:ascii="Times New Roman" w:hAnsi="Times New Roman"/>
          <w:sz w:val="24"/>
        </w:rPr>
        <w:t>Snelson, C. L. (2016). Qualitative and mixed methods social media research: A review of the literature. International Journal of Qualitative Methods, 15(1), 1–15. https://doi.org/10.1177/1609406915624574</w:t>
      </w:r>
    </w:p>
    <w:p>
      <w:pPr>
        <w:spacing w:line="360" w:lineRule="auto"/>
        <w:ind w:left="720" w:hanging="720"/>
        <w:jc w:val="both"/>
      </w:pPr>
      <w:r>
        <w:rPr>
          <w:rFonts w:ascii="Times New Roman" w:hAnsi="Times New Roman"/>
          <w:sz w:val="24"/>
        </w:rPr>
        <w:t>Suarez-Lledo, V., &amp; Alvarez-Galvez, J. (2021). Prevalence of health misinformation on social media: Systematic review. Journal of Medical Internet Research, 23(1), e17187. https://doi.org/10.2196/17187</w:t>
      </w:r>
    </w:p>
    <w:p>
      <w:pPr>
        <w:spacing w:line="360" w:lineRule="auto"/>
        <w:ind w:left="720" w:hanging="720"/>
        <w:jc w:val="both"/>
      </w:pPr>
      <w:r>
        <w:rPr>
          <w:rFonts w:ascii="Times New Roman" w:hAnsi="Times New Roman"/>
          <w:sz w:val="24"/>
        </w:rPr>
        <w:t>Sullivan, G. M., &amp; Artino, A. R. (2013). Analyzing and interpreting data from Likert-type scales. Journal of Graduate Medical Education, 5(4), 541–542. https://doi.org/10.4300/JGME-5-4-18</w:t>
      </w:r>
    </w:p>
    <w:p>
      <w:pPr>
        <w:spacing w:line="360" w:lineRule="auto"/>
        <w:ind w:left="720" w:hanging="720"/>
        <w:jc w:val="both"/>
      </w:pPr>
      <w:r>
        <w:rPr>
          <w:rFonts w:ascii="Times New Roman" w:hAnsi="Times New Roman"/>
          <w:sz w:val="24"/>
        </w:rPr>
        <w:t>Swire-Thompson, B., &amp; Lazer, D. (2020). Public health and online misinformation: Challenges and recommendations. Annual Review of Public Health, 41, 433–451. https://doi.org/10.1146/annurev-publhealth-040119-094127</w:t>
      </w:r>
    </w:p>
    <w:p>
      <w:pPr>
        <w:spacing w:line="360" w:lineRule="auto"/>
        <w:ind w:left="720" w:hanging="720"/>
        <w:jc w:val="both"/>
      </w:pPr>
      <w:r>
        <w:rPr>
          <w:rFonts w:ascii="Times New Roman" w:hAnsi="Times New Roman"/>
          <w:sz w:val="24"/>
        </w:rPr>
        <w:t>Tan, S. S.-L., &amp; Goonawardene, N. (2017). Internet health information seeking and the patient-physician relationship: A systematic review. Journal of Medical Internet Research, 19(1), e9. https://doi.org/10.2196/jmir.5729</w:t>
      </w:r>
    </w:p>
    <w:p>
      <w:pPr>
        <w:spacing w:line="360" w:lineRule="auto"/>
        <w:ind w:left="720" w:hanging="720"/>
        <w:jc w:val="both"/>
      </w:pPr>
      <w:r>
        <w:rPr>
          <w:rFonts w:ascii="Times New Roman" w:hAnsi="Times New Roman"/>
          <w:sz w:val="24"/>
        </w:rPr>
        <w:t>Terpilowski, M. A. (2019). scikit-posthocs: Pairwise multiple comparison tests in Python. Journal of Open Source Software, 4(36), 1169. https://doi.org/10.21105/joss.01169</w:t>
      </w:r>
    </w:p>
    <w:p>
      <w:pPr>
        <w:spacing w:line="360" w:lineRule="auto"/>
        <w:ind w:left="720" w:hanging="720"/>
        <w:jc w:val="both"/>
      </w:pPr>
      <w:r>
        <w:rPr>
          <w:rFonts w:ascii="Times New Roman" w:hAnsi="Times New Roman"/>
          <w:sz w:val="24"/>
        </w:rPr>
        <w:t>Tomczak, M., &amp; Tomczak, E. (2014). The need to report effect size estimates revisited: An overview of some recommended measures of effect size. Trends in Sport Sciences, 21(1), 19–25.</w:t>
      </w:r>
    </w:p>
    <w:p>
      <w:pPr>
        <w:spacing w:line="360" w:lineRule="auto"/>
        <w:ind w:left="720" w:hanging="720"/>
        <w:jc w:val="both"/>
      </w:pPr>
      <w:r>
        <w:rPr>
          <w:rFonts w:ascii="Times New Roman" w:hAnsi="Times New Roman"/>
          <w:sz w:val="24"/>
        </w:rPr>
        <w:t>Tripodi, F. (2018). Searching for alternative facts: Analyzing scriptural inference in conservative news practices. Data &amp; Society Research Institute.</w:t>
      </w:r>
    </w:p>
    <w:p>
      <w:pPr>
        <w:spacing w:line="360" w:lineRule="auto"/>
        <w:ind w:left="720" w:hanging="720"/>
        <w:jc w:val="both"/>
      </w:pPr>
      <w:r>
        <w:rPr>
          <w:rFonts w:ascii="Times New Roman" w:hAnsi="Times New Roman"/>
          <w:sz w:val="24"/>
        </w:rPr>
        <w:t>Vallat, R. (2018). Pingouin: Statistics in Python. Journal of Open Source Software, 3(31), 1026. https://doi.org/10.21105/joss.01026</w:t>
      </w:r>
    </w:p>
    <w:p>
      <w:pPr>
        <w:spacing w:line="360" w:lineRule="auto"/>
        <w:ind w:left="720" w:hanging="720"/>
        <w:jc w:val="both"/>
      </w:pPr>
      <w:r>
        <w:rPr>
          <w:rFonts w:ascii="Times New Roman" w:hAnsi="Times New Roman"/>
          <w:sz w:val="24"/>
        </w:rPr>
        <w:t>Virtanen, P., Gommers, R., Oliphant, T. E., Haberland, M., Reddy, T., Cournapeau, D., Burovski, E., Peterson, P., Weckesser, W., Bright, J., van der Walt, S. J., Brett, M., Wilson, J., Millman, K. J., Mayorov, N., Nelson, A. R. J., Jones, E., Kern, R., Larson, E., … SciPy 1.0 Contributors. (2020). SciPy 1.0: Fundamental algorithms for scientific computing in Python. Nature Methods, 17(3), 261–272. https://doi.org/10.1038/s41592-019-0686-2</w:t>
      </w:r>
    </w:p>
    <w:p>
      <w:pPr>
        <w:spacing w:line="360" w:lineRule="auto"/>
        <w:ind w:left="720" w:hanging="720"/>
        <w:jc w:val="both"/>
      </w:pPr>
      <w:r>
        <w:rPr>
          <w:rFonts w:ascii="Times New Roman" w:hAnsi="Times New Roman"/>
          <w:sz w:val="24"/>
        </w:rPr>
        <w:t>Wang, R. Y., &amp; Strong, D. M. (1996). Beyond accuracy: What data quality means to data consumers. Journal of Management Information Systems, 12(4), 5–33. https://doi.org/10.1080/07421222.1996.11518099</w:t>
      </w:r>
    </w:p>
    <w:p>
      <w:pPr>
        <w:spacing w:line="360" w:lineRule="auto"/>
        <w:ind w:left="720" w:hanging="720"/>
        <w:jc w:val="both"/>
      </w:pPr>
      <w:r>
        <w:rPr>
          <w:rFonts w:ascii="Times New Roman" w:hAnsi="Times New Roman"/>
          <w:sz w:val="24"/>
        </w:rPr>
        <w:t>World Health Organization. (2018). Global action plan on physical activity 2018–2030: More active people for a healthier world. World Health Organization. https://www.who.int/publications/i/item/9789241514187</w:t>
      </w:r>
    </w:p>
    <w:p>
      <w:pPr>
        <w:spacing w:line="360" w:lineRule="auto"/>
        <w:ind w:left="720" w:hanging="720"/>
        <w:jc w:val="both"/>
      </w:pPr>
      <w:r>
        <w:rPr>
          <w:rFonts w:ascii="Times New Roman" w:hAnsi="Times New Roman"/>
          <w:sz w:val="24"/>
        </w:rPr>
        <w:t>World Health Organization. (2020). WHO guidelines on physical activity and sedentary behaviour. World Health Organization. https://www.who.int/publications/i/item/9789240015128</w:t>
      </w:r>
    </w:p>
    <w:p>
      <w:pPr>
        <w:spacing w:line="360" w:lineRule="auto"/>
        <w:ind w:left="720" w:hanging="720"/>
        <w:jc w:val="both"/>
      </w:pPr>
      <w:r>
        <w:rPr>
          <w:rFonts w:ascii="Times New Roman" w:hAnsi="Times New Roman"/>
          <w:sz w:val="24"/>
        </w:rPr>
        <w:t>World Health Organization. (2023). Health promotion glossary of terms 2021. World Health Organization. https://www.who.int/publications/i/item/9789240038349</w:t>
      </w:r>
    </w:p>
    <w:p>
      <w:pPr>
        <w:spacing w:line="360" w:lineRule="auto"/>
        <w:ind w:left="720" w:hanging="720"/>
        <w:jc w:val="both"/>
      </w:pPr>
      <w:r>
        <w:rPr>
          <w:rFonts w:ascii="Times New Roman" w:hAnsi="Times New Roman"/>
          <w:sz w:val="24"/>
        </w:rPr>
        <w:t>Yurdaisik, I. (2022). Analysis of the reliability and quality of YouTube videos on rotator cuff tears. Cureus, 14(6), e26180.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