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color w:val="000000"/>
          <w:sz w:val="28"/>
        </w:rPr>
        <w:t>APPENDIX E: DRAFT SCIENTIFIC ARTICLE PREPARED FOR JOURNAL SUBMISSION</w:t>
      </w:r>
    </w:p>
    <w:p>
      <w:pPr>
        <w:spacing w:line="360" w:lineRule="auto"/>
        <w:jc w:val="both"/>
      </w:pPr>
      <w:r>
        <w:rPr>
          <w:rFonts w:ascii="Times New Roman" w:hAnsi="Times New Roman"/>
          <w:b w:val="0"/>
          <w:i/>
          <w:color w:val="000000"/>
          <w:sz w:val="24"/>
        </w:rPr>
        <w:t>Target journal format: JMIR Public Health and Surveillance (manuscript-style draft).</w:t>
      </w:r>
    </w:p>
    <w:p>
      <w:pPr>
        <w:spacing w:line="360" w:lineRule="auto"/>
        <w:jc w:val="center"/>
      </w:pPr>
      <w:r>
        <w:rPr>
          <w:rFonts w:ascii="Times New Roman" w:hAnsi="Times New Roman"/>
          <w:b/>
          <w:i w:val="0"/>
          <w:color w:val="000000"/>
          <w:sz w:val="24"/>
        </w:rPr>
        <w:t>Quality of Physical Activity Information on Traditional Websites Versus Social Media Platforms: A Cross-Sectional Content Analysis Using DISCERN and JAMA Benchmarks</w:t>
      </w:r>
    </w:p>
    <w:p>
      <w:pPr>
        <w:spacing w:line="360" w:lineRule="auto"/>
        <w:jc w:val="center"/>
      </w:pPr>
      <w:r>
        <w:rPr>
          <w:rFonts w:ascii="Times New Roman" w:hAnsi="Times New Roman"/>
          <w:b w:val="0"/>
          <w:i w:val="0"/>
          <w:color w:val="000000"/>
          <w:sz w:val="24"/>
        </w:rPr>
        <w:t>Ayokunle Ademola-John</w:t>
      </w:r>
    </w:p>
    <w:p>
      <w:pPr>
        <w:spacing w:line="360" w:lineRule="auto"/>
        <w:jc w:val="center"/>
      </w:pPr>
      <w:r>
        <w:rPr>
          <w:rFonts w:ascii="Times New Roman" w:hAnsi="Times New Roman"/>
          <w:b w:val="0"/>
          <w:i w:val="0"/>
          <w:color w:val="000000"/>
          <w:sz w:val="24"/>
        </w:rPr>
        <w:t>Lithuanian Sports University, Kaunas, Lithuania</w:t>
      </w:r>
    </w:p>
    <w:p>
      <w:pPr>
        <w:spacing w:line="360" w:lineRule="auto"/>
        <w:jc w:val="left"/>
      </w:pPr>
      <w:r>
        <w:rPr>
          <w:rFonts w:ascii="Times New Roman" w:hAnsi="Times New Roman"/>
          <w:b/>
          <w:color w:val="000000"/>
          <w:sz w:val="24"/>
        </w:rPr>
        <w:t>Abstract</w:t>
      </w:r>
    </w:p>
    <w:p>
      <w:pPr>
        <w:spacing w:line="360" w:lineRule="auto"/>
        <w:ind w:firstLine="709"/>
        <w:jc w:val="both"/>
      </w:pPr>
      <w:r>
        <w:rPr>
          <w:rFonts w:ascii="Times New Roman" w:hAnsi="Times New Roman"/>
          <w:b w:val="0"/>
          <w:i w:val="0"/>
          <w:color w:val="000000"/>
          <w:sz w:val="24"/>
        </w:rPr>
        <w:t>Background: Online physical activity information is increasingly consumed through both traditional websites and social media platforms, yet direct cross-platform comparisons remain limited. Objective: To compare the quality of physical activity information on traditional websites, YouTube, TikTok, and Instagram using DISCERN and JAMA benchmarks. Methods: A cross-sectional content analysis was conducted on 197 publicly accessible English-language items retrieved with five standardized search terms. Quality was assessed with the 16-item DISCERN instrument and four JAMA accountability criteria. Inter-rater reliability was evaluated on 40 items. Results: Quality differed significantly across platforms, with websites performing best, followed by YouTube, TikTok, and Instagram. JAMA compliance was low across all platforms. Creator type was associated with quality, and YouTube views and likes showed negative correlations with DISCERN scores. Conclusions: Traditional websites remain the most reliable source of physical activity information, whereas short-form social media content demonstrates weaker quality and transparency.</w:t>
      </w:r>
    </w:p>
    <w:p>
      <w:pPr>
        <w:spacing w:line="360" w:lineRule="auto"/>
        <w:jc w:val="both"/>
      </w:pPr>
      <w:r>
        <w:rPr>
          <w:rFonts w:ascii="Times New Roman" w:hAnsi="Times New Roman"/>
          <w:b w:val="0"/>
          <w:i/>
          <w:color w:val="000000"/>
          <w:sz w:val="24"/>
        </w:rPr>
        <w:t>Keywords: physical activity; information quality; social media; DISCERN; JAMA</w:t>
      </w:r>
    </w:p>
    <w:p>
      <w:pPr>
        <w:spacing w:line="360" w:lineRule="auto"/>
        <w:jc w:val="left"/>
      </w:pPr>
      <w:r>
        <w:rPr>
          <w:rFonts w:ascii="Times New Roman" w:hAnsi="Times New Roman"/>
          <w:b/>
          <w:color w:val="000000"/>
          <w:sz w:val="24"/>
        </w:rPr>
        <w:t>Introduction</w:t>
      </w:r>
    </w:p>
    <w:p>
      <w:pPr>
        <w:spacing w:line="360" w:lineRule="auto"/>
        <w:ind w:firstLine="709"/>
        <w:jc w:val="both"/>
      </w:pPr>
      <w:r>
        <w:rPr>
          <w:rFonts w:ascii="Times New Roman" w:hAnsi="Times New Roman"/>
          <w:b w:val="0"/>
          <w:i w:val="0"/>
          <w:color w:val="000000"/>
          <w:sz w:val="24"/>
        </w:rPr>
        <w:t>The public now accesses physical activity guidance through a fragmented digital ecosystem in which institutional websites compete with user-generated and algorithmically promoted social media content. Although this improves reach, it also raises concerns about the credibility, transparency, and safety of the information users encounter. Prior studies have often examined one platform at a time, making it difficult to compare the quality of information across major online environments. This study addressed that gap by evaluating four platform types under a common protocol.</w:t>
      </w:r>
    </w:p>
    <w:p>
      <w:pPr>
        <w:spacing w:line="360" w:lineRule="auto"/>
        <w:jc w:val="left"/>
      </w:pPr>
      <w:r>
        <w:rPr>
          <w:rFonts w:ascii="Times New Roman" w:hAnsi="Times New Roman"/>
          <w:b/>
          <w:color w:val="000000"/>
          <w:sz w:val="24"/>
        </w:rPr>
        <w:t>Methods</w:t>
      </w:r>
    </w:p>
    <w:p>
      <w:pPr>
        <w:spacing w:line="360" w:lineRule="auto"/>
        <w:ind w:firstLine="709"/>
        <w:jc w:val="both"/>
      </w:pPr>
      <w:r>
        <w:rPr>
          <w:rFonts w:ascii="Times New Roman" w:hAnsi="Times New Roman"/>
          <w:b w:val="0"/>
          <w:i w:val="0"/>
          <w:color w:val="000000"/>
          <w:sz w:val="24"/>
        </w:rPr>
        <w:t>A cross-sectional content analysis was performed using five standardized search terms: how to start exercising, best exercises to lose weight, strength training for beginners, physical activity guidelines, and home workout routine. The final audited sample comprised 197 items: 50 traditional websites, 50 YouTube videos, 47 TikTok posts, and 50 Instagram posts. Information quality was rated with the DISCERN instrument and the four JAMA criteria of authorship, attribution, disclosure, and currency. A second rater independently scored 40 items to assess reliability. Non-parametric tests were used because the main outcome measures were ordinal and non-normally distributed.</w:t>
      </w:r>
    </w:p>
    <w:p>
      <w:pPr>
        <w:spacing w:line="360" w:lineRule="auto"/>
        <w:jc w:val="left"/>
      </w:pPr>
      <w:r>
        <w:rPr>
          <w:rFonts w:ascii="Times New Roman" w:hAnsi="Times New Roman"/>
          <w:b/>
          <w:color w:val="000000"/>
          <w:sz w:val="24"/>
        </w:rPr>
        <w:t>Results</w:t>
      </w:r>
    </w:p>
    <w:p>
      <w:pPr>
        <w:spacing w:line="360" w:lineRule="auto"/>
        <w:ind w:firstLine="709"/>
        <w:jc w:val="both"/>
      </w:pPr>
      <w:r>
        <w:rPr>
          <w:rFonts w:ascii="Times New Roman" w:hAnsi="Times New Roman"/>
          <w:b w:val="0"/>
          <w:i w:val="0"/>
          <w:color w:val="000000"/>
          <w:sz w:val="24"/>
        </w:rPr>
        <w:t>A clear quality gradient emerged across platforms. Traditional websites achieved the highest DISCERN scores, followed by YouTube, TikTok, and Instagram. JAMA compliance was modest overall, with currency being the most frequently satisfied criterion and attribution and disclosure the weakest. Creator type was associated with quality, with healthcare professionals and certified fitness professionals outperforming general users. Engagement metrics did not consistently signal higher quality. On YouTube, higher views and likes were associated with lower DISCERN scores.</w:t>
      </w:r>
    </w:p>
    <w:p>
      <w:pPr>
        <w:spacing w:line="360" w:lineRule="auto"/>
        <w:jc w:val="left"/>
      </w:pPr>
      <w:r>
        <w:rPr>
          <w:rFonts w:ascii="Times New Roman" w:hAnsi="Times New Roman"/>
          <w:b/>
          <w:color w:val="000000"/>
          <w:sz w:val="24"/>
        </w:rPr>
        <w:t>Discussion</w:t>
      </w:r>
    </w:p>
    <w:p>
      <w:pPr>
        <w:spacing w:line="360" w:lineRule="auto"/>
        <w:ind w:firstLine="709"/>
        <w:jc w:val="both"/>
      </w:pPr>
      <w:r>
        <w:rPr>
          <w:rFonts w:ascii="Times New Roman" w:hAnsi="Times New Roman"/>
          <w:b w:val="0"/>
          <w:i w:val="0"/>
          <w:color w:val="000000"/>
          <w:sz w:val="24"/>
        </w:rPr>
        <w:t>The findings suggest that platform architecture matters for information quality. Traditional websites retain structural advantages, including greater space for context, attribution, and update history. Short-form social media, by contrast, appears more vulnerable to brevity, limited source disclosure, and engagement-driven ranking. The significant negative within-platform correlations observed on YouTube indicate that popularity should not be treated as a proxy for quality. These results support the need for stronger digital health literacy and platform-level quality safeguards.</w:t>
      </w:r>
    </w:p>
    <w:p>
      <w:pPr>
        <w:spacing w:line="360" w:lineRule="auto"/>
        <w:jc w:val="left"/>
      </w:pPr>
      <w:r>
        <w:rPr>
          <w:rFonts w:ascii="Times New Roman" w:hAnsi="Times New Roman"/>
          <w:b/>
          <w:color w:val="000000"/>
          <w:sz w:val="24"/>
        </w:rPr>
        <w:t>Conclusions</w:t>
      </w:r>
    </w:p>
    <w:p>
      <w:pPr>
        <w:spacing w:line="360" w:lineRule="auto"/>
        <w:ind w:firstLine="709"/>
        <w:jc w:val="both"/>
      </w:pPr>
      <w:r>
        <w:rPr>
          <w:rFonts w:ascii="Times New Roman" w:hAnsi="Times New Roman"/>
          <w:b w:val="0"/>
          <w:i w:val="0"/>
          <w:color w:val="000000"/>
          <w:sz w:val="24"/>
        </w:rPr>
        <w:t>Physical activity information quality differs substantially across digital platforms. Traditional websites remain the most reliable source, whereas short-form social media content is more likely to lack transparency and to provide lower-quality information. Professionals produce stronger content on average, but platform effects remain important. Future interventions should focus on content quality standards, source transparency, and platform-aware health communication strategies.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