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/>
          <w:color w:val="000000"/>
          <w:sz w:val="28"/>
        </w:rPr>
        <w:t>CONCLUSIONS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/>
          <w:b/>
          <w:sz w:val="24"/>
        </w:rPr>
        <w:t xml:space="preserve">1. </w:t>
      </w:r>
      <w:r>
        <w:rPr>
          <w:rFonts w:ascii="Times New Roman" w:hAnsi="Times New Roman"/>
          <w:sz w:val="24"/>
        </w:rPr>
        <w:t>The quality of physical activity information differed significantly across platform types. Traditional websites provided the highest-quality information, followed by YouTube, TikTok, and Instagram.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/>
          <w:b/>
          <w:sz w:val="24"/>
        </w:rPr>
        <w:t xml:space="preserve">2. </w:t>
      </w:r>
      <w:r>
        <w:rPr>
          <w:rFonts w:ascii="Times New Roman" w:hAnsi="Times New Roman"/>
          <w:sz w:val="24"/>
        </w:rPr>
        <w:t>Transparency and accountability were limited across all platforms. JAMA benchmark compliance was generally low, indicating frequent omission of authorship, attribution, disclosure, and currency information.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/>
          <w:b/>
          <w:sz w:val="24"/>
        </w:rPr>
        <w:t xml:space="preserve">3. </w:t>
      </w:r>
      <w:r>
        <w:rPr>
          <w:rFonts w:ascii="Times New Roman" w:hAnsi="Times New Roman"/>
          <w:sz w:val="24"/>
        </w:rPr>
        <w:t>Creator type was associated with information quality. Content produced by healthcare professionals and certified fitness professionals scored higher than content produced by general users and many influencer-led accounts.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/>
          <w:b/>
          <w:sz w:val="24"/>
        </w:rPr>
        <w:t xml:space="preserve">4. </w:t>
      </w:r>
      <w:r>
        <w:rPr>
          <w:rFonts w:ascii="Times New Roman" w:hAnsi="Times New Roman"/>
          <w:sz w:val="24"/>
        </w:rPr>
        <w:t>Engagement indicators did not function as reliable markers of quality. Within YouTube, higher view counts and like counts were associated with lower DISCERN scores.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/>
          <w:b/>
          <w:sz w:val="24"/>
        </w:rPr>
        <w:t xml:space="preserve">5. </w:t>
      </w:r>
      <w:r>
        <w:rPr>
          <w:rFonts w:ascii="Times New Roman" w:hAnsi="Times New Roman"/>
          <w:sz w:val="24"/>
        </w:rPr>
        <w:t>The findings support the need for stronger evidence-based communication on social media and for more explicit quality safeguards in digital physical activity information environments.</w:t>
      </w:r>
    </w:p>
    <w:p>
      <w:pPr>
        <w:pStyle w:val="Heading1"/>
        <w:jc w:val="center"/>
      </w:pPr>
      <w:r>
        <w:rPr>
          <w:rFonts w:ascii="Times New Roman" w:hAnsi="Times New Roman"/>
          <w:color w:val="000000"/>
          <w:sz w:val="28"/>
        </w:rPr>
        <w:t>RECOMMENDATIONS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/>
          <w:b/>
          <w:sz w:val="24"/>
        </w:rPr>
        <w:t xml:space="preserve">1. </w:t>
      </w:r>
      <w:r>
        <w:rPr>
          <w:rFonts w:ascii="Times New Roman" w:hAnsi="Times New Roman"/>
          <w:sz w:val="24"/>
        </w:rPr>
        <w:t>Public health institutions should continue to direct users to evidence-based websites as the primary reference point for physical activity guidance.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/>
          <w:b/>
          <w:sz w:val="24"/>
        </w:rPr>
        <w:t xml:space="preserve">2. </w:t>
      </w:r>
      <w:r>
        <w:rPr>
          <w:rFonts w:ascii="Times New Roman" w:hAnsi="Times New Roman"/>
          <w:sz w:val="24"/>
        </w:rPr>
        <w:t>Healthcare professionals and certified fitness professionals should strengthen their presence on short-form social media and consistently provide credentials, sources, risk information, and disclosure statements.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/>
          <w:b/>
          <w:sz w:val="24"/>
        </w:rPr>
        <w:t xml:space="preserve">3. </w:t>
      </w:r>
      <w:r>
        <w:rPr>
          <w:rFonts w:ascii="Times New Roman" w:hAnsi="Times New Roman"/>
          <w:sz w:val="24"/>
        </w:rPr>
        <w:t>Platform providers should introduce structured credibility signals for health content, including visible source-citation and sponsorship-disclosure fields.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/>
          <w:b/>
          <w:sz w:val="24"/>
        </w:rPr>
        <w:t xml:space="preserve">4. </w:t>
      </w:r>
      <w:r>
        <w:rPr>
          <w:rFonts w:ascii="Times New Roman" w:hAnsi="Times New Roman"/>
          <w:sz w:val="24"/>
        </w:rPr>
        <w:t>Health literacy education should explicitly teach users that views, likes, and other engagement metrics do not guarantee information quality.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/>
          <w:b/>
          <w:sz w:val="24"/>
        </w:rPr>
        <w:t xml:space="preserve">5. </w:t>
      </w:r>
      <w:r>
        <w:rPr>
          <w:rFonts w:ascii="Times New Roman" w:hAnsi="Times New Roman"/>
          <w:sz w:val="24"/>
        </w:rPr>
        <w:t>Future institutional and platform initiatives should prioritize validation of quality assessment tools designed specifically for multimedia and short-form health content.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