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8"/>
        </w:rPr>
        <w:t>INTRODUCTION</w:t>
      </w:r>
    </w:p>
    <w:p>
      <w:pPr>
        <w:spacing w:line="360" w:lineRule="auto"/>
        <w:ind w:firstLine="709"/>
        <w:jc w:val="both"/>
      </w:pPr>
      <w:r>
        <w:rPr>
          <w:rFonts w:ascii="Times New Roman" w:hAnsi="Times New Roman"/>
          <w:b w:val="0"/>
          <w:i w:val="0"/>
          <w:color w:val="000000"/>
          <w:sz w:val="24"/>
        </w:rP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pPr>
        <w:spacing w:line="360" w:lineRule="auto"/>
        <w:ind w:firstLine="709"/>
        <w:jc w:val="both"/>
      </w:pPr>
      <w:r>
        <w:rPr>
          <w:rFonts w:ascii="Times New Roman" w:hAnsi="Times New Roman"/>
          <w:b w:val="0"/>
          <w:i w:val="0"/>
          <w:color w:val="000000"/>
          <w:sz w:val="24"/>
        </w:rP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 information delivered to ordinary users.</w:t>
      </w:r>
    </w:p>
    <w:p>
      <w:pPr>
        <w:spacing w:line="360" w:lineRule="auto"/>
        <w:ind w:firstLine="709"/>
        <w:jc w:val="both"/>
      </w:pPr>
      <w:r>
        <w:rPr>
          <w:rFonts w:ascii="Times New Roman" w:hAnsi="Times New Roman"/>
          <w:b w:val="0"/>
          <w:i w:val="0"/>
          <w:color w:val="000000"/>
          <w:sz w:val="24"/>
        </w:rPr>
        <w:t>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media content, whereas engagement metrics would not reliably signal information quality.</w:t>
      </w:r>
    </w:p>
    <w:p>
      <w:pPr>
        <w:spacing w:line="360" w:lineRule="auto"/>
        <w:ind w:firstLine="709"/>
        <w:jc w:val="both"/>
      </w:pPr>
      <w:r>
        <w:rPr>
          <w:rFonts w:ascii="Times New Roman" w:hAnsi="Times New Roman"/>
          <w:b w:val="0"/>
          <w:i w:val="0"/>
          <w:color w:val="000000"/>
          <w:sz w:val="24"/>
        </w:rP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limitations, and implications. The final unnumbered sections present the conclusions, recommendations, references, and annexes.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