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4. CONSIDERATIONS</w:t>
      </w:r>
    </w:p>
    <w:p>
      <w:pPr>
        <w:pStyle w:val="Heading2"/>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approximation (0.469). All six pairwise comparisons were statistically significant, although the Website versus YouTube contrast yielded a notably smaller effect (p = .038, r_rb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both views and likes showed significant negative correlations with quality; the overall positive correlation between likes and quality across social-media items was identified as primarily a Simpson's paradox artefact of between-social-platform differences.</w:t>
      </w:r>
    </w:p>
    <w:p>
      <w:pPr>
        <w:pStyle w:val="Heading2"/>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percentage-standardised DISCERN score of 43.58% (95% CI [37.80%, 49.35%]) across studies evaluating cancer-related information on new media (Liu et al., 2025). Direct numerical comparison with the present study's raw DISCERN totals (scored out of 80) is not appropriate because the meta-analysis synthesised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more recent review evidence showing that longer-form health videos tend to permit greater informational completeness than short-form social-media content (Osman et al., 2022; Rodriguez-Rodriguez et al., 2022).</w:t>
      </w:r>
    </w:p>
    <w:p>
      <w:pPr>
        <w:spacing w:line="360" w:lineRule="auto" w:after="120" w:before="0"/>
        <w:jc w:val="both"/>
      </w:pPr>
      <w:r>
        <w:rPr>
          <w:rFonts w:ascii="Times New Roman" w:hAnsi="Times New Roman" w:cs="Times New Roman"/>
          <w:b w:val="0"/>
          <w:i w:val="0"/>
          <w:color w:val="000000"/>
          <w:sz w:val="24"/>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pStyle w:val="Heading2"/>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platform’s recommendation system may actively promote lower-quality physical activity content. This is a concerning finding that warrants dedicated algorithmic audit research, though the cross-sectional design cannot establish causality.</w:t>
      </w:r>
    </w:p>
    <w:p>
      <w:pPr>
        <w:spacing w:line="360" w:lineRule="auto" w:after="120" w:before="0"/>
        <w:jc w:val="both"/>
      </w:pPr>
      <w:r>
        <w:rPr>
          <w:rFonts w:ascii="Times New Roman" w:hAnsi="Times New Roman" w:cs="Times New Roman"/>
          <w:b w:val="0"/>
          <w:i w:val="0"/>
          <w:color w:val="000000"/>
          <w:sz w:val="24"/>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binary result, while significant, is somewhat diluted by grouping organisations (n = 84)—which include high-quality institutional sources such as NHS and WHO—into the non-professional category.</w:t>
      </w:r>
    </w:p>
    <w:p>
      <w:pPr>
        <w:pStyle w:val="Heading2"/>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pStyle w:val="Heading2"/>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text-based and audiovisual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pPr>
        <w:pStyle w:val="Heading2"/>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more fine-grained coding of audio-visual content to extend the point-of-access scoring approach used here and determine whether subtle spoken or visual cues alter quality ratings.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