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4. CONSIDERATIONS</w:t>
      </w:r>
    </w:p>
    <w:p>
      <w:pPr>
        <w:pStyle w:val="Heading2"/>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approximation (0.469). All six pairwise comparisons were statistically significant, although the Website versus YouTube contrast yielded a notably smaller effect (p = .038, r_rb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both views and likes showed significant negative correlations with quality; the overall positive correlation between likes and quality across social-media items was identified as primarily a Simpson's paradox artefact of between-social-platform differences.</w:t>
      </w:r>
    </w:p>
    <w:p>
      <w:pPr>
        <w:pStyle w:val="Heading2"/>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percentage-standardised DISCERN score of 43.58% (95% CI [37.80%, 49.35%]) across studies evaluating cancer-related information on new media (Liu et al., 2025). Direct numerical comparison with the present study's raw DISCERN totals (scored out of 80) is not appropriate because the meta-analysis synthesised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pStyle w:val="Heading2"/>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platform’s recommendation system may actively promote lower-quality physical activity content. This is a concerning finding that warrants dedicated algorithmic audit research, though the cross-sectional design cannot establish causality.</w:t>
      </w:r>
    </w:p>
    <w:p>
      <w:pPr>
        <w:spacing w:line="360" w:lineRule="auto" w:after="120" w:before="0"/>
        <w:jc w:val="both"/>
      </w:pPr>
      <w:r>
        <w:rPr>
          <w:rFonts w:ascii="Times New Roman" w:hAnsi="Times New Roman" w:cs="Times New Roman"/>
          <w:b w:val="0"/>
          <w:i w:val="0"/>
          <w:color w:val="000000"/>
          <w:sz w:val="24"/>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binary result, while significant, is somewhat diluted by grouping organisations (n = 84)—which include high-quality institutional sources such as NHS and WHO—into the non-professional category.</w:t>
      </w:r>
    </w:p>
    <w:p>
      <w:pPr>
        <w:pStyle w:val="Heading2"/>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pStyle w:val="Heading2"/>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text-based and audiovisual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pPr>
        <w:pStyle w:val="Heading2"/>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more fine-grained coding of audio-visual content to extend the point-of-access scoring approach used here and determine whether subtle spoken or visual cues alter quality ratings.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