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240" w:before="0"/>
        <w:jc w:val="both"/>
      </w:pPr>
      <w:r>
        <w:rPr>
          <w:rFonts w:ascii="Times New Roman" w:hAnsi="Times New Roman" w:cs="Times New Roman"/>
          <w:b/>
          <w:i w:val="0"/>
          <w:color w:val="000000"/>
          <w:sz w:val="28"/>
        </w:rPr>
        <w:t>CONCLUSIONS</w:t>
      </w:r>
    </w:p>
    <w:p>
      <w:pPr>
        <w:spacing w:line="360" w:lineRule="auto" w:after="120" w:before="0"/>
        <w:jc w:val="both"/>
      </w:pPr>
      <w:r>
        <w:rPr>
          <w:rFonts w:ascii="Times New Roman" w:hAnsi="Times New Roman" w:cs="Times New Roman"/>
          <w:b w:val="0"/>
          <w:i w:val="0"/>
          <w:color w:val="000000"/>
          <w:sz w:val="24"/>
        </w:rPr>
        <w:t>This study set out to evaluate the quality of physical activity information across traditional websites and social media platforms using the DISCERN instrument and JAMA benchmarks. Three research questions guided the investigation. The conclusions for each are presented below.</w:t>
      </w:r>
    </w:p>
    <w:p>
      <w:pPr>
        <w:spacing w:line="360" w:lineRule="auto" w:after="120" w:before="0"/>
        <w:jc w:val="both"/>
      </w:pPr>
      <w:r>
        <w:rPr>
          <w:rFonts w:ascii="Times New Roman" w:hAnsi="Times New Roman" w:cs="Times New Roman"/>
          <w:b w:val="0"/>
          <w:i w:val="0"/>
          <w:color w:val="000000"/>
          <w:sz w:val="24"/>
        </w:rPr>
        <w:t>Research Question 1: How does physical activity information quality differ between traditional websites and social media platforms? The results demonstrate a clear, statistically significant quality gradient across platforms, H(3) = 93.489, p &lt; .001. Traditional websites achieved the highest median DISCERN score (Mdn = 48.5), followed by YouTube (Mdn = 42.0), TikTok (Mdn = 35.0), and Instagram (Mdn = 27.5). All six pairwise comparisons were statistically significant, though the website–YouTube difference was more modest (p = .038) than the remaining five comparisons (all p &lt; .001). JAMA benchmark compliance did not differ significantly across platforms in aggregate (p = .163), although individual criteria showed significant platform variation for Attribution, Disclosure, and Currency. It can be concluded that a substantial quality gap exists between traditional websites and short-form social media platforms, with Instagram representing the most concerning source of physical activity information.</w:t>
      </w:r>
    </w:p>
    <w:p>
      <w:pPr>
        <w:spacing w:line="360" w:lineRule="auto" w:after="120" w:before="0"/>
        <w:jc w:val="both"/>
      </w:pPr>
      <w:r>
        <w:rPr>
          <w:rFonts w:ascii="Times New Roman" w:hAnsi="Times New Roman" w:cs="Times New Roman"/>
          <w:b w:val="0"/>
          <w:i w:val="0"/>
          <w:color w:val="000000"/>
          <w:sz w:val="24"/>
        </w:rPr>
        <w:t>Research Question 2: Does creator type moderate quality scores? The binary professional versus non-professional comparison was statistically significant (U = 4457, p = .036, r_rb = −0.197), and the five-category creator type analysis confirmed this (H[4] = 12.764, p = .012). Healthcare professionals scored highest (Mdn = 45.0), followed by certified fitness professionals (Mdn = 39.5), organisations (Mdn = 39.0), fitness influencers (Mdn = 36.0), and general users lowest (Mdn = 33.0). It can be concluded that creator type influences information quality in a graded fashion, with credentialed professionals producing measurably higher-quality content.</w:t>
      </w:r>
    </w:p>
    <w:p>
      <w:pPr>
        <w:spacing w:line="360" w:lineRule="auto" w:after="120" w:before="0"/>
        <w:jc w:val="both"/>
      </w:pPr>
      <w:r>
        <w:rPr>
          <w:rFonts w:ascii="Times New Roman" w:hAnsi="Times New Roman" w:cs="Times New Roman"/>
          <w:b w:val="0"/>
          <w:i w:val="0"/>
          <w:color w:val="000000"/>
          <w:sz w:val="24"/>
        </w:rPr>
        <w:t>Research Question 3: What is the relationship between engagement metrics and information quality? Overall correlations suggested weak-to-moderate positive associations between likes (rho = 0.284, p &lt; .001), comments (rho = 0.371, p &lt; .001), and DISCERN scores; however, these aggregate associations are primarily an ecological artefact of between-social-platform differences (Simpson's paradox). Within-platform analyses revealed that TikTok and Instagram showed no significant likes–quality correlations. Critically, YouTube demonstrated significant negative correlations for both views (rho = -0.340, p = .016) and likes (rho = -0.286, p = .044) with quality, indicating that more popular YouTube content tended to score lower on DISCERN. Views showed a negligible overall correlation (rho = -0.044, p = .669). It can be concluded that engagement metrics do not appear to reliably indicate information quality and that popular content is not necessarily accurate content.</w:t>
      </w:r>
    </w:p>
    <w:p>
      <w:pPr>
        <w:spacing w:line="360" w:lineRule="auto" w:after="120" w:before="0"/>
        <w:jc w:val="both"/>
      </w:pPr>
      <w:r>
        <w:rPr>
          <w:rFonts w:ascii="Times New Roman" w:hAnsi="Times New Roman" w:cs="Times New Roman"/>
          <w:b w:val="0"/>
          <w:i w:val="0"/>
          <w:color w:val="000000"/>
          <w:sz w:val="24"/>
        </w:rPr>
        <w:t>Additionally, search query phrasing significantly influenced the quality of content retrieved (H[4] = 27.255, p &lt; .001), with ‘how to start exercising’ yielding the highest-scoring content and ‘home workout routine’ the lowest. This suggests that the wording of health information queries functions as an implicit quality filter, a finding with practical implications for how clinicians advise patients on information seeking.</w:t>
      </w:r>
    </w:p>
    <w:p>
      <w:pPr>
        <w:pStyle w:val="Heading1"/>
        <w:spacing w:line="360" w:lineRule="auto" w:after="240" w:before="0"/>
        <w:jc w:val="both"/>
      </w:pPr>
      <w:r>
        <w:rPr>
          <w:rFonts w:ascii="Times New Roman" w:hAnsi="Times New Roman" w:cs="Times New Roman"/>
          <w:b/>
          <w:i w:val="0"/>
          <w:color w:val="000000"/>
          <w:sz w:val="28"/>
        </w:rPr>
        <w:t>RECOMMENDATIONS</w:t>
      </w:r>
    </w:p>
    <w:p>
      <w:pPr>
        <w:spacing w:line="360" w:lineRule="auto" w:after="120" w:before="0"/>
        <w:jc w:val="both"/>
      </w:pPr>
      <w:r>
        <w:rPr>
          <w:rFonts w:ascii="Times New Roman" w:hAnsi="Times New Roman" w:cs="Times New Roman"/>
          <w:b w:val="0"/>
          <w:i w:val="0"/>
          <w:color w:val="000000"/>
          <w:sz w:val="24"/>
        </w:rPr>
        <w:t>Based on the findings of this study, the following practical recommendations are proposed for key stakeholder groups.</w:t>
      </w:r>
    </w:p>
    <w:p>
      <w:pPr>
        <w:spacing w:line="360" w:lineRule="auto" w:after="120" w:before="0"/>
        <w:jc w:val="both"/>
      </w:pPr>
      <w:r>
        <w:rPr>
          <w:rFonts w:ascii="Times New Roman" w:hAnsi="Times New Roman" w:cs="Times New Roman"/>
          <w:b w:val="0"/>
          <w:i w:val="0"/>
          <w:color w:val="000000"/>
          <w:sz w:val="24"/>
        </w:rPr>
        <w:t>For public health organisations: Maintain and promote high-quality traditional websites as anchor resources for physical activity information. Simultaneously, develop platform-native content for TikTok and Instagram that adheres to evidence-based principles while respecting the format constraints of short-form media. Content should be designed with DISCERN-aligned principles: clearly stated aims, identified sources, balanced presentation of options, and explicit acknowledgement of uncertainty.</w:t>
      </w:r>
    </w:p>
    <w:p>
      <w:pPr>
        <w:spacing w:line="360" w:lineRule="auto" w:after="120" w:before="0"/>
        <w:jc w:val="both"/>
      </w:pPr>
      <w:r>
        <w:rPr>
          <w:rFonts w:ascii="Times New Roman" w:hAnsi="Times New Roman" w:cs="Times New Roman"/>
          <w:b w:val="0"/>
          <w:i w:val="0"/>
          <w:color w:val="000000"/>
          <w:sz w:val="24"/>
        </w:rPr>
        <w:t>For healthcare professionals: Engage actively on social media platforms to counter the dominance of unqualified content creators. Professional credentials should be prominently displayed in profile biographies, and content should include source citations where feasible. Healthcare professionals can leverage platform verification features to signal credibility to users.</w:t>
      </w:r>
    </w:p>
    <w:p>
      <w:pPr>
        <w:spacing w:line="360" w:lineRule="auto" w:after="120" w:before="0"/>
        <w:jc w:val="both"/>
      </w:pPr>
      <w:r>
        <w:rPr>
          <w:rFonts w:ascii="Times New Roman" w:hAnsi="Times New Roman" w:cs="Times New Roman"/>
          <w:b w:val="0"/>
          <w:i w:val="0"/>
          <w:color w:val="000000"/>
          <w:sz w:val="24"/>
        </w:rPr>
        <w:t>For platform developers: Consider implementing evidence-based content labelling systems that signal information quality to users. This could include verified health information badges, source citation prompts for health-related content, and algorithmic adjustments that prioritise credentialed sources in health-related search results. The finding that higher-viewed and more-liked YouTube content tended to score significantly lower on DISCERN (views rho = -0.340, p = .016; likes rho = -0.286, p = .044) warrants urgent further investigation.</w:t>
      </w:r>
    </w:p>
    <w:p>
      <w:pPr>
        <w:spacing w:line="360" w:lineRule="auto" w:after="120" w:before="0"/>
        <w:jc w:val="both"/>
      </w:pPr>
      <w:r>
        <w:rPr>
          <w:rFonts w:ascii="Times New Roman" w:hAnsi="Times New Roman" w:cs="Times New Roman"/>
          <w:b w:val="0"/>
          <w:i w:val="0"/>
          <w:color w:val="000000"/>
          <w:sz w:val="24"/>
        </w:rPr>
        <w:t>For health literacy educators: Teach critical appraisal skills that are platform-specific. Users should understand that high engagement (likes, views, shares) does not indicate information accuracy. Educational programmes should include practical exercises in evaluating social media health content using simplified versions of tools such as DISCERN and JAMA benchmarks.</w:t>
      </w:r>
    </w:p>
    <w:p>
      <w:pPr>
        <w:spacing w:line="360" w:lineRule="auto" w:after="120" w:before="0"/>
        <w:jc w:val="both"/>
      </w:pPr>
      <w:r>
        <w:rPr>
          <w:rFonts w:ascii="Times New Roman" w:hAnsi="Times New Roman" w:cs="Times New Roman"/>
          <w:b w:val="0"/>
          <w:i w:val="0"/>
          <w:color w:val="000000"/>
          <w:sz w:val="24"/>
        </w:rPr>
        <w:t>For policy makers: Consider regulatory frameworks that require minimum transparency standards for health-related content on social media, analogous to advertising disclosure requirements. The near-zero attribution rates on TikTok (0%) and Instagram (4%) suggest that voluntary compliance with evidence citation norms is insufficient.</w:t>
      </w:r>
    </w:p>
    <w:p>
      <w:pPr>
        <w:spacing w:line="360" w:lineRule="auto" w:after="120" w:before="0"/>
        <w:jc w:val="both"/>
      </w:pPr>
      <w:r>
        <w:rPr>
          <w:rFonts w:ascii="Times New Roman" w:hAnsi="Times New Roman" w:cs="Times New Roman"/>
          <w:b w:val="0"/>
          <w:i w:val="0"/>
          <w:color w:val="000000"/>
          <w:sz w:val="24"/>
        </w:rPr>
        <w:t>For consumers of physical activity information: Prefer traditional websites from recognised health organisations (e.g., WHO, NHS, national public health agencies) as primary information sources. When using social media for physical activity guidance, verify creator credentials, check for cited sources, and cross-reference recommendations with authoritative guidelines such as the WHO Global Action Plan on Physical Activity 2018–2030 (World Health Organization, 2018).</w:t>
      </w:r>
    </w:p>
    <w:p>
      <w:pPr>
        <w:pStyle w:val="Heading2"/>
        <w:spacing w:line="360" w:lineRule="auto" w:after="200" w:before="0"/>
        <w:jc w:val="both"/>
      </w:pPr>
      <w:r>
        <w:rPr>
          <w:rFonts w:ascii="Times New Roman" w:hAnsi="Times New Roman" w:cs="Times New Roman"/>
          <w:b/>
          <w:i w:val="0"/>
          <w:color w:val="000000"/>
          <w:sz w:val="26"/>
        </w:rPr>
        <w:t>Recommendations for Future Research</w:t>
      </w:r>
    </w:p>
    <w:p>
      <w:pPr>
        <w:spacing w:line="360" w:lineRule="auto" w:after="120" w:before="0"/>
        <w:jc w:val="both"/>
      </w:pPr>
      <w:r>
        <w:rPr>
          <w:rFonts w:ascii="Times New Roman" w:hAnsi="Times New Roman" w:cs="Times New Roman"/>
          <w:b w:val="0"/>
          <w:i w:val="0"/>
          <w:color w:val="000000"/>
          <w:sz w:val="24"/>
        </w:rPr>
        <w:t>Future research should address the methodological limitations identified in this study through several priority directions. First, longitudinal tracking studies are needed to determine whether the quality gradient observed here is stable or evolving as platforms mature and implement health content policies. Second, studies incorporating full audio-visual transcription and coding would extend the point-of-access scoring approach used here and test whether subtler spoken or visual cues materially alter quality assessments. Third, cross-cultural and multilingual replications would establish whether the observed patterns generalise beyond English-language content.</w:t>
      </w:r>
    </w:p>
    <w:p>
      <w:pPr>
        <w:spacing w:line="360" w:lineRule="auto" w:after="120" w:before="0"/>
        <w:jc w:val="both"/>
      </w:pPr>
      <w:r>
        <w:rPr>
          <w:rFonts w:ascii="Times New Roman" w:hAnsi="Times New Roman" w:cs="Times New Roman"/>
          <w:b w:val="0"/>
          <w:i w:val="0"/>
          <w:color w:val="000000"/>
          <w:sz w:val="24"/>
        </w:rPr>
        <w:t>Fourth, experimental studies could investigate the causal impact of information quality on user behaviour—specifically, whether exposure to higher-quality physical activity information on social media leads to greater adoption of evidence-based exercise practices. Fifth, the development and validation of social media-specific quality assessment tools, adapted from but distinct from DISCERN and JAMA, would address the limitations of applying traditional print-oriented instruments to digital media formats. Sixth, algorithmic audit studies could examine how platform recommendation systems interact with content quality, building on the significant negative views–quality and likes–quality correlations observed on YouTube in the present study.</w:t>
      </w:r>
    </w:p>
    <w:p>
      <w:pPr>
        <w:spacing w:line="360" w:lineRule="auto" w:after="120" w:before="0"/>
        <w:jc w:val="both"/>
      </w:pPr>
      <w:r>
        <w:rPr>
          <w:rFonts w:ascii="Times New Roman" w:hAnsi="Times New Roman" w:cs="Times New Roman"/>
          <w:b w:val="0"/>
          <w:i w:val="0"/>
          <w:color w:val="000000"/>
          <w:sz w:val="24"/>
        </w:rPr>
        <w:t>Finally, participatory research involving content creators, healthcare professionals, and platform users could inform the design of practical interventions to improve the quality of physical activity information in the social media ecosystem.</w:t>
      </w:r>
    </w:p>
    <w:p>
      <w:pPr>
        <w:spacing w:line="360" w:lineRule="auto" w:after="120" w:before="0"/>
        <w:jc w:val="both"/>
      </w:pPr>
      <w:r>
        <w:rPr>
          <w:rFonts w:ascii="Times New Roman" w:hAnsi="Times New Roman" w:cs="Times New Roman"/>
          <w:b w:val="0"/>
          <w:i w:val="0"/>
          <w:color w:val="000000"/>
          <w:sz w:val="24"/>
        </w:rPr>
        <w:t>In closing, this study provides evidence that the quality of physical activity information varies substantially across digital platforms, with short-form social media presenting the greatest quality concerns. However, these conclusions should be tempered by the study’s limitations, particularly the use of point-of-access scoring for video and image content without full transcription or frame-by-frame coding, which may still underestimate some forms of audiovisual explanation and thereby influence the observed gradient. The mixed automated and manual collection approach and the classification of diverse organisations as non-professional further qualify the precision of these findings. Notwithstanding these caveats, the overall pattern—that platform architecture constrains information completeness and that engagement does not reliably signal accuracy—is consistent with the broader literature and has clear implications for public health practice, health literacy education, and platform governance.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