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6090" w:rsidRPr="003B63F3" w:rsidRDefault="00A06090" w:rsidP="00A06090">
      <w:pPr>
        <w:pStyle w:val="NormalWeb"/>
        <w:spacing w:before="150" w:beforeAutospacing="0" w:after="0" w:afterAutospacing="0" w:line="360" w:lineRule="atLeast"/>
        <w:rPr>
          <w:color w:val="2B2B2B"/>
          <w:sz w:val="30"/>
          <w:szCs w:val="30"/>
        </w:rPr>
      </w:pPr>
      <w:r w:rsidRPr="003B63F3">
        <w:rPr>
          <w:color w:val="2B2B2B"/>
          <w:sz w:val="30"/>
          <w:szCs w:val="30"/>
        </w:rPr>
        <w:t>Given the provided data, what are three conclusions that we can draw about crowdfunding campaigns?</w:t>
      </w:r>
    </w:p>
    <w:p w:rsidR="00A06090" w:rsidRPr="003B63F3" w:rsidRDefault="00A06090" w:rsidP="00A06090">
      <w:pPr>
        <w:ind w:left="720" w:hanging="360"/>
        <w:rPr>
          <w:rFonts w:ascii="Times New Roman" w:hAnsi="Times New Roman" w:cs="Times New Roman"/>
        </w:rPr>
      </w:pPr>
    </w:p>
    <w:p w:rsidR="00A06090" w:rsidRPr="003B63F3" w:rsidRDefault="00A06090" w:rsidP="00A06090">
      <w:pPr>
        <w:pStyle w:val="ListParagraph"/>
        <w:numPr>
          <w:ilvl w:val="0"/>
          <w:numId w:val="1"/>
        </w:numPr>
        <w:rPr>
          <w:rFonts w:ascii="Times New Roman" w:hAnsi="Times New Roman" w:cs="Times New Roman"/>
          <w:b/>
        </w:rPr>
      </w:pPr>
    </w:p>
    <w:p w:rsidR="00A06090" w:rsidRPr="003B63F3" w:rsidRDefault="00A06090" w:rsidP="00A06090">
      <w:pPr>
        <w:pStyle w:val="ListParagraph"/>
        <w:numPr>
          <w:ilvl w:val="0"/>
          <w:numId w:val="2"/>
        </w:numPr>
        <w:rPr>
          <w:rFonts w:ascii="Times New Roman" w:hAnsi="Times New Roman" w:cs="Times New Roman"/>
          <w:b/>
        </w:rPr>
      </w:pPr>
      <w:r w:rsidRPr="003B63F3">
        <w:rPr>
          <w:rFonts w:ascii="Times New Roman" w:hAnsi="Times New Roman" w:cs="Times New Roman"/>
          <w:b/>
        </w:rPr>
        <w:t>Theater's Dominance in Crowdfunding Success:</w:t>
      </w:r>
    </w:p>
    <w:p w:rsidR="00A06090" w:rsidRPr="003B63F3" w:rsidRDefault="00A06090" w:rsidP="00A06090">
      <w:pPr>
        <w:rPr>
          <w:rFonts w:ascii="Times New Roman" w:hAnsi="Times New Roman" w:cs="Times New Roman"/>
        </w:rPr>
      </w:pPr>
      <w:r w:rsidRPr="003B63F3">
        <w:rPr>
          <w:rFonts w:ascii="Times New Roman" w:hAnsi="Times New Roman" w:cs="Times New Roman"/>
        </w:rPr>
        <w:t>The analysis highlights the substantial impact of the theater category, constituting 34% of all possible scenarios. This underscores the effectiveness of crowdfunding campaigns within the theater sector, indicating a strong potential for success in this niche. Organizations and investors might find value in understanding and leveraging the dynamics that contribute to the success of theater-related crowdfunding projects.</w:t>
      </w:r>
    </w:p>
    <w:p w:rsidR="00A06090" w:rsidRPr="003B63F3" w:rsidRDefault="00A06090" w:rsidP="00A06090">
      <w:pPr>
        <w:rPr>
          <w:rFonts w:ascii="Times New Roman" w:hAnsi="Times New Roman" w:cs="Times New Roman"/>
        </w:rPr>
      </w:pPr>
    </w:p>
    <w:p w:rsidR="00A06090" w:rsidRPr="003B63F3" w:rsidRDefault="00A06090" w:rsidP="00A06090">
      <w:pPr>
        <w:pStyle w:val="ListParagraph"/>
        <w:numPr>
          <w:ilvl w:val="0"/>
          <w:numId w:val="2"/>
        </w:numPr>
        <w:rPr>
          <w:rFonts w:ascii="Times New Roman" w:hAnsi="Times New Roman" w:cs="Times New Roman"/>
          <w:b/>
        </w:rPr>
      </w:pPr>
      <w:r w:rsidRPr="003B63F3">
        <w:rPr>
          <w:rFonts w:ascii="Times New Roman" w:hAnsi="Times New Roman" w:cs="Times New Roman"/>
          <w:b/>
        </w:rPr>
        <w:t>Geographical Influence on Project Outcomes:</w:t>
      </w:r>
    </w:p>
    <w:p w:rsidR="00A06090" w:rsidRPr="003B63F3" w:rsidRDefault="00A06090" w:rsidP="00A06090">
      <w:pPr>
        <w:rPr>
          <w:rFonts w:ascii="Times New Roman" w:hAnsi="Times New Roman" w:cs="Times New Roman"/>
        </w:rPr>
      </w:pPr>
      <w:r w:rsidRPr="003B63F3">
        <w:rPr>
          <w:rFonts w:ascii="Times New Roman" w:hAnsi="Times New Roman" w:cs="Times New Roman"/>
        </w:rPr>
        <w:t>The prominence of the United States, contributing to 76% of all possible outcomes, suggests a geographical concentration of successful crowdfunding campaigns. Understanding the factors contributing to this dominance can guide organizations in tailoring their strategies to specific regions. Additionally, it implies that global crowdfunding platforms and campaigns may benefit from considering the unique dynamics of the U.S. market.</w:t>
      </w:r>
    </w:p>
    <w:p w:rsidR="00A06090" w:rsidRPr="003B63F3" w:rsidRDefault="00A06090" w:rsidP="00A06090">
      <w:pPr>
        <w:rPr>
          <w:rFonts w:ascii="Times New Roman" w:hAnsi="Times New Roman" w:cs="Times New Roman"/>
        </w:rPr>
      </w:pPr>
    </w:p>
    <w:p w:rsidR="00A06090" w:rsidRPr="003B63F3" w:rsidRDefault="00A06090" w:rsidP="00A06090">
      <w:pPr>
        <w:pStyle w:val="ListParagraph"/>
        <w:numPr>
          <w:ilvl w:val="0"/>
          <w:numId w:val="2"/>
        </w:numPr>
        <w:rPr>
          <w:rFonts w:ascii="Times New Roman" w:hAnsi="Times New Roman" w:cs="Times New Roman"/>
          <w:b/>
        </w:rPr>
      </w:pPr>
      <w:r w:rsidRPr="003B63F3">
        <w:rPr>
          <w:rFonts w:ascii="Times New Roman" w:hAnsi="Times New Roman" w:cs="Times New Roman"/>
          <w:b/>
        </w:rPr>
        <w:t>Challenges in Full Project Implementation:</w:t>
      </w:r>
    </w:p>
    <w:p w:rsidR="00901338" w:rsidRPr="003B63F3" w:rsidRDefault="00A06090" w:rsidP="00A06090">
      <w:pPr>
        <w:rPr>
          <w:rFonts w:ascii="Times New Roman" w:hAnsi="Times New Roman" w:cs="Times New Roman"/>
        </w:rPr>
      </w:pPr>
      <w:r w:rsidRPr="003B63F3">
        <w:rPr>
          <w:rFonts w:ascii="Times New Roman" w:hAnsi="Times New Roman" w:cs="Times New Roman"/>
        </w:rPr>
        <w:t>The report underscores a consistent challenge in achieving full project implementation, with only 1% of projects going live every other year. This emphasizes the need for organizations to address barriers and refine project management practices to enhance the likelihood of successful execution. Crowdfunding initiatives should focus on strategies beyond initiation, ensuring a more effective and sustainable project lifecycle.</w:t>
      </w:r>
      <w:r w:rsidR="00654C1D">
        <w:rPr>
          <w:rFonts w:ascii="Times New Roman" w:hAnsi="Times New Roman" w:cs="Times New Roman"/>
        </w:rPr>
        <w:t xml:space="preserve"> </w:t>
      </w:r>
      <w:r w:rsidR="00654C1D" w:rsidRPr="00654C1D">
        <w:rPr>
          <w:rFonts w:ascii="Times New Roman" w:hAnsi="Times New Roman" w:cs="Times New Roman"/>
        </w:rPr>
        <w:t xml:space="preserve">From 2010 to 2019, the business landscape saw a resilient industry, with successful projects peaking at 67 in 2019 and canceled projects reducing from 14 to 4. Despite a consistent average of 36 failed projects yearly, the challenge of achieving full implementation was evident, with only </w:t>
      </w:r>
      <w:r w:rsidR="00473ABC">
        <w:rPr>
          <w:rFonts w:ascii="Times New Roman" w:hAnsi="Times New Roman" w:cs="Times New Roman"/>
        </w:rPr>
        <w:t>two</w:t>
      </w:r>
      <w:r w:rsidR="00654C1D" w:rsidRPr="00654C1D">
        <w:rPr>
          <w:rFonts w:ascii="Times New Roman" w:hAnsi="Times New Roman" w:cs="Times New Roman"/>
        </w:rPr>
        <w:t xml:space="preserve"> projects going live every other year.</w:t>
      </w:r>
    </w:p>
    <w:p w:rsidR="00A06090" w:rsidRPr="003B63F3" w:rsidRDefault="00A06090" w:rsidP="00A06090">
      <w:pPr>
        <w:rPr>
          <w:rFonts w:ascii="Times New Roman" w:hAnsi="Times New Roman" w:cs="Times New Roman"/>
        </w:rPr>
      </w:pPr>
    </w:p>
    <w:p w:rsidR="00A06090" w:rsidRPr="00A06090" w:rsidRDefault="00A06090" w:rsidP="00473ABC">
      <w:pPr>
        <w:spacing w:before="150" w:after="0" w:line="360" w:lineRule="atLeast"/>
        <w:ind w:left="360"/>
        <w:rPr>
          <w:rFonts w:ascii="Times New Roman" w:eastAsia="Times New Roman" w:hAnsi="Times New Roman" w:cs="Times New Roman"/>
          <w:color w:val="2B2B2B"/>
          <w:sz w:val="30"/>
          <w:szCs w:val="30"/>
        </w:rPr>
      </w:pPr>
      <w:r w:rsidRPr="00A06090">
        <w:rPr>
          <w:rFonts w:ascii="Times New Roman" w:eastAsia="Times New Roman" w:hAnsi="Times New Roman" w:cs="Times New Roman"/>
          <w:color w:val="2B2B2B"/>
          <w:sz w:val="30"/>
          <w:szCs w:val="30"/>
        </w:rPr>
        <w:t>What are some limitations of this dataset?</w:t>
      </w:r>
    </w:p>
    <w:p w:rsidR="00A06090" w:rsidRPr="003B63F3" w:rsidRDefault="00A06090" w:rsidP="00A06090">
      <w:pPr>
        <w:rPr>
          <w:rFonts w:ascii="Times New Roman" w:hAnsi="Times New Roman" w:cs="Times New Roman"/>
        </w:rPr>
      </w:pPr>
    </w:p>
    <w:p w:rsidR="00A06090" w:rsidRPr="003B63F3" w:rsidRDefault="00A06090" w:rsidP="00A06090">
      <w:pPr>
        <w:rPr>
          <w:rFonts w:ascii="Times New Roman" w:hAnsi="Times New Roman" w:cs="Times New Roman"/>
        </w:rPr>
      </w:pPr>
      <w:r w:rsidRPr="003B63F3">
        <w:rPr>
          <w:rFonts w:ascii="Times New Roman" w:hAnsi="Times New Roman" w:cs="Times New Roman"/>
        </w:rPr>
        <w:t xml:space="preserve">2. </w:t>
      </w:r>
    </w:p>
    <w:p w:rsidR="00A06090" w:rsidRPr="003B63F3" w:rsidRDefault="00A06090" w:rsidP="00A06090">
      <w:pPr>
        <w:rPr>
          <w:rFonts w:ascii="Times New Roman" w:hAnsi="Times New Roman" w:cs="Times New Roman"/>
        </w:rPr>
      </w:pPr>
      <w:r w:rsidRPr="003B63F3">
        <w:rPr>
          <w:rFonts w:ascii="Times New Roman" w:hAnsi="Times New Roman" w:cs="Times New Roman"/>
        </w:rPr>
        <w:t xml:space="preserve">a. </w:t>
      </w:r>
      <w:r w:rsidRPr="003B63F3">
        <w:rPr>
          <w:rFonts w:ascii="Times New Roman" w:hAnsi="Times New Roman" w:cs="Times New Roman"/>
        </w:rPr>
        <w:t>Lack of Contextual Understanding:</w:t>
      </w:r>
    </w:p>
    <w:p w:rsidR="00A06090" w:rsidRPr="003B63F3" w:rsidRDefault="00A06090" w:rsidP="00A06090">
      <w:pPr>
        <w:rPr>
          <w:rFonts w:ascii="Times New Roman" w:hAnsi="Times New Roman" w:cs="Times New Roman"/>
        </w:rPr>
      </w:pPr>
      <w:r w:rsidRPr="003B63F3">
        <w:rPr>
          <w:rFonts w:ascii="Times New Roman" w:hAnsi="Times New Roman" w:cs="Times New Roman"/>
        </w:rPr>
        <w:t>Datasets</w:t>
      </w:r>
      <w:r w:rsidRPr="003B63F3">
        <w:rPr>
          <w:rFonts w:ascii="Times New Roman" w:hAnsi="Times New Roman" w:cs="Times New Roman"/>
        </w:rPr>
        <w:t xml:space="preserve"> may provide numerical insights, but </w:t>
      </w:r>
      <w:r w:rsidRPr="003B63F3">
        <w:rPr>
          <w:rFonts w:ascii="Times New Roman" w:hAnsi="Times New Roman" w:cs="Times New Roman"/>
        </w:rPr>
        <w:t>they</w:t>
      </w:r>
      <w:r w:rsidRPr="003B63F3">
        <w:rPr>
          <w:rFonts w:ascii="Times New Roman" w:hAnsi="Times New Roman" w:cs="Times New Roman"/>
        </w:rPr>
        <w:t xml:space="preserve"> often </w:t>
      </w:r>
      <w:r w:rsidRPr="003B63F3">
        <w:rPr>
          <w:rFonts w:ascii="Times New Roman" w:hAnsi="Times New Roman" w:cs="Times New Roman"/>
        </w:rPr>
        <w:t>lack</w:t>
      </w:r>
      <w:r w:rsidRPr="003B63F3">
        <w:rPr>
          <w:rFonts w:ascii="Times New Roman" w:hAnsi="Times New Roman" w:cs="Times New Roman"/>
        </w:rPr>
        <w:t xml:space="preserve"> the depth required for a comprehensive understanding of the context. Without qualitative data, researchers might miss nuanced factors influencing the phenomena under study.</w:t>
      </w:r>
    </w:p>
    <w:p w:rsidR="00A06090" w:rsidRDefault="00A06090" w:rsidP="00A06090">
      <w:pPr>
        <w:rPr>
          <w:rFonts w:ascii="Times New Roman" w:hAnsi="Times New Roman" w:cs="Times New Roman"/>
        </w:rPr>
      </w:pPr>
    </w:p>
    <w:p w:rsidR="003B63F3" w:rsidRDefault="003B63F3" w:rsidP="00A06090">
      <w:pPr>
        <w:rPr>
          <w:rFonts w:ascii="Times New Roman" w:hAnsi="Times New Roman" w:cs="Times New Roman"/>
        </w:rPr>
      </w:pPr>
    </w:p>
    <w:p w:rsidR="003B63F3" w:rsidRPr="003B63F3" w:rsidRDefault="003B63F3" w:rsidP="00A06090">
      <w:pPr>
        <w:rPr>
          <w:rFonts w:ascii="Times New Roman" w:hAnsi="Times New Roman" w:cs="Times New Roman"/>
        </w:rPr>
      </w:pPr>
    </w:p>
    <w:p w:rsidR="00A06090" w:rsidRPr="003B63F3" w:rsidRDefault="00A06090" w:rsidP="00A06090">
      <w:pPr>
        <w:rPr>
          <w:rFonts w:ascii="Times New Roman" w:hAnsi="Times New Roman" w:cs="Times New Roman"/>
        </w:rPr>
      </w:pPr>
    </w:p>
    <w:p w:rsidR="00A06090" w:rsidRPr="003B63F3" w:rsidRDefault="00A06090" w:rsidP="00A06090">
      <w:pPr>
        <w:rPr>
          <w:rFonts w:ascii="Times New Roman" w:hAnsi="Times New Roman" w:cs="Times New Roman"/>
        </w:rPr>
      </w:pPr>
      <w:r w:rsidRPr="003B63F3">
        <w:rPr>
          <w:rFonts w:ascii="Times New Roman" w:hAnsi="Times New Roman" w:cs="Times New Roman"/>
        </w:rPr>
        <w:t xml:space="preserve">B. </w:t>
      </w:r>
      <w:r w:rsidRPr="003B63F3">
        <w:rPr>
          <w:rFonts w:ascii="Times New Roman" w:hAnsi="Times New Roman" w:cs="Times New Roman"/>
        </w:rPr>
        <w:t>Inability to Capture Complexity:</w:t>
      </w:r>
    </w:p>
    <w:p w:rsidR="00A06090" w:rsidRPr="003B63F3" w:rsidRDefault="00A06090" w:rsidP="00A06090">
      <w:pPr>
        <w:rPr>
          <w:rFonts w:ascii="Times New Roman" w:hAnsi="Times New Roman" w:cs="Times New Roman"/>
        </w:rPr>
      </w:pPr>
      <w:r w:rsidRPr="003B63F3">
        <w:rPr>
          <w:rFonts w:ascii="Times New Roman" w:hAnsi="Times New Roman" w:cs="Times New Roman"/>
        </w:rPr>
        <w:t xml:space="preserve">Certain phenomena are inherently complex and multifaceted. </w:t>
      </w:r>
      <w:r w:rsidRPr="003B63F3">
        <w:rPr>
          <w:rFonts w:ascii="Times New Roman" w:hAnsi="Times New Roman" w:cs="Times New Roman"/>
        </w:rPr>
        <w:t>The dataset</w:t>
      </w:r>
      <w:r w:rsidRPr="003B63F3">
        <w:rPr>
          <w:rFonts w:ascii="Times New Roman" w:hAnsi="Times New Roman" w:cs="Times New Roman"/>
        </w:rPr>
        <w:t xml:space="preserve"> may oversimplify these complexities, leading to a superficial understanding of the problem. </w:t>
      </w:r>
      <w:r w:rsidR="003B63F3" w:rsidRPr="003B63F3">
        <w:rPr>
          <w:rFonts w:ascii="Times New Roman" w:hAnsi="Times New Roman" w:cs="Times New Roman"/>
        </w:rPr>
        <w:t>Other means, like q</w:t>
      </w:r>
      <w:r w:rsidRPr="003B63F3">
        <w:rPr>
          <w:rFonts w:ascii="Times New Roman" w:hAnsi="Times New Roman" w:cs="Times New Roman"/>
        </w:rPr>
        <w:t>ualitative methods</w:t>
      </w:r>
      <w:r w:rsidR="003B63F3" w:rsidRPr="003B63F3">
        <w:rPr>
          <w:rFonts w:ascii="Times New Roman" w:hAnsi="Times New Roman" w:cs="Times New Roman"/>
        </w:rPr>
        <w:t>,</w:t>
      </w:r>
      <w:r w:rsidRPr="003B63F3">
        <w:rPr>
          <w:rFonts w:ascii="Times New Roman" w:hAnsi="Times New Roman" w:cs="Times New Roman"/>
        </w:rPr>
        <w:t xml:space="preserve"> are essential for capturing the richness and depth of such intricate situations.</w:t>
      </w:r>
    </w:p>
    <w:p w:rsidR="00A06090" w:rsidRPr="003B63F3" w:rsidRDefault="00A06090" w:rsidP="00A06090">
      <w:pPr>
        <w:rPr>
          <w:rFonts w:ascii="Times New Roman" w:hAnsi="Times New Roman" w:cs="Times New Roman"/>
        </w:rPr>
      </w:pPr>
    </w:p>
    <w:p w:rsidR="00A06090" w:rsidRPr="003B63F3" w:rsidRDefault="00A06090" w:rsidP="00A06090">
      <w:pPr>
        <w:rPr>
          <w:rFonts w:ascii="Times New Roman" w:hAnsi="Times New Roman" w:cs="Times New Roman"/>
        </w:rPr>
      </w:pPr>
      <w:r w:rsidRPr="003B63F3">
        <w:rPr>
          <w:rFonts w:ascii="Times New Roman" w:hAnsi="Times New Roman" w:cs="Times New Roman"/>
        </w:rPr>
        <w:t xml:space="preserve">C. </w:t>
      </w:r>
      <w:r w:rsidRPr="003B63F3">
        <w:rPr>
          <w:rFonts w:ascii="Times New Roman" w:hAnsi="Times New Roman" w:cs="Times New Roman"/>
        </w:rPr>
        <w:t>Potential for Bias in Data Collection:</w:t>
      </w:r>
    </w:p>
    <w:p w:rsidR="00A06090" w:rsidRPr="003B63F3" w:rsidRDefault="00A06090" w:rsidP="00A06090">
      <w:pPr>
        <w:rPr>
          <w:rFonts w:ascii="Times New Roman" w:hAnsi="Times New Roman" w:cs="Times New Roman"/>
        </w:rPr>
      </w:pPr>
      <w:r w:rsidRPr="003B63F3">
        <w:rPr>
          <w:rFonts w:ascii="Times New Roman" w:hAnsi="Times New Roman" w:cs="Times New Roman"/>
        </w:rPr>
        <w:t>The design of quantitative studies, including the selection of variables and survey questions, can introduce biases. Without qualitative insights to validate or challenge these biases, the findings may not accurately represent the true nature of the problem.</w:t>
      </w:r>
    </w:p>
    <w:p w:rsidR="003B63F3" w:rsidRPr="003B63F3" w:rsidRDefault="003B63F3" w:rsidP="00A06090">
      <w:pPr>
        <w:rPr>
          <w:rFonts w:ascii="Times New Roman" w:hAnsi="Times New Roman" w:cs="Times New Roman"/>
        </w:rPr>
      </w:pPr>
    </w:p>
    <w:p w:rsidR="003B63F3" w:rsidRPr="003B63F3" w:rsidRDefault="003B63F3" w:rsidP="00A06090">
      <w:pPr>
        <w:rPr>
          <w:rFonts w:ascii="Times New Roman" w:hAnsi="Times New Roman" w:cs="Times New Roman"/>
        </w:rPr>
      </w:pPr>
    </w:p>
    <w:p w:rsidR="003B63F3" w:rsidRPr="003B63F3" w:rsidRDefault="003B63F3" w:rsidP="003B63F3">
      <w:pPr>
        <w:numPr>
          <w:ilvl w:val="0"/>
          <w:numId w:val="5"/>
        </w:numPr>
        <w:spacing w:before="150" w:after="0" w:line="360" w:lineRule="atLeast"/>
        <w:ind w:left="0"/>
        <w:rPr>
          <w:rFonts w:ascii="Times New Roman" w:eastAsia="Times New Roman" w:hAnsi="Times New Roman" w:cs="Times New Roman"/>
          <w:color w:val="2B2B2B"/>
          <w:sz w:val="30"/>
          <w:szCs w:val="30"/>
        </w:rPr>
      </w:pPr>
      <w:r w:rsidRPr="003B63F3">
        <w:rPr>
          <w:rFonts w:ascii="Times New Roman" w:eastAsia="Times New Roman" w:hAnsi="Times New Roman" w:cs="Times New Roman"/>
          <w:color w:val="2B2B2B"/>
          <w:sz w:val="30"/>
          <w:szCs w:val="30"/>
        </w:rPr>
        <w:t xml:space="preserve">What are some other possible tables </w:t>
      </w:r>
      <w:r w:rsidR="0050165A">
        <w:rPr>
          <w:rFonts w:ascii="Times New Roman" w:eastAsia="Times New Roman" w:hAnsi="Times New Roman" w:cs="Times New Roman"/>
          <w:color w:val="2B2B2B"/>
          <w:sz w:val="30"/>
          <w:szCs w:val="30"/>
        </w:rPr>
        <w:t>and</w:t>
      </w:r>
      <w:r w:rsidRPr="003B63F3">
        <w:rPr>
          <w:rFonts w:ascii="Times New Roman" w:eastAsia="Times New Roman" w:hAnsi="Times New Roman" w:cs="Times New Roman"/>
          <w:color w:val="2B2B2B"/>
          <w:sz w:val="30"/>
          <w:szCs w:val="30"/>
        </w:rPr>
        <w:t xml:space="preserve"> graphs that we could create, and what additional value would they provide?</w:t>
      </w:r>
      <w:bookmarkStart w:id="0" w:name="_GoBack"/>
      <w:bookmarkEnd w:id="0"/>
    </w:p>
    <w:p w:rsidR="003B63F3" w:rsidRPr="003B63F3" w:rsidRDefault="003B63F3" w:rsidP="00A06090">
      <w:pPr>
        <w:rPr>
          <w:rFonts w:ascii="Times New Roman" w:hAnsi="Times New Roman" w:cs="Times New Roman"/>
        </w:rPr>
      </w:pPr>
    </w:p>
    <w:p w:rsidR="003B63F3" w:rsidRPr="003B63F3" w:rsidRDefault="008B181B" w:rsidP="008B181B">
      <w:pPr>
        <w:ind w:left="360"/>
        <w:rPr>
          <w:rFonts w:ascii="Times New Roman" w:hAnsi="Times New Roman" w:cs="Times New Roman"/>
        </w:rPr>
      </w:pPr>
      <w:r>
        <w:rPr>
          <w:rFonts w:ascii="Times New Roman" w:hAnsi="Times New Roman" w:cs="Times New Roman"/>
        </w:rPr>
        <w:t xml:space="preserve">1. </w:t>
      </w:r>
      <w:r w:rsidR="003B63F3" w:rsidRPr="003B63F3">
        <w:rPr>
          <w:rFonts w:ascii="Times New Roman" w:hAnsi="Times New Roman" w:cs="Times New Roman"/>
        </w:rPr>
        <w:t>Histograms:</w:t>
      </w:r>
    </w:p>
    <w:p w:rsidR="003B63F3" w:rsidRPr="003B63F3" w:rsidRDefault="003B63F3" w:rsidP="003B63F3">
      <w:pPr>
        <w:pStyle w:val="ListParagraph"/>
        <w:numPr>
          <w:ilvl w:val="0"/>
          <w:numId w:val="6"/>
        </w:numPr>
        <w:rPr>
          <w:rFonts w:ascii="Times New Roman" w:hAnsi="Times New Roman" w:cs="Times New Roman"/>
        </w:rPr>
      </w:pPr>
      <w:r w:rsidRPr="003B63F3">
        <w:rPr>
          <w:rFonts w:ascii="Times New Roman" w:hAnsi="Times New Roman" w:cs="Times New Roman"/>
        </w:rPr>
        <w:t>Excellent for visualizing data distribution.</w:t>
      </w:r>
    </w:p>
    <w:p w:rsidR="003B63F3" w:rsidRPr="003B63F3" w:rsidRDefault="003B63F3" w:rsidP="003B63F3">
      <w:pPr>
        <w:pStyle w:val="ListParagraph"/>
        <w:numPr>
          <w:ilvl w:val="0"/>
          <w:numId w:val="6"/>
        </w:numPr>
        <w:rPr>
          <w:rFonts w:ascii="Times New Roman" w:hAnsi="Times New Roman" w:cs="Times New Roman"/>
        </w:rPr>
      </w:pPr>
      <w:r w:rsidRPr="003B63F3">
        <w:rPr>
          <w:rFonts w:ascii="Times New Roman" w:hAnsi="Times New Roman" w:cs="Times New Roman"/>
        </w:rPr>
        <w:t>Reveals frequency, concentration, and outliers.</w:t>
      </w:r>
    </w:p>
    <w:p w:rsidR="003B63F3" w:rsidRDefault="003B63F3" w:rsidP="003B63F3">
      <w:pPr>
        <w:pStyle w:val="ListParagraph"/>
        <w:numPr>
          <w:ilvl w:val="0"/>
          <w:numId w:val="6"/>
        </w:numPr>
        <w:rPr>
          <w:rFonts w:ascii="Times New Roman" w:hAnsi="Times New Roman" w:cs="Times New Roman"/>
        </w:rPr>
      </w:pPr>
      <w:r w:rsidRPr="003B63F3">
        <w:rPr>
          <w:rFonts w:ascii="Times New Roman" w:hAnsi="Times New Roman" w:cs="Times New Roman"/>
        </w:rPr>
        <w:t>Valuable for understanding overall patterns.</w:t>
      </w:r>
    </w:p>
    <w:p w:rsidR="008B181B" w:rsidRDefault="008B181B" w:rsidP="008B181B">
      <w:pPr>
        <w:pStyle w:val="ListParagraph"/>
        <w:rPr>
          <w:rFonts w:ascii="Times New Roman" w:hAnsi="Times New Roman" w:cs="Times New Roman"/>
        </w:rPr>
      </w:pPr>
    </w:p>
    <w:p w:rsidR="003B63F3" w:rsidRPr="008B181B" w:rsidRDefault="003B63F3" w:rsidP="008B181B">
      <w:pPr>
        <w:pStyle w:val="ListParagraph"/>
        <w:numPr>
          <w:ilvl w:val="0"/>
          <w:numId w:val="1"/>
        </w:numPr>
        <w:rPr>
          <w:rFonts w:ascii="Times New Roman" w:hAnsi="Times New Roman" w:cs="Times New Roman"/>
        </w:rPr>
      </w:pPr>
      <w:r w:rsidRPr="008B181B">
        <w:rPr>
          <w:rFonts w:ascii="Times New Roman" w:hAnsi="Times New Roman" w:cs="Times New Roman"/>
        </w:rPr>
        <w:t>Box Plots (Box-and-Whisker Plots):</w:t>
      </w:r>
    </w:p>
    <w:p w:rsidR="003B63F3" w:rsidRPr="003B63F3" w:rsidRDefault="003B63F3" w:rsidP="003B63F3">
      <w:pPr>
        <w:pStyle w:val="ListParagraph"/>
        <w:numPr>
          <w:ilvl w:val="0"/>
          <w:numId w:val="7"/>
        </w:numPr>
        <w:rPr>
          <w:rFonts w:ascii="Times New Roman" w:hAnsi="Times New Roman" w:cs="Times New Roman"/>
        </w:rPr>
      </w:pPr>
      <w:r w:rsidRPr="003B63F3">
        <w:rPr>
          <w:rFonts w:ascii="Times New Roman" w:hAnsi="Times New Roman" w:cs="Times New Roman"/>
        </w:rPr>
        <w:t>Effective in depicting data spread and central tendency.</w:t>
      </w:r>
    </w:p>
    <w:p w:rsidR="003B63F3" w:rsidRPr="003B63F3" w:rsidRDefault="003B63F3" w:rsidP="003B63F3">
      <w:pPr>
        <w:pStyle w:val="ListParagraph"/>
        <w:numPr>
          <w:ilvl w:val="0"/>
          <w:numId w:val="7"/>
        </w:numPr>
        <w:rPr>
          <w:rFonts w:ascii="Times New Roman" w:hAnsi="Times New Roman" w:cs="Times New Roman"/>
        </w:rPr>
      </w:pPr>
      <w:r w:rsidRPr="003B63F3">
        <w:rPr>
          <w:rFonts w:ascii="Times New Roman" w:hAnsi="Times New Roman" w:cs="Times New Roman"/>
        </w:rPr>
        <w:t>Identifies quartiles, outliers, and variability.</w:t>
      </w:r>
    </w:p>
    <w:p w:rsidR="003B63F3" w:rsidRDefault="003B63F3" w:rsidP="003B63F3">
      <w:pPr>
        <w:pStyle w:val="ListParagraph"/>
        <w:numPr>
          <w:ilvl w:val="0"/>
          <w:numId w:val="7"/>
        </w:numPr>
        <w:rPr>
          <w:rFonts w:ascii="Times New Roman" w:hAnsi="Times New Roman" w:cs="Times New Roman"/>
        </w:rPr>
      </w:pPr>
      <w:r w:rsidRPr="003B63F3">
        <w:rPr>
          <w:rFonts w:ascii="Times New Roman" w:hAnsi="Times New Roman" w:cs="Times New Roman"/>
        </w:rPr>
        <w:t>Valuable for detecting skewness and comparing distributions.</w:t>
      </w:r>
    </w:p>
    <w:p w:rsidR="008B181B" w:rsidRPr="003B63F3" w:rsidRDefault="008B181B" w:rsidP="008B181B">
      <w:pPr>
        <w:pStyle w:val="ListParagraph"/>
        <w:rPr>
          <w:rFonts w:ascii="Times New Roman" w:hAnsi="Times New Roman" w:cs="Times New Roman"/>
        </w:rPr>
      </w:pPr>
    </w:p>
    <w:p w:rsidR="003B63F3" w:rsidRPr="008B181B" w:rsidRDefault="003B63F3" w:rsidP="008B181B">
      <w:pPr>
        <w:pStyle w:val="ListParagraph"/>
        <w:numPr>
          <w:ilvl w:val="0"/>
          <w:numId w:val="1"/>
        </w:numPr>
        <w:rPr>
          <w:rFonts w:ascii="Times New Roman" w:hAnsi="Times New Roman" w:cs="Times New Roman"/>
        </w:rPr>
      </w:pPr>
      <w:r w:rsidRPr="008B181B">
        <w:rPr>
          <w:rFonts w:ascii="Times New Roman" w:hAnsi="Times New Roman" w:cs="Times New Roman"/>
        </w:rPr>
        <w:t>Heatmaps:</w:t>
      </w:r>
    </w:p>
    <w:p w:rsidR="003B63F3" w:rsidRPr="003B63F3" w:rsidRDefault="003B63F3" w:rsidP="003B63F3">
      <w:pPr>
        <w:pStyle w:val="ListParagraph"/>
        <w:numPr>
          <w:ilvl w:val="0"/>
          <w:numId w:val="8"/>
        </w:numPr>
        <w:rPr>
          <w:rFonts w:ascii="Times New Roman" w:hAnsi="Times New Roman" w:cs="Times New Roman"/>
        </w:rPr>
      </w:pPr>
      <w:r w:rsidRPr="003B63F3">
        <w:rPr>
          <w:rFonts w:ascii="Times New Roman" w:hAnsi="Times New Roman" w:cs="Times New Roman"/>
        </w:rPr>
        <w:t>Beneficial for visualizing patterns in large datasets.</w:t>
      </w:r>
    </w:p>
    <w:p w:rsidR="003B63F3" w:rsidRPr="003B63F3" w:rsidRDefault="003B63F3" w:rsidP="003B63F3">
      <w:pPr>
        <w:pStyle w:val="ListParagraph"/>
        <w:numPr>
          <w:ilvl w:val="0"/>
          <w:numId w:val="8"/>
        </w:numPr>
        <w:rPr>
          <w:rFonts w:ascii="Times New Roman" w:hAnsi="Times New Roman" w:cs="Times New Roman"/>
        </w:rPr>
      </w:pPr>
      <w:r w:rsidRPr="003B63F3">
        <w:rPr>
          <w:rFonts w:ascii="Times New Roman" w:hAnsi="Times New Roman" w:cs="Times New Roman"/>
        </w:rPr>
        <w:t>Color-coded representation aids trend and correlation identification.</w:t>
      </w:r>
    </w:p>
    <w:p w:rsidR="003B63F3" w:rsidRDefault="003B63F3" w:rsidP="003B63F3">
      <w:pPr>
        <w:pStyle w:val="ListParagraph"/>
        <w:numPr>
          <w:ilvl w:val="0"/>
          <w:numId w:val="8"/>
        </w:numPr>
        <w:rPr>
          <w:rFonts w:ascii="Times New Roman" w:hAnsi="Times New Roman" w:cs="Times New Roman"/>
        </w:rPr>
      </w:pPr>
      <w:r w:rsidRPr="003B63F3">
        <w:rPr>
          <w:rFonts w:ascii="Times New Roman" w:hAnsi="Times New Roman" w:cs="Times New Roman"/>
        </w:rPr>
        <w:t>Useful for exploring variable interactions and detecting clusters.</w:t>
      </w:r>
    </w:p>
    <w:p w:rsidR="008B181B" w:rsidRPr="003B63F3" w:rsidRDefault="008B181B" w:rsidP="008B181B">
      <w:pPr>
        <w:pStyle w:val="ListParagraph"/>
        <w:rPr>
          <w:rFonts w:ascii="Times New Roman" w:hAnsi="Times New Roman" w:cs="Times New Roman"/>
        </w:rPr>
      </w:pPr>
    </w:p>
    <w:p w:rsidR="003B63F3" w:rsidRPr="008B181B" w:rsidRDefault="003B63F3" w:rsidP="008B181B">
      <w:pPr>
        <w:pStyle w:val="ListParagraph"/>
        <w:numPr>
          <w:ilvl w:val="0"/>
          <w:numId w:val="1"/>
        </w:numPr>
        <w:rPr>
          <w:rFonts w:ascii="Times New Roman" w:hAnsi="Times New Roman" w:cs="Times New Roman"/>
        </w:rPr>
      </w:pPr>
      <w:r w:rsidRPr="008B181B">
        <w:rPr>
          <w:rFonts w:ascii="Times New Roman" w:hAnsi="Times New Roman" w:cs="Times New Roman"/>
        </w:rPr>
        <w:t>Scatter Plots Matrix:</w:t>
      </w:r>
    </w:p>
    <w:p w:rsidR="003B63F3" w:rsidRPr="003B63F3" w:rsidRDefault="003B63F3" w:rsidP="003B63F3">
      <w:pPr>
        <w:pStyle w:val="ListParagraph"/>
        <w:numPr>
          <w:ilvl w:val="0"/>
          <w:numId w:val="9"/>
        </w:numPr>
        <w:rPr>
          <w:rFonts w:ascii="Times New Roman" w:hAnsi="Times New Roman" w:cs="Times New Roman"/>
        </w:rPr>
      </w:pPr>
      <w:r w:rsidRPr="003B63F3">
        <w:rPr>
          <w:rFonts w:ascii="Times New Roman" w:hAnsi="Times New Roman" w:cs="Times New Roman"/>
        </w:rPr>
        <w:t>Visualizes relationships between multiple variables.</w:t>
      </w:r>
    </w:p>
    <w:p w:rsidR="003B63F3" w:rsidRPr="003B63F3" w:rsidRDefault="003B63F3" w:rsidP="003B63F3">
      <w:pPr>
        <w:pStyle w:val="ListParagraph"/>
        <w:numPr>
          <w:ilvl w:val="0"/>
          <w:numId w:val="9"/>
        </w:numPr>
        <w:rPr>
          <w:rFonts w:ascii="Times New Roman" w:hAnsi="Times New Roman" w:cs="Times New Roman"/>
        </w:rPr>
      </w:pPr>
      <w:r w:rsidRPr="003B63F3">
        <w:rPr>
          <w:rFonts w:ascii="Times New Roman" w:hAnsi="Times New Roman" w:cs="Times New Roman"/>
        </w:rPr>
        <w:t>Identifies correlations, patterns, and outliers.</w:t>
      </w:r>
    </w:p>
    <w:p w:rsidR="003B63F3" w:rsidRPr="003B63F3" w:rsidRDefault="003B63F3" w:rsidP="003B63F3">
      <w:pPr>
        <w:pStyle w:val="ListParagraph"/>
        <w:numPr>
          <w:ilvl w:val="0"/>
          <w:numId w:val="9"/>
        </w:numPr>
        <w:rPr>
          <w:rFonts w:ascii="Times New Roman" w:hAnsi="Times New Roman" w:cs="Times New Roman"/>
        </w:rPr>
      </w:pPr>
      <w:r w:rsidRPr="003B63F3">
        <w:rPr>
          <w:rFonts w:ascii="Times New Roman" w:hAnsi="Times New Roman" w:cs="Times New Roman"/>
        </w:rPr>
        <w:t>Provides a comprehensive view of dataset structure.</w:t>
      </w:r>
    </w:p>
    <w:sectPr w:rsidR="003B63F3" w:rsidRPr="003B6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F0C89"/>
    <w:multiLevelType w:val="multilevel"/>
    <w:tmpl w:val="38544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AF0361"/>
    <w:multiLevelType w:val="multilevel"/>
    <w:tmpl w:val="B0E0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04562B"/>
    <w:multiLevelType w:val="hybridMultilevel"/>
    <w:tmpl w:val="A718D3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72445A"/>
    <w:multiLevelType w:val="hybridMultilevel"/>
    <w:tmpl w:val="F760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9224B3"/>
    <w:multiLevelType w:val="multilevel"/>
    <w:tmpl w:val="40901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243B12"/>
    <w:multiLevelType w:val="hybridMultilevel"/>
    <w:tmpl w:val="DAFEF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9937A8"/>
    <w:multiLevelType w:val="hybridMultilevel"/>
    <w:tmpl w:val="E3408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192DD5"/>
    <w:multiLevelType w:val="hybridMultilevel"/>
    <w:tmpl w:val="F5FC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DA790E"/>
    <w:multiLevelType w:val="hybridMultilevel"/>
    <w:tmpl w:val="08A2B3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1"/>
  </w:num>
  <w:num w:numId="4">
    <w:abstractNumId w:val="4"/>
  </w:num>
  <w:num w:numId="5">
    <w:abstractNumId w:val="0"/>
  </w:num>
  <w:num w:numId="6">
    <w:abstractNumId w:val="5"/>
  </w:num>
  <w:num w:numId="7">
    <w:abstractNumId w:val="7"/>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338"/>
    <w:rsid w:val="00342C76"/>
    <w:rsid w:val="003B63F3"/>
    <w:rsid w:val="00473ABC"/>
    <w:rsid w:val="0050165A"/>
    <w:rsid w:val="00654C1D"/>
    <w:rsid w:val="008B181B"/>
    <w:rsid w:val="00901338"/>
    <w:rsid w:val="00A060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25C6E8"/>
  <w15:chartTrackingRefBased/>
  <w15:docId w15:val="{7F639463-C888-48A7-A619-CA94BF2D5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090"/>
    <w:pPr>
      <w:ind w:left="720"/>
      <w:contextualSpacing/>
    </w:pPr>
  </w:style>
  <w:style w:type="paragraph" w:styleId="NormalWeb">
    <w:name w:val="Normal (Web)"/>
    <w:basedOn w:val="Normal"/>
    <w:uiPriority w:val="99"/>
    <w:semiHidden/>
    <w:unhideWhenUsed/>
    <w:rsid w:val="00A060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59447">
      <w:bodyDiv w:val="1"/>
      <w:marLeft w:val="0"/>
      <w:marRight w:val="0"/>
      <w:marTop w:val="0"/>
      <w:marBottom w:val="0"/>
      <w:divBdr>
        <w:top w:val="none" w:sz="0" w:space="0" w:color="auto"/>
        <w:left w:val="none" w:sz="0" w:space="0" w:color="auto"/>
        <w:bottom w:val="none" w:sz="0" w:space="0" w:color="auto"/>
        <w:right w:val="none" w:sz="0" w:space="0" w:color="auto"/>
      </w:divBdr>
    </w:div>
    <w:div w:id="1377704372">
      <w:bodyDiv w:val="1"/>
      <w:marLeft w:val="0"/>
      <w:marRight w:val="0"/>
      <w:marTop w:val="0"/>
      <w:marBottom w:val="0"/>
      <w:divBdr>
        <w:top w:val="none" w:sz="0" w:space="0" w:color="auto"/>
        <w:left w:val="none" w:sz="0" w:space="0" w:color="auto"/>
        <w:bottom w:val="none" w:sz="0" w:space="0" w:color="auto"/>
        <w:right w:val="none" w:sz="0" w:space="0" w:color="auto"/>
      </w:divBdr>
    </w:div>
    <w:div w:id="1542546858">
      <w:bodyDiv w:val="1"/>
      <w:marLeft w:val="0"/>
      <w:marRight w:val="0"/>
      <w:marTop w:val="0"/>
      <w:marBottom w:val="0"/>
      <w:divBdr>
        <w:top w:val="none" w:sz="0" w:space="0" w:color="auto"/>
        <w:left w:val="none" w:sz="0" w:space="0" w:color="auto"/>
        <w:bottom w:val="none" w:sz="0" w:space="0" w:color="auto"/>
        <w:right w:val="none" w:sz="0" w:space="0" w:color="auto"/>
      </w:divBdr>
    </w:div>
    <w:div w:id="1784768751">
      <w:bodyDiv w:val="1"/>
      <w:marLeft w:val="0"/>
      <w:marRight w:val="0"/>
      <w:marTop w:val="0"/>
      <w:marBottom w:val="0"/>
      <w:divBdr>
        <w:top w:val="none" w:sz="0" w:space="0" w:color="auto"/>
        <w:left w:val="none" w:sz="0" w:space="0" w:color="auto"/>
        <w:bottom w:val="none" w:sz="0" w:space="0" w:color="auto"/>
        <w:right w:val="none" w:sz="0" w:space="0" w:color="auto"/>
      </w:divBdr>
    </w:div>
    <w:div w:id="205896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2</Pages>
  <Words>498</Words>
  <Characters>3169</Characters>
  <Application>Microsoft Office Word</Application>
  <DocSecurity>0</DocSecurity>
  <Lines>72</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Ayotunde Afolabi</dc:creator>
  <cp:keywords/>
  <dc:description/>
  <cp:lastModifiedBy>Ayotunde Afolabi</cp:lastModifiedBy>
  <cp:revision>3</cp:revision>
  <dcterms:created xsi:type="dcterms:W3CDTF">2023-11-02T19:42:00Z</dcterms:created>
  <dcterms:modified xsi:type="dcterms:W3CDTF">2023-11-02T21:43:00Z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fd1cd320-cdd5-4f5d-9c35-f449cbda4687</vt:lpwstr>
  </property>
</Properties>
</file>