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E75B6"/>
          <w:sz w:val="40"/>
          <w:szCs w:val="40"/>
        </w:rPr>
        <w:t xml:space="preserve">Documentation du Projet</w:t>
      </w:r>
    </w:p>
    <w:p>
      <w:pPr>
        <w:spacing w:before="0" w:after="200"/>
      </w:pPr>
      <w:r>
        <w:rPr>
          <w:rFonts w:ascii="Arial" w:cs="Arial" w:eastAsia="Arial" w:hAnsi="Arial"/>
          <w:b/>
          <w:bCs/>
          <w:color w:val="1F2D3D"/>
          <w:sz w:val="52"/>
          <w:szCs w:val="52"/>
        </w:rPr>
        <w:t xml:space="preserve">Superstore Database</w:t>
      </w:r>
    </w:p>
    <w:p>
      <w:pPr>
        <w:pBdr>
          <w:bottom w:val="single" w:color="2E75B6" w:sz="8" w:space="1"/>
        </w:pBdr>
        <w:spacing w:before="0" w:after="480"/>
      </w:pPr>
      <w:r>
        <w:rPr>
          <w:rFonts w:ascii="Arial" w:cs="Arial" w:eastAsia="Arial" w:hAnsi="Arial"/>
          <w:i/>
          <w:iCs/>
          <w:color w:val="666666"/>
          <w:sz w:val="22"/>
          <w:szCs w:val="22"/>
        </w:rPr>
        <w:t xml:space="preserve">Transformation CSV → PostgreSQL relationnelle → Power BI</w:t>
      </w:r>
    </w:p>
    <w:p>
      <w:pPr>
        <w:pStyle w:val="Heading1"/>
        <w:spacing w:before="360" w:after="160"/>
      </w:pPr>
      <w:r>
        <w:rPr>
          <w:rFonts w:ascii="Arial" w:cs="Arial" w:eastAsia="Arial" w:hAnsi="Arial"/>
          <w:b/>
          <w:bCs/>
          <w:color w:val="2E75B6"/>
          <w:sz w:val="28"/>
          <w:szCs w:val="28"/>
        </w:rPr>
        <w:t xml:space="preserve">📋  Introduction</w:t>
      </w:r>
    </w:p>
    <w:p>
      <w:pPr>
        <w:spacing w:before="80" w:after="120"/>
      </w:pPr>
      <w:r>
        <w:rPr>
          <w:rFonts w:ascii="Arial" w:cs="Arial" w:eastAsia="Arial" w:hAnsi="Arial"/>
          <w:color w:val="1F2D3D"/>
          <w:sz w:val="22"/>
          <w:szCs w:val="22"/>
        </w:rPr>
        <w:t xml:space="preserve">L'objectif de ce projet est de transformer un dataset Superstore (CSV) en une base de données relationnelle PostgreSQL bien structurée. Les données sont ensuite préparées pour l'analyse en créant des métriques et des vues SQL afin de faciliter leur utilisation dans des outils de visualisation comme Power BI.</w:t>
      </w:r>
    </w:p>
    <w:p>
      <w:pPr>
        <w:pBdr>
          <w:bottom w:val="single" w:color="CCDDEE" w:sz="4" w:space="1"/>
        </w:pBdr>
        <w:spacing w:before="120" w:after="120"/>
      </w:pPr>
    </w:p>
    <w:p>
      <w:pPr>
        <w:pStyle w:val="Heading1"/>
        <w:spacing w:before="360" w:after="160"/>
      </w:pPr>
      <w:r>
        <w:rPr>
          <w:rFonts w:ascii="Arial" w:cs="Arial" w:eastAsia="Arial" w:hAnsi="Arial"/>
          <w:b/>
          <w:bCs/>
          <w:color w:val="2E75B6"/>
          <w:sz w:val="28"/>
          <w:szCs w:val="28"/>
        </w:rPr>
        <w:t xml:space="preserve">1️⃣  Création de la base et connexion</w:t>
      </w:r>
    </w:p>
    <w:p>
      <w:pPr>
        <w:spacing w:before="80" w:after="120"/>
      </w:pPr>
      <w:r>
        <w:rPr>
          <w:rFonts w:ascii="Arial" w:cs="Arial" w:eastAsia="Arial" w:hAnsi="Arial"/>
          <w:color w:val="1F2D3D"/>
          <w:sz w:val="22"/>
          <w:szCs w:val="22"/>
        </w:rPr>
        <w:t xml:space="preserve">La première étape consiste à créer une base de données PostgreSQL appelée superstore_db. Ensuite, une connexion est configurée entre Python et PostgreSQL en utilisant la bibliothèque SQLAlchemy.</w:t>
      </w:r>
    </w:p>
    <w:p>
      <w:pPr>
        <w:spacing w:before="80" w:after="120"/>
      </w:pPr>
      <w:r>
        <w:rPr>
          <w:rFonts w:ascii="Arial" w:cs="Arial" w:eastAsia="Arial" w:hAnsi="Arial"/>
          <w:color w:val="1F2D3D"/>
          <w:sz w:val="22"/>
          <w:szCs w:val="22"/>
        </w:rPr>
        <w:t xml:space="preserve">Cette connexion permet d'exécuter des requêtes SQL depuis Python et de charger les données dans la base de données.</w:t>
      </w:r>
    </w:p>
    <w:p>
      <w:pPr>
        <w:pBdr>
          <w:bottom w:val="single" w:color="CCDDEE" w:sz="4" w:space="1"/>
        </w:pBdr>
        <w:spacing w:before="120" w:after="120"/>
      </w:pPr>
    </w:p>
    <w:p>
      <w:pPr>
        <w:pStyle w:val="Heading1"/>
        <w:spacing w:before="360" w:after="160"/>
      </w:pPr>
      <w:r>
        <w:rPr>
          <w:rFonts w:ascii="Arial" w:cs="Arial" w:eastAsia="Arial" w:hAnsi="Arial"/>
          <w:b/>
          <w:bCs/>
          <w:color w:val="2E75B6"/>
          <w:sz w:val="28"/>
          <w:szCs w:val="28"/>
        </w:rPr>
        <w:t xml:space="preserve">2️⃣  Conception du modèle normalisé</w:t>
      </w:r>
    </w:p>
    <w:p>
      <w:pPr>
        <w:spacing w:before="80" w:after="120"/>
      </w:pPr>
      <w:r>
        <w:rPr>
          <w:rFonts w:ascii="Arial" w:cs="Arial" w:eastAsia="Arial" w:hAnsi="Arial"/>
          <w:color w:val="1F2D3D"/>
          <w:sz w:val="22"/>
          <w:szCs w:val="22"/>
        </w:rPr>
        <w:t xml:space="preserve">À partir du dataset initial, les principales entités ont été identifiées afin de construire un modèle relationnel :</w:t>
      </w:r>
    </w:p>
    <w:p>
      <w:pPr>
        <w:pStyle w:val="ListParagraph"/>
        <w:numPr>
          <w:ilvl w:val="0"/>
          <w:numId w:val="2"/>
        </w:numPr>
        <w:spacing w:before="60" w:after="60"/>
      </w:pPr>
      <w:r>
        <w:rPr>
          <w:rFonts w:ascii="Arial" w:cs="Arial" w:eastAsia="Arial" w:hAnsi="Arial"/>
          <w:color w:val="1F2D3D"/>
          <w:sz w:val="22"/>
          <w:szCs w:val="22"/>
        </w:rPr>
        <w:t xml:space="preserve">Locations</w:t>
      </w:r>
    </w:p>
    <w:p>
      <w:pPr>
        <w:pStyle w:val="ListParagraph"/>
        <w:numPr>
          <w:ilvl w:val="0"/>
          <w:numId w:val="2"/>
        </w:numPr>
        <w:spacing w:before="60" w:after="60"/>
      </w:pPr>
      <w:r>
        <w:rPr>
          <w:rFonts w:ascii="Arial" w:cs="Arial" w:eastAsia="Arial" w:hAnsi="Arial"/>
          <w:color w:val="1F2D3D"/>
          <w:sz w:val="22"/>
          <w:szCs w:val="22"/>
        </w:rPr>
        <w:t xml:space="preserve">Customers</w:t>
      </w:r>
    </w:p>
    <w:p>
      <w:pPr>
        <w:pStyle w:val="ListParagraph"/>
        <w:numPr>
          <w:ilvl w:val="0"/>
          <w:numId w:val="2"/>
        </w:numPr>
        <w:spacing w:before="60" w:after="60"/>
      </w:pPr>
      <w:r>
        <w:rPr>
          <w:rFonts w:ascii="Arial" w:cs="Arial" w:eastAsia="Arial" w:hAnsi="Arial"/>
          <w:color w:val="1F2D3D"/>
          <w:sz w:val="22"/>
          <w:szCs w:val="22"/>
        </w:rPr>
        <w:t xml:space="preserve">Products</w:t>
      </w:r>
    </w:p>
    <w:p>
      <w:pPr>
        <w:pStyle w:val="ListParagraph"/>
        <w:numPr>
          <w:ilvl w:val="0"/>
          <w:numId w:val="2"/>
        </w:numPr>
        <w:spacing w:before="60" w:after="60"/>
      </w:pPr>
      <w:r>
        <w:rPr>
          <w:rFonts w:ascii="Arial" w:cs="Arial" w:eastAsia="Arial" w:hAnsi="Arial"/>
          <w:color w:val="1F2D3D"/>
          <w:sz w:val="22"/>
          <w:szCs w:val="22"/>
        </w:rPr>
        <w:t xml:space="preserve">Orders</w:t>
      </w:r>
    </w:p>
    <w:p>
      <w:pPr>
        <w:pStyle w:val="ListParagraph"/>
        <w:numPr>
          <w:ilvl w:val="0"/>
          <w:numId w:val="2"/>
        </w:numPr>
        <w:spacing w:before="60" w:after="60"/>
      </w:pPr>
      <w:r>
        <w:rPr>
          <w:rFonts w:ascii="Arial" w:cs="Arial" w:eastAsia="Arial" w:hAnsi="Arial"/>
          <w:color w:val="1F2D3D"/>
          <w:sz w:val="22"/>
          <w:szCs w:val="22"/>
        </w:rPr>
        <w:t xml:space="preserve">Order Details</w:t>
      </w:r>
    </w:p>
    <w:p>
      <w:pPr>
        <w:spacing w:before="80"/>
      </w:pPr>
    </w:p>
    <w:p>
      <w:pPr>
        <w:spacing w:before="80" w:after="120"/>
      </w:pPr>
      <w:r>
        <w:rPr>
          <w:rFonts w:ascii="Arial" w:cs="Arial" w:eastAsia="Arial" w:hAnsi="Arial"/>
          <w:color w:val="1F2D3D"/>
          <w:sz w:val="22"/>
          <w:szCs w:val="22"/>
        </w:rPr>
        <w:t xml:space="preserve">Chaque entité correspond à une table dans la base de données. Les Primary Keys ont été définies pour identifier chaque enregistrement de manière unique, et les Foreign Keys ont été utilisées pour créer les relations entre les tables.</w:t>
      </w:r>
    </w:p>
    <w:p>
      <w:pPr>
        <w:spacing w:before="80" w:after="120"/>
      </w:pPr>
      <w:r>
        <w:rPr>
          <w:rFonts w:ascii="Arial" w:cs="Arial" w:eastAsia="Arial" w:hAnsi="Arial"/>
          <w:color w:val="1F2D3D"/>
          <w:sz w:val="22"/>
          <w:szCs w:val="22"/>
        </w:rPr>
        <w:t xml:space="preserve">Le modèle suit les règles de normalisation (1NF, 2NF et 3NF) afin de réduire la redondance des données et garantir leur cohérence.</w:t>
      </w:r>
    </w:p>
    <w:p>
      <w:pPr>
        <w:pBdr>
          <w:bottom w:val="single" w:color="CCDDEE" w:sz="4" w:space="1"/>
        </w:pBdr>
        <w:spacing w:before="120" w:after="120"/>
      </w:pPr>
    </w:p>
    <w:p>
      <w:pPr>
        <w:pStyle w:val="Heading1"/>
        <w:spacing w:before="360" w:after="160"/>
      </w:pPr>
      <w:r>
        <w:rPr>
          <w:rFonts w:ascii="Arial" w:cs="Arial" w:eastAsia="Arial" w:hAnsi="Arial"/>
          <w:b/>
          <w:bCs/>
          <w:color w:val="2E75B6"/>
          <w:sz w:val="28"/>
          <w:szCs w:val="28"/>
        </w:rPr>
        <w:t xml:space="preserve">3️⃣  Chargement des données</w:t>
      </w:r>
    </w:p>
    <w:p>
      <w:pPr>
        <w:spacing w:before="80" w:after="120"/>
      </w:pPr>
      <w:r>
        <w:rPr>
          <w:rFonts w:ascii="Arial" w:cs="Arial" w:eastAsia="Arial" w:hAnsi="Arial"/>
          <w:color w:val="1F2D3D"/>
          <w:sz w:val="22"/>
          <w:szCs w:val="22"/>
        </w:rPr>
        <w:t xml:space="preserve">Le dataset CSV contient initialement toutes les informations dans une seule table. Les données ont été séparées selon la structure des tables créées dans la base de données. Chaque table contient uniquement les informations qui lui correspondent.</w:t>
      </w:r>
    </w:p>
    <w:p>
      <w:pPr>
        <w:spacing w:before="80" w:after="120"/>
      </w:pPr>
      <w:r>
        <w:rPr>
          <w:rFonts w:ascii="Arial" w:cs="Arial" w:eastAsia="Arial" w:hAnsi="Arial"/>
          <w:color w:val="1F2D3D"/>
          <w:sz w:val="22"/>
          <w:szCs w:val="22"/>
        </w:rPr>
        <w:t xml:space="preserve">Avant l'insertion des données, les doublons ont été supprimés en fonction des clés primaires afin d'éviter les erreurs d'intégrité. Les données ont ensuite été insérées dans PostgreSQL dans un ordre respectant les relations entre les tables.</w:t>
      </w:r>
    </w:p>
    <w:p>
      <w:pPr>
        <w:spacing w:before="80" w:after="120"/>
      </w:pPr>
      <w:r>
        <w:rPr>
          <w:rFonts w:ascii="Arial" w:cs="Arial" w:eastAsia="Arial" w:hAnsi="Arial"/>
          <w:color w:val="1F2D3D"/>
          <w:sz w:val="22"/>
          <w:szCs w:val="22"/>
        </w:rPr>
        <w:t xml:space="preserve">Après le chargement, l'intégrité des données et les relations entre tables ont été vérifiées.</w:t>
      </w:r>
    </w:p>
    <w:p>
      <w:pPr>
        <w:pBdr>
          <w:bottom w:val="single" w:color="CCDDEE" w:sz="4" w:space="1"/>
        </w:pBdr>
        <w:spacing w:before="120" w:after="120"/>
      </w:pPr>
    </w:p>
    <w:p>
      <w:pPr>
        <w:pStyle w:val="Heading1"/>
        <w:spacing w:before="360" w:after="160"/>
      </w:pPr>
      <w:r>
        <w:rPr>
          <w:rFonts w:ascii="Arial" w:cs="Arial" w:eastAsia="Arial" w:hAnsi="Arial"/>
          <w:b/>
          <w:bCs/>
          <w:color w:val="2E75B6"/>
          <w:sz w:val="28"/>
          <w:szCs w:val="28"/>
        </w:rPr>
        <w:t xml:space="preserve">4️⃣  Transformations complémentaires</w:t>
      </w:r>
    </w:p>
    <w:p>
      <w:pPr>
        <w:spacing w:before="80" w:after="120"/>
      </w:pPr>
      <w:r>
        <w:rPr>
          <w:rFonts w:ascii="Arial" w:cs="Arial" w:eastAsia="Arial" w:hAnsi="Arial"/>
          <w:color w:val="1F2D3D"/>
          <w:sz w:val="22"/>
          <w:szCs w:val="22"/>
        </w:rPr>
        <w:t xml:space="preserve">Pour faciliter l'analyse, plusieurs métriques analytiques ont été calculées directement dans la base de données. Ces métriques incluent :</w:t>
      </w:r>
    </w:p>
    <w:p>
      <w:pPr>
        <w:pStyle w:val="ListParagraph"/>
        <w:numPr>
          <w:ilvl w:val="0"/>
          <w:numId w:val="2"/>
        </w:numPr>
        <w:spacing w:before="60" w:after="60"/>
      </w:pPr>
      <w:r>
        <w:rPr>
          <w:rFonts w:ascii="Arial" w:cs="Arial" w:eastAsia="Arial" w:hAnsi="Arial"/>
          <w:color w:val="1F2D3D"/>
          <w:sz w:val="22"/>
          <w:szCs w:val="22"/>
        </w:rPr>
        <w:t xml:space="preserve">Total des ventes par produit</w:t>
      </w:r>
    </w:p>
    <w:p>
      <w:pPr>
        <w:pStyle w:val="ListParagraph"/>
        <w:numPr>
          <w:ilvl w:val="0"/>
          <w:numId w:val="2"/>
        </w:numPr>
        <w:spacing w:before="60" w:after="60"/>
      </w:pPr>
      <w:r>
        <w:rPr>
          <w:rFonts w:ascii="Arial" w:cs="Arial" w:eastAsia="Arial" w:hAnsi="Arial"/>
          <w:color w:val="1F2D3D"/>
          <w:sz w:val="22"/>
          <w:szCs w:val="22"/>
        </w:rPr>
        <w:t xml:space="preserve">Total des ventes par catégorie</w:t>
      </w:r>
    </w:p>
    <w:p>
      <w:pPr>
        <w:pStyle w:val="ListParagraph"/>
        <w:numPr>
          <w:ilvl w:val="0"/>
          <w:numId w:val="2"/>
        </w:numPr>
        <w:spacing w:before="60" w:after="60"/>
      </w:pPr>
      <w:r>
        <w:rPr>
          <w:rFonts w:ascii="Arial" w:cs="Arial" w:eastAsia="Arial" w:hAnsi="Arial"/>
          <w:color w:val="1F2D3D"/>
          <w:sz w:val="22"/>
          <w:szCs w:val="22"/>
        </w:rPr>
        <w:t xml:space="preserve">Total des ventes par région</w:t>
      </w:r>
    </w:p>
    <w:p>
      <w:pPr>
        <w:pStyle w:val="ListParagraph"/>
        <w:numPr>
          <w:ilvl w:val="0"/>
          <w:numId w:val="2"/>
        </w:numPr>
        <w:spacing w:before="60" w:after="60"/>
      </w:pPr>
      <w:r>
        <w:rPr>
          <w:rFonts w:ascii="Arial" w:cs="Arial" w:eastAsia="Arial" w:hAnsi="Arial"/>
          <w:color w:val="1F2D3D"/>
          <w:sz w:val="22"/>
          <w:szCs w:val="22"/>
        </w:rPr>
        <w:t xml:space="preserve">Profit moyen par client</w:t>
      </w:r>
    </w:p>
    <w:p>
      <w:pPr>
        <w:spacing w:before="80"/>
      </w:pPr>
    </w:p>
    <w:p>
      <w:pPr>
        <w:spacing w:before="80" w:after="120"/>
      </w:pPr>
      <w:r>
        <w:rPr>
          <w:rFonts w:ascii="Arial" w:cs="Arial" w:eastAsia="Arial" w:hAnsi="Arial"/>
          <w:color w:val="1F2D3D"/>
          <w:sz w:val="22"/>
          <w:szCs w:val="22"/>
        </w:rPr>
        <w:t xml:space="preserve">Ces résultats ont été enregistrés sous forme de vues (views) afin de simplifier les requêtes et d'accélérer l'analyse des données.</w:t>
      </w:r>
    </w:p>
    <w:p>
      <w:pPr>
        <w:pBdr>
          <w:bottom w:val="single" w:color="CCDDEE" w:sz="4" w:space="1"/>
        </w:pBdr>
        <w:spacing w:before="120" w:after="120"/>
      </w:pPr>
    </w:p>
    <w:p>
      <w:pPr>
        <w:pStyle w:val="Heading1"/>
        <w:spacing w:before="360" w:after="160"/>
      </w:pPr>
      <w:r>
        <w:rPr>
          <w:rFonts w:ascii="Arial" w:cs="Arial" w:eastAsia="Arial" w:hAnsi="Arial"/>
          <w:b/>
          <w:bCs/>
          <w:color w:val="2E75B6"/>
          <w:sz w:val="28"/>
          <w:szCs w:val="28"/>
        </w:rPr>
        <w:t xml:space="preserve">5️⃣  Préparation pour la visualisation</w:t>
      </w:r>
    </w:p>
    <w:p>
      <w:pPr>
        <w:spacing w:before="80" w:after="120"/>
      </w:pPr>
      <w:r>
        <w:rPr>
          <w:rFonts w:ascii="Arial" w:cs="Arial" w:eastAsia="Arial" w:hAnsi="Arial"/>
          <w:color w:val="1F2D3D"/>
          <w:sz w:val="22"/>
          <w:szCs w:val="22"/>
        </w:rPr>
        <w:t xml:space="preserve">La base de données a été organisée de manière à être facilement utilisée par des outils de visualisation. Les relations entre les tables permettent des jointures simples et efficaces. Les vues créées offrent un accès rapide aux indicateurs clés nécessaires à l'analyse.</w:t>
      </w:r>
    </w:p>
    <w:p>
      <w:pPr>
        <w:spacing w:before="80" w:after="120"/>
      </w:pPr>
      <w:r>
        <w:rPr>
          <w:rFonts w:ascii="Arial" w:cs="Arial" w:eastAsia="Arial" w:hAnsi="Arial"/>
          <w:color w:val="1F2D3D"/>
          <w:sz w:val="22"/>
          <w:szCs w:val="22"/>
        </w:rPr>
        <w:t xml:space="preserve">Cette structure permet de connecter facilement la base de données à des outils de Business Intelligence comme Power BI pour créer des tableaux de bord et analyser les performances commerciales.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color w:val="888888"/>
        <w:sz w:val="18"/>
        <w:szCs w:val="18"/>
      </w:rPr>
      <w:t xml:space="preserve">Superstore DB Project</w:t>
    </w:r>
    <w:r>
      <w:rPr>
        <w:rFonts w:ascii="Arial" w:cs="Arial" w:eastAsia="Arial" w:hAnsi="Arial"/>
        <w:sz w:val="18"/>
        <w:szCs w:val="18"/>
      </w:rPr>
      <w:tab/>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88888"/>
        <w:sz w:val="18"/>
        <w:szCs w:val="18"/>
      </w:rPr>
      <w:t xml:space="preserve">Documentation du Projet : Superstore Database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75B6"/>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2026-03-07T02:16:47.132Z</dcterms:created>
  <dcterms:modified xsi:type="dcterms:W3CDTF">2026-03-07T02:16:47.133Z</dcterms:modified>
</cp:coreProperties>
</file>

<file path=docProps/custom.xml><?xml version="1.0" encoding="utf-8"?>
<Properties xmlns="http://schemas.openxmlformats.org/officeDocument/2006/custom-properties" xmlns:vt="http://schemas.openxmlformats.org/officeDocument/2006/docPropsVTypes"/>
</file>