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9090220"/>
        <w:docPartObj>
          <w:docPartGallery w:val="Cover Pages"/>
          <w:docPartUnique/>
        </w:docPartObj>
      </w:sdtPr>
      <w:sdtEndPr>
        <w:rPr>
          <w:rFonts w:ascii="Arial" w:hAnsi="Arial" w:cs="Arial"/>
          <w:sz w:val="24"/>
          <w:szCs w:val="24"/>
        </w:rPr>
      </w:sdtEndPr>
      <w:sdtContent>
        <w:p w14:paraId="402C863C" w14:textId="2061ED91" w:rsidR="0074498A" w:rsidRDefault="0074498A"/>
        <w:tbl>
          <w:tblPr>
            <w:tblpPr w:leftFromText="187" w:rightFromText="187" w:horzAnchor="margin" w:tblpXSpec="center" w:tblpY="2881"/>
            <w:tblW w:w="4585" w:type="pct"/>
            <w:tblBorders>
              <w:left w:val="single" w:sz="12" w:space="0" w:color="4472C4" w:themeColor="accent1"/>
            </w:tblBorders>
            <w:tblCellMar>
              <w:left w:w="144" w:type="dxa"/>
              <w:right w:w="115" w:type="dxa"/>
            </w:tblCellMar>
            <w:tblLook w:val="04A0" w:firstRow="1" w:lastRow="0" w:firstColumn="1" w:lastColumn="0" w:noHBand="0" w:noVBand="1"/>
          </w:tblPr>
          <w:tblGrid>
            <w:gridCol w:w="8305"/>
          </w:tblGrid>
          <w:tr w:rsidR="0074498A" w14:paraId="6D3A805D" w14:textId="77777777" w:rsidTr="00602921">
            <w:trPr>
              <w:trHeight w:val="230"/>
            </w:trPr>
            <w:sdt>
              <w:sdtPr>
                <w:rPr>
                  <w:color w:val="2F5496" w:themeColor="accent1" w:themeShade="BF"/>
                  <w:sz w:val="24"/>
                  <w:szCs w:val="24"/>
                </w:rPr>
                <w:alias w:val="Société"/>
                <w:id w:val="13406915"/>
                <w:placeholder>
                  <w:docPart w:val="A5469844046E425BAC30FFE271BE41D4"/>
                </w:placeholder>
                <w:dataBinding w:prefixMappings="xmlns:ns0='http://schemas.openxmlformats.org/officeDocument/2006/extended-properties'" w:xpath="/ns0:Properties[1]/ns0:Company[1]" w:storeItemID="{6668398D-A668-4E3E-A5EB-62B293D839F1}"/>
                <w:text/>
              </w:sdtPr>
              <w:sdtContent>
                <w:tc>
                  <w:tcPr>
                    <w:tcW w:w="8305" w:type="dxa"/>
                    <w:tcMar>
                      <w:top w:w="216" w:type="dxa"/>
                      <w:left w:w="115" w:type="dxa"/>
                      <w:bottom w:w="216" w:type="dxa"/>
                      <w:right w:w="115" w:type="dxa"/>
                    </w:tcMar>
                  </w:tcPr>
                  <w:p w14:paraId="07268EA2" w14:textId="06EDCF4F" w:rsidR="0074498A" w:rsidRDefault="004E0C2B">
                    <w:pPr>
                      <w:pStyle w:val="Sansinterligne"/>
                      <w:rPr>
                        <w:color w:val="2F5496" w:themeColor="accent1" w:themeShade="BF"/>
                        <w:sz w:val="24"/>
                      </w:rPr>
                    </w:pPr>
                    <w:r>
                      <w:rPr>
                        <w:color w:val="2F5496" w:themeColor="accent1" w:themeShade="BF"/>
                        <w:sz w:val="24"/>
                        <w:szCs w:val="24"/>
                      </w:rPr>
                      <w:t>Bouygues Telecom</w:t>
                    </w:r>
                  </w:p>
                </w:tc>
              </w:sdtContent>
            </w:sdt>
          </w:tr>
          <w:tr w:rsidR="0074498A" w14:paraId="6773C830" w14:textId="77777777" w:rsidTr="00602921">
            <w:trPr>
              <w:trHeight w:val="1594"/>
            </w:trPr>
            <w:tc>
              <w:tcPr>
                <w:tcW w:w="8305" w:type="dxa"/>
              </w:tcPr>
              <w:sdt>
                <w:sdtPr>
                  <w:rPr>
                    <w:rFonts w:asciiTheme="majorHAnsi" w:eastAsiaTheme="majorEastAsia" w:hAnsiTheme="majorHAnsi" w:cstheme="majorBidi"/>
                    <w:color w:val="4472C4" w:themeColor="accent1"/>
                    <w:sz w:val="88"/>
                    <w:szCs w:val="88"/>
                  </w:rPr>
                  <w:alias w:val="Titre"/>
                  <w:id w:val="13406919"/>
                  <w:placeholder>
                    <w:docPart w:val="8188193A0614420E982EABAECDE71DCB"/>
                  </w:placeholder>
                  <w:dataBinding w:prefixMappings="xmlns:ns0='http://schemas.openxmlformats.org/package/2006/metadata/core-properties' xmlns:ns1='http://purl.org/dc/elements/1.1/'" w:xpath="/ns0:coreProperties[1]/ns1:title[1]" w:storeItemID="{6C3C8BC8-F283-45AE-878A-BAB7291924A1}"/>
                  <w:text/>
                </w:sdtPr>
                <w:sdtContent>
                  <w:p w14:paraId="785B73BB" w14:textId="373A9F62" w:rsidR="0074498A" w:rsidRDefault="00625D55">
                    <w:pPr>
                      <w:pStyle w:val="Sansinterligne"/>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PAPRIKA</w:t>
                    </w:r>
                  </w:p>
                </w:sdtContent>
              </w:sdt>
            </w:tc>
          </w:tr>
          <w:tr w:rsidR="0074498A" w14:paraId="5C2C0771" w14:textId="77777777" w:rsidTr="00602921">
            <w:trPr>
              <w:trHeight w:val="230"/>
            </w:trPr>
            <w:sdt>
              <w:sdtPr>
                <w:rPr>
                  <w:color w:val="2F5496" w:themeColor="accent1" w:themeShade="BF"/>
                  <w:sz w:val="24"/>
                  <w:szCs w:val="24"/>
                </w:rPr>
                <w:alias w:val="Sous-titre"/>
                <w:id w:val="13406923"/>
                <w:placeholder>
                  <w:docPart w:val="9068803706344EB3915A397767D8CEA5"/>
                </w:placeholder>
                <w:dataBinding w:prefixMappings="xmlns:ns0='http://schemas.openxmlformats.org/package/2006/metadata/core-properties' xmlns:ns1='http://purl.org/dc/elements/1.1/'" w:xpath="/ns0:coreProperties[1]/ns1:subject[1]" w:storeItemID="{6C3C8BC8-F283-45AE-878A-BAB7291924A1}"/>
                <w:text/>
              </w:sdtPr>
              <w:sdtContent>
                <w:tc>
                  <w:tcPr>
                    <w:tcW w:w="8305" w:type="dxa"/>
                    <w:tcMar>
                      <w:top w:w="216" w:type="dxa"/>
                      <w:left w:w="115" w:type="dxa"/>
                      <w:bottom w:w="216" w:type="dxa"/>
                      <w:right w:w="115" w:type="dxa"/>
                    </w:tcMar>
                  </w:tcPr>
                  <w:p w14:paraId="5FD3D1FF" w14:textId="4D7C30AB" w:rsidR="0074498A" w:rsidRDefault="00365C13">
                    <w:pPr>
                      <w:pStyle w:val="Sansinterligne"/>
                      <w:rPr>
                        <w:color w:val="2F5496" w:themeColor="accent1" w:themeShade="BF"/>
                        <w:sz w:val="24"/>
                      </w:rPr>
                    </w:pPr>
                    <w:r>
                      <w:rPr>
                        <w:color w:val="2F5496" w:themeColor="accent1" w:themeShade="BF"/>
                        <w:sz w:val="24"/>
                        <w:szCs w:val="24"/>
                      </w:rPr>
                      <w:t>Expression du besoin — AuditFlow Pro</w:t>
                    </w:r>
                  </w:p>
                </w:tc>
              </w:sdtContent>
            </w:sdt>
          </w:tr>
        </w:tbl>
        <w:p w14:paraId="28F67826" w14:textId="77777777" w:rsidR="006E782C" w:rsidRDefault="0074498A">
          <w:pPr>
            <w:spacing w:after="160" w:line="259" w:lineRule="auto"/>
            <w:rPr>
              <w:rFonts w:ascii="Arial" w:hAnsi="Arial" w:cs="Arial"/>
              <w:sz w:val="24"/>
              <w:szCs w:val="24"/>
            </w:rPr>
          </w:pPr>
          <w:r>
            <w:rPr>
              <w:rFonts w:ascii="Arial" w:hAnsi="Arial" w:cs="Arial"/>
              <w:sz w:val="24"/>
              <w:szCs w:val="24"/>
            </w:rPr>
            <w:br w:type="page"/>
          </w:r>
        </w:p>
      </w:sdtContent>
    </w:sdt>
    <w:p>
      <w:pPr>
        <w:pStyle w:val="Titre1"/>
        <w:keepNext/>
        <w:spacing w:before="180" w:after="100" w:line="264" w:lineRule="auto"/>
        <w:jc w:val="left"/>
      </w:pPr>
      <w:r>
        <w:rPr>
          <w:rFonts w:ascii="Arial" w:hAnsi="Arial" w:cs="Arial"/>
          <w:sz w:val="24"/>
          <w:b/>
        </w:rPr>
        <w:t xml:space="preserve">TABLE DES MATIERES</w:t>
      </w:r>
    </w:p>
    <w:p>
      <w:pPr>
        <w:spacing w:before="100" w:after="100" w:line="264" w:lineRule="auto"/>
        <w:jc w:val="left"/>
      </w:pPr>
      <w:r>
        <w:rPr>
          <w:rFonts w:ascii="Arial" w:hAnsi="Arial" w:cs="Arial"/>
          <w:sz w:val="22"/>
        </w:rPr>
        <w:t xml:space="preserve">Détails du processus ................................................ 2</w:t>
      </w:r>
    </w:p>
    <w:p>
      <w:pPr>
        <w:spacing w:before="100" w:after="100" w:line="264" w:lineRule="auto"/>
        <w:jc w:val="left"/>
      </w:pPr>
      <w:r>
        <w:rPr>
          <w:rFonts w:ascii="Arial" w:hAnsi="Arial" w:cs="Arial"/>
          <w:sz w:val="22"/>
        </w:rPr>
        <w:t xml:space="preserve">Prérequis et données du processus .............................. 3</w:t>
      </w:r>
    </w:p>
    <w:p>
      <w:pPr>
        <w:spacing w:before="100" w:after="100" w:line="264" w:lineRule="auto"/>
        <w:jc w:val="left"/>
      </w:pPr>
      <w:r>
        <w:rPr>
          <w:rFonts w:ascii="Arial" w:hAnsi="Arial" w:cs="Arial"/>
          <w:sz w:val="22"/>
        </w:rPr>
        <w:t xml:space="preserve">Diagramme du processus ........................................... 4</w:t>
      </w:r>
    </w:p>
    <w:p>
      <w:pPr>
        <w:spacing w:before="100" w:after="100" w:line="264" w:lineRule="auto"/>
        <w:jc w:val="left"/>
      </w:pPr>
      <w:r>
        <w:rPr>
          <w:rFonts w:ascii="Arial" w:hAnsi="Arial" w:cs="Arial"/>
          <w:sz w:val="22"/>
        </w:rPr>
        <w:t xml:space="preserve">Règles de gestion des audits ...................................... 5</w:t>
      </w:r>
    </w:p>
    <w:p>
      <w:pPr>
        <w:spacing w:before="100" w:after="100" w:line="264" w:lineRule="auto"/>
        <w:jc w:val="left"/>
      </w:pPr>
      <w:r>
        <w:rPr>
          <w:rFonts w:ascii="Arial" w:hAnsi="Arial" w:cs="Arial"/>
          <w:sz w:val="22"/>
        </w:rPr>
        <w:t xml:space="preserve">Règles des modules complémentaires .......................... 6</w:t>
      </w:r>
    </w:p>
    <w:p>
      <w:pPr>
        <w:spacing w:before="100" w:after="100" w:line="264" w:lineRule="auto"/>
        <w:jc w:val="left"/>
      </w:pPr>
      <w:r>
        <w:rPr>
          <w:rFonts w:ascii="Arial" w:hAnsi="Arial" w:cs="Arial"/>
          <w:sz w:val="22"/>
        </w:rPr>
        <w:t xml:space="preserve">Correction et critères de recette ................................ 7</w:t>
      </w:r>
    </w:p>
    <w:p>
      <w:pPr>
        <w:spacing w:before="100" w:after="100" w:line="264" w:lineRule="auto"/>
        <w:jc w:val="left"/>
      </w:pPr>
      <w:r>
        <w:rPr>
          <w:rFonts w:ascii="Arial" w:hAnsi="Arial" w:cs="Arial"/>
          <w:sz w:val="22"/>
        </w:rPr>
        <w:t xml:space="preserve">Gestion des exceptions ............................................. 8</w:t>
      </w:r>
    </w:p>
    <w:p>
      <w:pPr>
        <w:spacing w:before="100" w:after="100" w:line="264" w:lineRule="auto"/>
        <w:jc w:val="left"/>
      </w:pPr>
      <w:r>
        <w:rPr>
          <w:rFonts w:ascii="Arial" w:hAnsi="Arial" w:cs="Arial"/>
          <w:sz w:val="22"/>
        </w:rPr>
        <w:t xml:space="preserve">ROI et exploitation .................................................... 9</w:t>
      </w:r>
    </w:p>
    <w:p>
      <w:pPr>
        <w:pStyle w:val="Titre1"/>
        <w:keepNext/>
        <w:spacing w:before="180" w:after="100" w:line="264" w:lineRule="auto"/>
        <w:jc w:val="left"/>
      </w:pPr>
      <w:r>
        <w:rPr>
          <w:rFonts w:ascii="Arial" w:hAnsi="Arial" w:cs="Arial"/>
          <w:sz w:val="24"/>
          <w:b/>
        </w:rPr>
        <w:t xml:space="preserve">HISTORIQUE DES VERSIONS DU DOCUMENT</w:t>
      </w:r>
    </w:p>
    <w:tbl>
      <w:tblPr>
        <w:tblStyle w:val="Grilledutableau"/>
        <w:tblW w:w="9072" w:type="dxa"/>
        <w:tblLayout w:type="fixed"/>
        <w:tblBorders>
          <w:top w:val="single" w:sz="4" w:color="A6A6A6"/>
          <w:left w:val="single" w:sz="4" w:color="A6A6A6"/>
          <w:bottom w:val="single" w:sz="4" w:color="A6A6A6"/>
          <w:right w:val="single" w:sz="4" w:color="A6A6A6"/>
          <w:insideH w:val="single" w:sz="4" w:color="A6A6A6"/>
          <w:insideV w:val="single" w:sz="4" w:color="A6A6A6"/>
        </w:tblBorders>
        <w:tblCellMar>
          <w:top w:w="85" w:type="dxa"/>
          <w:left w:w="85" w:type="dxa"/>
          <w:bottom w:w="85" w:type="dxa"/>
          <w:right w:w="85" w:type="dxa"/>
        </w:tblCellMar>
      </w:tblPr>
      <w:tblGrid>
        <w:gridCol w:w="1400"/>
        <w:gridCol w:w="1000"/>
        <w:gridCol w:w="1700"/>
        <w:gridCol w:w="4972"/>
      </w:tblGrid>
      <w:tr>
        <w:trPr>
          <w:cantSplit/>
          <w:tblHeader/>
        </w:trPr>
        <w:tc>
          <w:tcPr>
            <w:tcW w:w="1400" w:type="dxa"/>
            <w:vAlign w:val="center"/>
            <w:shd w:val="clear" w:fill="B4C6E7"/>
          </w:tcPr>
          <w:p>
            <w:pPr>
              <w:spacing w:before="40" w:after="40" w:line="264" w:lineRule="auto"/>
              <w:jc w:val="left"/>
            </w:pPr>
            <w:r>
              <w:rPr>
                <w:rFonts w:ascii="Arial" w:hAnsi="Arial" w:cs="Arial"/>
                <w:sz w:val="20"/>
                <w:b/>
              </w:rPr>
              <w:t xml:space="preserve">Date</w:t>
            </w:r>
          </w:p>
        </w:tc>
        <w:tc>
          <w:tcPr>
            <w:tcW w:w="1000" w:type="dxa"/>
            <w:vAlign w:val="center"/>
            <w:shd w:val="clear" w:fill="B4C6E7"/>
          </w:tcPr>
          <w:p>
            <w:pPr>
              <w:spacing w:before="40" w:after="40" w:line="264" w:lineRule="auto"/>
              <w:jc w:val="left"/>
            </w:pPr>
            <w:r>
              <w:rPr>
                <w:rFonts w:ascii="Arial" w:hAnsi="Arial" w:cs="Arial"/>
                <w:sz w:val="20"/>
                <w:b/>
              </w:rPr>
              <w:t xml:space="preserve">Version</w:t>
            </w:r>
          </w:p>
        </w:tc>
        <w:tc>
          <w:tcPr>
            <w:tcW w:w="1700" w:type="dxa"/>
            <w:vAlign w:val="center"/>
            <w:shd w:val="clear" w:fill="B4C6E7"/>
          </w:tcPr>
          <w:p>
            <w:pPr>
              <w:spacing w:before="40" w:after="40" w:line="264" w:lineRule="auto"/>
              <w:jc w:val="left"/>
            </w:pPr>
            <w:r>
              <w:rPr>
                <w:rFonts w:ascii="Arial" w:hAnsi="Arial" w:cs="Arial"/>
                <w:sz w:val="20"/>
                <w:b/>
              </w:rPr>
              <w:t xml:space="preserve">Auteur</w:t>
            </w:r>
          </w:p>
        </w:tc>
        <w:tc>
          <w:tcPr>
            <w:tcW w:w="4972" w:type="dxa"/>
            <w:vAlign w:val="center"/>
            <w:shd w:val="clear" w:fill="B4C6E7"/>
          </w:tcPr>
          <w:p>
            <w:pPr>
              <w:spacing w:before="40" w:after="40" w:line="264" w:lineRule="auto"/>
              <w:jc w:val="left"/>
            </w:pPr>
            <w:r>
              <w:rPr>
                <w:rFonts w:ascii="Arial" w:hAnsi="Arial" w:cs="Arial"/>
                <w:sz w:val="20"/>
                <w:b/>
              </w:rPr>
              <w:t xml:space="preserve">Commentaire</w:t>
            </w:r>
          </w:p>
        </w:tc>
      </w:tr>
      <w:tr>
        <w:trPr>
          <w:cantSplit/>
        </w:trPr>
        <w:tc>
          <w:tcPr>
            <w:tcW w:w="1400" w:type="dxa"/>
            <w:vAlign w:val="center"/>
          </w:tcPr>
          <w:p>
            <w:pPr>
              <w:spacing w:before="40" w:after="40" w:line="264" w:lineRule="auto"/>
              <w:jc w:val="left"/>
            </w:pPr>
            <w:r>
              <w:rPr>
                <w:rFonts w:ascii="Arial" w:hAnsi="Arial" w:cs="Arial"/>
                <w:sz w:val="20"/>
              </w:rPr>
              <w:t xml:space="preserve">22/10/2026</w:t>
            </w:r>
          </w:p>
        </w:tc>
        <w:tc>
          <w:tcPr>
            <w:tcW w:w="1000" w:type="dxa"/>
            <w:vAlign w:val="center"/>
          </w:tcPr>
          <w:p>
            <w:pPr>
              <w:spacing w:before="40" w:after="40" w:line="264" w:lineRule="auto"/>
              <w:jc w:val="left"/>
            </w:pPr>
            <w:r>
              <w:rPr>
                <w:rFonts w:ascii="Arial" w:hAnsi="Arial" w:cs="Arial"/>
                <w:sz w:val="20"/>
              </w:rPr>
              <w:t xml:space="preserve">0.1</w:t>
            </w:r>
          </w:p>
        </w:tc>
        <w:tc>
          <w:tcPr>
            <w:tcW w:w="1700" w:type="dxa"/>
            <w:vAlign w:val="center"/>
          </w:tcPr>
          <w:p>
            <w:pPr>
              <w:spacing w:before="40" w:after="40" w:line="264" w:lineRule="auto"/>
              <w:jc w:val="left"/>
            </w:pPr>
            <w:r>
              <w:rPr>
                <w:rFonts w:ascii="Arial" w:hAnsi="Arial" w:cs="Arial"/>
                <w:sz w:val="20"/>
              </w:rPr>
              <w:t xml:space="preserve">À confirmer</w:t>
            </w:r>
          </w:p>
        </w:tc>
        <w:tc>
          <w:tcPr>
            <w:tcW w:w="4972" w:type="dxa"/>
            <w:vAlign w:val="center"/>
          </w:tcPr>
          <w:p>
            <w:pPr>
              <w:spacing w:before="40" w:after="40" w:line="264" w:lineRule="auto"/>
              <w:jc w:val="left"/>
            </w:pPr>
            <w:r>
              <w:rPr>
                <w:rFonts w:ascii="Arial" w:hAnsi="Arial" w:cs="Arial"/>
                <w:sz w:val="20"/>
              </w:rPr>
              <w:t xml:space="preserve">Première rédaction pour validation métier et technique</w:t>
            </w:r>
          </w:p>
        </w:tc>
      </w:tr>
    </w:tbl>
    <w:p>
      <w:pPr>
        <w:spacing w:before="100" w:after="100" w:line="264" w:lineRule="auto"/>
        <w:jc w:val="left"/>
      </w:pPr>
      <w:r>
        <w:rPr>
          <w:rFonts w:ascii="Arial" w:hAnsi="Arial" w:cs="Arial"/>
          <w:sz w:val="4"/>
        </w:rPr>
        <w:t xml:space="preserve"/>
      </w:r>
    </w:p>
    <w:p>
      <w:pPr>
        <w:spacing w:before="100" w:after="100" w:line="264" w:lineRule="auto"/>
        <w:jc w:val="left"/>
      </w:pPr>
      <w:r>
        <w:rPr>
          <w:rFonts w:ascii="Arial" w:hAnsi="Arial" w:cs="Arial"/>
          <w:sz w:val="22"/>
          <w:b/>
        </w:rPr>
        <w:t xml:space="preserve">Statut du document : projet d’EB à valider.</w:t>
      </w:r>
    </w:p>
    <w:p>
      <w:pPr>
        <w:spacing w:before="100" w:after="100" w:line="264" w:lineRule="auto"/>
        <w:jc w:val="left"/>
      </w:pPr>
      <w:r>
        <w:rPr>
          <w:rFonts w:ascii="Arial" w:hAnsi="Arial" w:cs="Arial"/>
          <w:sz w:val="22"/>
        </w:rPr>
        <w:t xml:space="preserve">Cette expression du besoin décrit l’audit et la gouvernance des modèles BPMN avec Paprika AuditFlow Pro. Elle reprend les rubriques de l’exemple fourni et les adapte au fonctionnement de l’application. Les mentions « à confirmer » identifient les décisions et données non disponibles.</w:t>
      </w:r>
    </w:p>
    <w:p>
      <w:pPr>
        <w:pStyle w:val="Titre1"/>
        <w:pageBreakBefore/>
        <w:keepNext/>
        <w:spacing w:before="180" w:after="100" w:line="264" w:lineRule="auto"/>
        <w:jc w:val="left"/>
      </w:pPr>
      <w:r>
        <w:rPr>
          <w:rFonts w:ascii="Arial" w:hAnsi="Arial" w:cs="Arial"/>
          <w:sz w:val="24"/>
          <w:b/>
        </w:rPr>
        <w:t xml:space="preserve">DETAILS DU PROCESSUS</w:t>
      </w:r>
    </w:p>
    <w:p>
      <w:pPr>
        <w:pStyle w:val="Titre2"/>
        <w:numPr>
          <w:numId w:val="0"/>
        </w:numPr>
        <w:keepNext/>
        <w:spacing w:before="180" w:after="100" w:line="264" w:lineRule="auto"/>
        <w:jc w:val="left"/>
      </w:pPr>
      <w:r>
        <w:rPr>
          <w:rFonts w:ascii="Arial" w:hAnsi="Arial" w:cs="Arial"/>
          <w:sz w:val="22"/>
          <w:b/>
        </w:rPr>
        <w:t xml:space="preserve">Objectifs du processus</w:t>
      </w:r>
    </w:p>
    <w:p>
      <w:pPr>
        <w:spacing w:before="100" w:after="100" w:line="264" w:lineRule="auto"/>
        <w:jc w:val="left"/>
      </w:pPr>
      <w:r>
        <w:rPr>
          <w:rFonts w:ascii="Arial" w:hAnsi="Arial" w:cs="Arial"/>
          <w:sz w:val="22"/>
        </w:rPr>
        <w:t xml:space="preserve">Le besoin est de réduire les contrôles manuels et d’améliorer la qualité des processus Camunda 7 et Camunda 8 Zeebe avant leur mise en service. Paprika doit permettre aux équipes de charger leurs modèles, d’identifier les anomalies et dépendances, puis de produire les éléments utiles à la correction et à la documentation.</w:t>
      </w:r>
    </w:p>
    <w:p>
      <w:pPr>
        <w:spacing w:before="100" w:after="100" w:line="264" w:lineRule="auto"/>
        <w:jc w:val="left"/>
      </w:pPr>
      <w:r>
        <w:rPr>
          <w:rFonts w:ascii="Arial" w:hAnsi="Arial" w:cs="Arial"/>
          <w:sz w:val="22"/>
        </w:rPr>
        <w:t xml:space="preserve">La priorité proposée est l’audit des variables et de la santé des BPMN, complété par la cartographie des sous-processus. La matrice PMG, le comparateur de versions et le simulateur de ROI soutiennent les revues et la gouvernance. Cet ordre de priorité reste à valider par le responsable métier.</w:t>
      </w:r>
    </w:p>
    <w:p>
      <w:pPr>
        <w:pStyle w:val="Titre2"/>
        <w:numPr>
          <w:numId w:val="0"/>
        </w:numPr>
        <w:keepNext/>
        <w:spacing w:before="180" w:after="100" w:line="264" w:lineRule="auto"/>
        <w:jc w:val="left"/>
      </w:pPr>
      <w:r>
        <w:rPr>
          <w:rFonts w:ascii="Arial" w:hAnsi="Arial" w:cs="Arial"/>
          <w:sz w:val="22"/>
          <w:b/>
        </w:rPr>
        <w:t xml:space="preserve">Périmètre fonctionnel</w:t>
      </w:r>
    </w:p>
    <w:p>
      <w:pPr>
        <w:spacing w:before="100" w:after="100" w:line="264" w:lineRule="auto"/>
        <w:jc w:val="left"/>
      </w:pPr>
      <w:r>
        <w:rPr>
          <w:rFonts w:ascii="Arial" w:hAnsi="Arial" w:cs="Arial"/>
          <w:sz w:val="22"/>
        </w:rPr>
        <w:t xml:space="preserve">Le périmètre comprend l’import de fichiers, l’application de règles configurables, l’analyse des variables et des appels, les contrôles de structure et de nommage, la documentation PMG, la comparaison de deux versions et les exports. Les corrections sont proposées à l’utilisateur et appliquées sur des copies.</w:t>
      </w:r>
    </w:p>
    <w:p>
      <w:pPr>
        <w:spacing w:before="100" w:after="100" w:line="264" w:lineRule="auto"/>
        <w:jc w:val="left"/>
      </w:pPr>
      <w:r>
        <w:rPr>
          <w:rFonts w:ascii="Arial" w:hAnsi="Arial" w:cs="Arial"/>
          <w:sz w:val="22"/>
        </w:rPr>
        <w:t xml:space="preserve">L’analyse est statique et déclenchée par l’utilisateur. L’exécution des processus, le déploiement sur Camunda, la modification automatique de la production et l’envoi automatique de courriels ne font pas partie du parcours décrit.</w:t>
      </w:r>
    </w:p>
    <w:p>
      <w:pPr>
        <w:pStyle w:val="Titre2"/>
        <w:numPr>
          <w:numId w:val="0"/>
        </w:numPr>
        <w:keepNext/>
        <w:spacing w:before="180" w:after="100" w:line="264" w:lineRule="auto"/>
        <w:jc w:val="left"/>
      </w:pPr>
      <w:r>
        <w:rPr>
          <w:rFonts w:ascii="Arial" w:hAnsi="Arial" w:cs="Arial"/>
          <w:sz w:val="22"/>
          <w:b/>
        </w:rPr>
        <w:t xml:space="preserve">Contacts clés</w:t>
      </w:r>
    </w:p>
    <w:tbl>
      <w:tblPr>
        <w:tblStyle w:val="Grilledutableau"/>
        <w:tblW w:w="9072" w:type="dxa"/>
        <w:tblLayout w:type="fixed"/>
        <w:tblBorders>
          <w:top w:val="single" w:sz="4" w:color="A6A6A6"/>
          <w:left w:val="single" w:sz="4" w:color="A6A6A6"/>
          <w:bottom w:val="single" w:sz="4" w:color="A6A6A6"/>
          <w:right w:val="single" w:sz="4" w:color="A6A6A6"/>
          <w:insideH w:val="single" w:sz="4" w:color="A6A6A6"/>
          <w:insideV w:val="single" w:sz="4" w:color="A6A6A6"/>
        </w:tblBorders>
        <w:tblCellMar>
          <w:top w:w="85" w:type="dxa"/>
          <w:left w:w="85" w:type="dxa"/>
          <w:bottom w:w="85" w:type="dxa"/>
          <w:right w:w="85" w:type="dxa"/>
        </w:tblCellMar>
      </w:tblPr>
      <w:tblGrid>
        <w:gridCol w:w="2400"/>
        <w:gridCol w:w="2300"/>
        <w:gridCol w:w="4372"/>
      </w:tblGrid>
      <w:tr>
        <w:trPr>
          <w:cantSplit/>
          <w:tblHeader/>
        </w:trPr>
        <w:tc>
          <w:tcPr>
            <w:tcW w:w="2400" w:type="dxa"/>
            <w:vAlign w:val="center"/>
            <w:shd w:val="clear" w:fill="B4C6E7"/>
          </w:tcPr>
          <w:p>
            <w:pPr>
              <w:spacing w:before="40" w:after="40" w:line="264" w:lineRule="auto"/>
              <w:jc w:val="left"/>
            </w:pPr>
            <w:r>
              <w:rPr>
                <w:rFonts w:ascii="Arial" w:hAnsi="Arial" w:cs="Arial"/>
                <w:sz w:val="20"/>
                <w:b/>
              </w:rPr>
              <w:t xml:space="preserve">Rôle</w:t>
            </w:r>
          </w:p>
        </w:tc>
        <w:tc>
          <w:tcPr>
            <w:tcW w:w="2300" w:type="dxa"/>
            <w:vAlign w:val="center"/>
            <w:shd w:val="clear" w:fill="B4C6E7"/>
          </w:tcPr>
          <w:p>
            <w:pPr>
              <w:spacing w:before="40" w:after="40" w:line="264" w:lineRule="auto"/>
              <w:jc w:val="left"/>
            </w:pPr>
            <w:r>
              <w:rPr>
                <w:rFonts w:ascii="Arial" w:hAnsi="Arial" w:cs="Arial"/>
                <w:sz w:val="20"/>
                <w:b/>
              </w:rPr>
              <w:t xml:space="preserve">Nom et coordonnées</w:t>
            </w:r>
          </w:p>
        </w:tc>
        <w:tc>
          <w:tcPr>
            <w:tcW w:w="4372" w:type="dxa"/>
            <w:vAlign w:val="center"/>
            <w:shd w:val="clear" w:fill="B4C6E7"/>
          </w:tcPr>
          <w:p>
            <w:pPr>
              <w:spacing w:before="40" w:after="40" w:line="264" w:lineRule="auto"/>
              <w:jc w:val="left"/>
            </w:pPr>
            <w:r>
              <w:rPr>
                <w:rFonts w:ascii="Arial" w:hAnsi="Arial" w:cs="Arial"/>
                <w:sz w:val="20"/>
                <w:b/>
              </w:rPr>
              <w:t xml:space="preserve">Responsabilité attendue</w:t>
            </w:r>
          </w:p>
        </w:tc>
      </w:tr>
      <w:tr>
        <w:trPr>
          <w:cantSplit/>
        </w:trPr>
        <w:tc>
          <w:tcPr>
            <w:tcW w:w="2400" w:type="dxa"/>
            <w:vAlign w:val="center"/>
          </w:tcPr>
          <w:p>
            <w:pPr>
              <w:spacing w:before="40" w:after="40" w:line="264" w:lineRule="auto"/>
              <w:jc w:val="left"/>
            </w:pPr>
            <w:r>
              <w:rPr>
                <w:rFonts w:ascii="Arial" w:hAnsi="Arial" w:cs="Arial"/>
                <w:sz w:val="20"/>
              </w:rPr>
              <w:t xml:space="preserve">Sponsor ou responsable métier</w:t>
            </w:r>
          </w:p>
        </w:tc>
        <w:tc>
          <w:tcPr>
            <w:tcW w:w="2300" w:type="dxa"/>
            <w:vAlign w:val="center"/>
          </w:tcPr>
          <w:p>
            <w:pPr>
              <w:spacing w:before="40" w:after="40" w:line="264" w:lineRule="auto"/>
              <w:jc w:val="left"/>
            </w:pPr>
            <w:r>
              <w:rPr>
                <w:rFonts w:ascii="Arial" w:hAnsi="Arial" w:cs="Arial"/>
                <w:sz w:val="20"/>
              </w:rPr>
              <w:t xml:space="preserve">À confirmer</w:t>
            </w:r>
          </w:p>
        </w:tc>
        <w:tc>
          <w:tcPr>
            <w:tcW w:w="4372" w:type="dxa"/>
            <w:vAlign w:val="center"/>
          </w:tcPr>
          <w:p>
            <w:pPr>
              <w:spacing w:before="40" w:after="40" w:line="264" w:lineRule="auto"/>
              <w:jc w:val="left"/>
            </w:pPr>
            <w:r>
              <w:rPr>
                <w:rFonts w:ascii="Arial" w:hAnsi="Arial" w:cs="Arial"/>
                <w:sz w:val="20"/>
              </w:rPr>
              <w:t xml:space="preserve">Valider les objectifs, priorités et gains</w:t>
            </w:r>
          </w:p>
        </w:tc>
      </w:tr>
      <w:tr>
        <w:trPr>
          <w:cantSplit/>
        </w:trPr>
        <w:tc>
          <w:tcPr>
            <w:tcW w:w="2400" w:type="dxa"/>
            <w:vAlign w:val="center"/>
          </w:tcPr>
          <w:p>
            <w:pPr>
              <w:spacing w:before="40" w:after="40" w:line="264" w:lineRule="auto"/>
              <w:jc w:val="left"/>
            </w:pPr>
            <w:r>
              <w:rPr>
                <w:rFonts w:ascii="Arial" w:hAnsi="Arial" w:cs="Arial"/>
                <w:sz w:val="20"/>
              </w:rPr>
              <w:t xml:space="preserve">Product Owner Paprika</w:t>
            </w:r>
          </w:p>
        </w:tc>
        <w:tc>
          <w:tcPr>
            <w:tcW w:w="2300" w:type="dxa"/>
            <w:vAlign w:val="center"/>
          </w:tcPr>
          <w:p>
            <w:pPr>
              <w:spacing w:before="40" w:after="40" w:line="264" w:lineRule="auto"/>
              <w:jc w:val="left"/>
            </w:pPr>
            <w:r>
              <w:rPr>
                <w:rFonts w:ascii="Arial" w:hAnsi="Arial" w:cs="Arial"/>
                <w:sz w:val="20"/>
              </w:rPr>
              <w:t xml:space="preserve">À confirmer</w:t>
            </w:r>
          </w:p>
        </w:tc>
        <w:tc>
          <w:tcPr>
            <w:tcW w:w="4372" w:type="dxa"/>
            <w:vAlign w:val="center"/>
          </w:tcPr>
          <w:p>
            <w:pPr>
              <w:spacing w:before="40" w:after="40" w:line="264" w:lineRule="auto"/>
              <w:jc w:val="left"/>
            </w:pPr>
            <w:r>
              <w:rPr>
                <w:rFonts w:ascii="Arial" w:hAnsi="Arial" w:cs="Arial"/>
                <w:sz w:val="20"/>
              </w:rPr>
              <w:t xml:space="preserve">Valider le périmètre et la recette</w:t>
            </w:r>
          </w:p>
        </w:tc>
      </w:tr>
      <w:tr>
        <w:trPr>
          <w:cantSplit/>
        </w:trPr>
        <w:tc>
          <w:tcPr>
            <w:tcW w:w="2400" w:type="dxa"/>
            <w:vAlign w:val="center"/>
          </w:tcPr>
          <w:p>
            <w:pPr>
              <w:spacing w:before="40" w:after="40" w:line="264" w:lineRule="auto"/>
              <w:jc w:val="left"/>
            </w:pPr>
            <w:r>
              <w:rPr>
                <w:rFonts w:ascii="Arial" w:hAnsi="Arial" w:cs="Arial"/>
                <w:sz w:val="20"/>
              </w:rPr>
              <w:t xml:space="preserve">Référent Camunda et BPMN</w:t>
            </w:r>
          </w:p>
        </w:tc>
        <w:tc>
          <w:tcPr>
            <w:tcW w:w="2300" w:type="dxa"/>
            <w:vAlign w:val="center"/>
          </w:tcPr>
          <w:p>
            <w:pPr>
              <w:spacing w:before="40" w:after="40" w:line="264" w:lineRule="auto"/>
              <w:jc w:val="left"/>
            </w:pPr>
            <w:r>
              <w:rPr>
                <w:rFonts w:ascii="Arial" w:hAnsi="Arial" w:cs="Arial"/>
                <w:sz w:val="20"/>
              </w:rPr>
              <w:t xml:space="preserve">À confirmer</w:t>
            </w:r>
          </w:p>
        </w:tc>
        <w:tc>
          <w:tcPr>
            <w:tcW w:w="4372" w:type="dxa"/>
            <w:vAlign w:val="center"/>
          </w:tcPr>
          <w:p>
            <w:pPr>
              <w:spacing w:before="40" w:after="40" w:line="264" w:lineRule="auto"/>
              <w:jc w:val="left"/>
            </w:pPr>
            <w:r>
              <w:rPr>
                <w:rFonts w:ascii="Arial" w:hAnsi="Arial" w:cs="Arial"/>
                <w:sz w:val="20"/>
              </w:rPr>
              <w:t xml:space="preserve">Définir les règles et valider les diagnostics</w:t>
            </w:r>
          </w:p>
        </w:tc>
      </w:tr>
      <w:tr>
        <w:trPr>
          <w:cantSplit/>
        </w:trPr>
        <w:tc>
          <w:tcPr>
            <w:tcW w:w="2400" w:type="dxa"/>
            <w:vAlign w:val="center"/>
          </w:tcPr>
          <w:p>
            <w:pPr>
              <w:spacing w:before="40" w:after="40" w:line="264" w:lineRule="auto"/>
              <w:jc w:val="left"/>
            </w:pPr>
            <w:r>
              <w:rPr>
                <w:rFonts w:ascii="Arial" w:hAnsi="Arial" w:cs="Arial"/>
                <w:sz w:val="20"/>
              </w:rPr>
              <w:t xml:space="preserve">Responsable technique et support</w:t>
            </w:r>
          </w:p>
        </w:tc>
        <w:tc>
          <w:tcPr>
            <w:tcW w:w="2300" w:type="dxa"/>
            <w:vAlign w:val="center"/>
          </w:tcPr>
          <w:p>
            <w:pPr>
              <w:spacing w:before="40" w:after="40" w:line="264" w:lineRule="auto"/>
              <w:jc w:val="left"/>
            </w:pPr>
            <w:r>
              <w:rPr>
                <w:rFonts w:ascii="Arial" w:hAnsi="Arial" w:cs="Arial"/>
                <w:sz w:val="20"/>
              </w:rPr>
              <w:t xml:space="preserve">À confirmer</w:t>
            </w:r>
          </w:p>
        </w:tc>
        <w:tc>
          <w:tcPr>
            <w:tcW w:w="4372" w:type="dxa"/>
            <w:vAlign w:val="center"/>
          </w:tcPr>
          <w:p>
            <w:pPr>
              <w:spacing w:before="40" w:after="40" w:line="264" w:lineRule="auto"/>
              <w:jc w:val="left"/>
            </w:pPr>
            <w:r>
              <w:rPr>
                <w:rFonts w:ascii="Arial" w:hAnsi="Arial" w:cs="Arial"/>
                <w:sz w:val="20"/>
              </w:rPr>
              <w:t xml:space="preserve">Maintenir l’outil et traiter les anomalies</w:t>
            </w:r>
          </w:p>
        </w:tc>
      </w:tr>
      <w:tr>
        <w:trPr>
          <w:cantSplit/>
        </w:trPr>
        <w:tc>
          <w:tcPr>
            <w:tcW w:w="2400" w:type="dxa"/>
            <w:vAlign w:val="center"/>
          </w:tcPr>
          <w:p>
            <w:pPr>
              <w:spacing w:before="40" w:after="40" w:line="264" w:lineRule="auto"/>
              <w:jc w:val="left"/>
            </w:pPr>
            <w:r>
              <w:rPr>
                <w:rFonts w:ascii="Arial" w:hAnsi="Arial" w:cs="Arial"/>
                <w:sz w:val="20"/>
              </w:rPr>
              <w:t xml:space="preserve">Référent sécurité et hébergement</w:t>
            </w:r>
          </w:p>
        </w:tc>
        <w:tc>
          <w:tcPr>
            <w:tcW w:w="2300" w:type="dxa"/>
            <w:vAlign w:val="center"/>
          </w:tcPr>
          <w:p>
            <w:pPr>
              <w:spacing w:before="40" w:after="40" w:line="264" w:lineRule="auto"/>
              <w:jc w:val="left"/>
            </w:pPr>
            <w:r>
              <w:rPr>
                <w:rFonts w:ascii="Arial" w:hAnsi="Arial" w:cs="Arial"/>
                <w:sz w:val="20"/>
              </w:rPr>
              <w:t xml:space="preserve">À confirmer</w:t>
            </w:r>
          </w:p>
        </w:tc>
        <w:tc>
          <w:tcPr>
            <w:tcW w:w="4372" w:type="dxa"/>
            <w:vAlign w:val="center"/>
          </w:tcPr>
          <w:p>
            <w:pPr>
              <w:spacing w:before="40" w:after="40" w:line="264" w:lineRule="auto"/>
              <w:jc w:val="left"/>
            </w:pPr>
            <w:r>
              <w:rPr>
                <w:rFonts w:ascii="Arial" w:hAnsi="Arial" w:cs="Arial"/>
                <w:sz w:val="20"/>
              </w:rPr>
              <w:t xml:space="preserve">Valider les accès, données et déploiement</w:t>
            </w:r>
          </w:p>
        </w:tc>
      </w:tr>
    </w:tbl>
    <w:p>
      <w:pPr>
        <w:spacing w:before="100" w:after="100" w:line="264" w:lineRule="auto"/>
        <w:jc w:val="left"/>
      </w:pPr>
      <w:r>
        <w:rPr>
          <w:rFonts w:ascii="Arial" w:hAnsi="Arial" w:cs="Arial"/>
          <w:sz w:val="4"/>
        </w:rPr>
        <w:t xml:space="preserve"/>
      </w:r>
    </w:p>
    <w:p>
      <w:pPr>
        <w:pStyle w:val="Titre1"/>
        <w:pageBreakBefore/>
        <w:keepNext/>
        <w:spacing w:before="180" w:after="100" w:line="264" w:lineRule="auto"/>
        <w:jc w:val="left"/>
      </w:pPr>
      <w:r>
        <w:rPr>
          <w:rFonts w:ascii="Arial" w:hAnsi="Arial" w:cs="Arial"/>
          <w:sz w:val="24"/>
          <w:b/>
        </w:rPr>
        <w:t xml:space="preserve">PREREQUIS ET DONNEES DU PROCESSUS</w:t>
      </w:r>
    </w:p>
    <w:p>
      <w:pPr>
        <w:pStyle w:val="Titre2"/>
        <w:numPr>
          <w:numId w:val="0"/>
        </w:numPr>
        <w:keepNext/>
        <w:spacing w:before="180" w:after="100" w:line="264" w:lineRule="auto"/>
        <w:jc w:val="left"/>
      </w:pPr>
      <w:r>
        <w:rPr>
          <w:rFonts w:ascii="Arial" w:hAnsi="Arial" w:cs="Arial"/>
          <w:sz w:val="22"/>
          <w:b/>
        </w:rPr>
        <w:t xml:space="preserve">Prérequis minimaux pour l’automatisation</w:t>
      </w:r>
    </w:p>
    <w:p>
      <w:pPr>
        <w:spacing w:before="100" w:after="100" w:line="264" w:lineRule="auto"/>
        <w:jc w:val="left"/>
      </w:pPr>
      <w:r>
        <w:rPr>
          <w:rFonts w:ascii="Arial" w:hAnsi="Arial" w:cs="Arial"/>
          <w:sz w:val="22"/>
        </w:rPr>
        <w:t xml:space="preserve">Habilitations : disposer d’un accès autorisé à Paprika, du droit de lire les modèles BPMN et du droit de conserver les exports. Aucun accès d’administration à Camunda n’est requis pour l’analyse de fichiers. La politique d’accès et les habilitations de production sont à confirmer.</w:t>
      </w:r>
    </w:p>
    <w:p>
      <w:pPr>
        <w:spacing w:before="100" w:after="100" w:line="264" w:lineRule="auto"/>
        <w:jc w:val="left"/>
      </w:pPr>
      <w:r>
        <w:rPr>
          <w:rFonts w:ascii="Arial" w:hAnsi="Arial" w:cs="Arial"/>
          <w:sz w:val="22"/>
        </w:rPr>
        <w:t xml:space="preserve">Environnement : navigateur de bureau avec JavaScript et téléchargement de fichiers autorisés. IndexedDB et LocalStorage sont utilisés pour la persistance locale. L’URL cible, les navigateurs homologués, les postes compatibles et les environnements de recette et de production sont à confirmer.</w:t>
      </w:r>
    </w:p>
    <w:p>
      <w:pPr>
        <w:spacing w:before="100" w:after="100" w:line="264" w:lineRule="auto"/>
        <w:jc w:val="left"/>
      </w:pPr>
      <w:r>
        <w:rPr>
          <w:rFonts w:ascii="Arial" w:hAnsi="Arial" w:cs="Arial"/>
          <w:sz w:val="22"/>
        </w:rPr>
        <w:t xml:space="preserve">Le code comporte une connexion locale avec comptes de démonstration. Le dispositif d’authentification cible doit être validé. Certaines bibliothèques et polices sont chargées depuis des CDN ; le fonctionnement hors ligne et les flux réseau autorisés doivent être vérifiés pour l’environnement retenu.</w:t>
      </w:r>
    </w:p>
    <w:p>
      <w:pPr>
        <w:pStyle w:val="Titre2"/>
        <w:numPr>
          <w:numId w:val="0"/>
        </w:numPr>
        <w:keepNext/>
        <w:spacing w:before="180" w:after="100" w:line="264" w:lineRule="auto"/>
        <w:jc w:val="left"/>
      </w:pPr>
      <w:r>
        <w:rPr>
          <w:rFonts w:ascii="Arial" w:hAnsi="Arial" w:cs="Arial"/>
          <w:sz w:val="22"/>
          <w:b/>
        </w:rPr>
        <w:t xml:space="preserve">Input du processus</w:t>
      </w:r>
    </w:p>
    <w:tbl>
      <w:tblPr>
        <w:tblStyle w:val="Grilledutableau"/>
        <w:tblW w:w="9072" w:type="dxa"/>
        <w:tblLayout w:type="fixed"/>
        <w:tblBorders>
          <w:top w:val="single" w:sz="4" w:color="A6A6A6"/>
          <w:left w:val="single" w:sz="4" w:color="A6A6A6"/>
          <w:bottom w:val="single" w:sz="4" w:color="A6A6A6"/>
          <w:right w:val="single" w:sz="4" w:color="A6A6A6"/>
          <w:insideH w:val="single" w:sz="4" w:color="A6A6A6"/>
          <w:insideV w:val="single" w:sz="4" w:color="A6A6A6"/>
        </w:tblBorders>
        <w:tblCellMar>
          <w:top w:w="85" w:type="dxa"/>
          <w:left w:w="85" w:type="dxa"/>
          <w:bottom w:w="85" w:type="dxa"/>
          <w:right w:w="85" w:type="dxa"/>
        </w:tblCellMar>
      </w:tblPr>
      <w:tblGrid>
        <w:gridCol w:w="2000"/>
        <w:gridCol w:w="7072"/>
      </w:tblGrid>
      <w:tr>
        <w:trPr>
          <w:cantSplit/>
          <w:tblHeader/>
        </w:trPr>
        <w:tc>
          <w:tcPr>
            <w:tcW w:w="2000" w:type="dxa"/>
            <w:vAlign w:val="center"/>
            <w:shd w:val="clear" w:fill="B4C6E7"/>
          </w:tcPr>
          <w:p>
            <w:pPr>
              <w:spacing w:before="40" w:after="40" w:line="264" w:lineRule="auto"/>
              <w:jc w:val="left"/>
            </w:pPr>
            <w:r>
              <w:rPr>
                <w:rFonts w:ascii="Arial" w:hAnsi="Arial" w:cs="Arial"/>
                <w:sz w:val="20"/>
                <w:b/>
              </w:rPr>
              <w:t xml:space="preserve">Élément</w:t>
            </w:r>
          </w:p>
        </w:tc>
        <w:tc>
          <w:tcPr>
            <w:tcW w:w="7072" w:type="dxa"/>
            <w:vAlign w:val="center"/>
            <w:shd w:val="clear" w:fill="B4C6E7"/>
          </w:tcPr>
          <w:p>
            <w:pPr>
              <w:spacing w:before="40" w:after="40" w:line="264" w:lineRule="auto"/>
              <w:jc w:val="left"/>
            </w:pPr>
            <w:r>
              <w:rPr>
                <w:rFonts w:ascii="Arial" w:hAnsi="Arial" w:cs="Arial"/>
                <w:sz w:val="20"/>
                <w:b/>
              </w:rPr>
              <w:t xml:space="preserve">Description</w:t>
            </w:r>
          </w:p>
        </w:tc>
      </w:tr>
      <w:tr>
        <w:trPr>
          <w:cantSplit/>
        </w:trPr>
        <w:tc>
          <w:tcPr>
            <w:tcW w:w="2000" w:type="dxa"/>
            <w:vAlign w:val="center"/>
          </w:tcPr>
          <w:p>
            <w:pPr>
              <w:spacing w:before="40" w:after="40" w:line="264" w:lineRule="auto"/>
              <w:jc w:val="left"/>
            </w:pPr>
            <w:r>
              <w:rPr>
                <w:rFonts w:ascii="Arial" w:hAnsi="Arial" w:cs="Arial"/>
                <w:sz w:val="20"/>
              </w:rPr>
              <w:t xml:space="preserve">Nature</w:t>
            </w:r>
          </w:p>
        </w:tc>
        <w:tc>
          <w:tcPr>
            <w:tcW w:w="7072" w:type="dxa"/>
            <w:vAlign w:val="center"/>
          </w:tcPr>
          <w:p>
            <w:pPr>
              <w:spacing w:before="40" w:after="40" w:line="264" w:lineRule="auto"/>
              <w:jc w:val="left"/>
            </w:pPr>
            <w:r>
              <w:rPr>
                <w:rFonts w:ascii="Arial" w:hAnsi="Arial" w:cs="Arial"/>
                <w:sz w:val="20"/>
              </w:rPr>
              <w:t xml:space="preserve">Un ou plusieurs modèles .bpmn ou .xml ; référentiels .xlsx, .xls ou .csv selon le module ; deux versions BPMN pour la comparaison.</w:t>
            </w:r>
          </w:p>
        </w:tc>
      </w:tr>
      <w:tr>
        <w:trPr>
          <w:cantSplit/>
        </w:trPr>
        <w:tc>
          <w:tcPr>
            <w:tcW w:w="2000" w:type="dxa"/>
            <w:vAlign w:val="center"/>
          </w:tcPr>
          <w:p>
            <w:pPr>
              <w:spacing w:before="40" w:after="40" w:line="264" w:lineRule="auto"/>
              <w:jc w:val="left"/>
            </w:pPr>
            <w:r>
              <w:rPr>
                <w:rFonts w:ascii="Arial" w:hAnsi="Arial" w:cs="Arial"/>
                <w:sz w:val="20"/>
              </w:rPr>
              <w:t xml:space="preserve">Exemple disponible</w:t>
            </w:r>
          </w:p>
        </w:tc>
        <w:tc>
          <w:tcPr>
            <w:tcW w:w="7072" w:type="dxa"/>
            <w:vAlign w:val="center"/>
          </w:tcPr>
          <w:p>
            <w:pPr>
              <w:spacing w:before="40" w:after="40" w:line="264" w:lineRule="auto"/>
              <w:jc w:val="left"/>
            </w:pPr>
            <w:r>
              <w:rPr>
                <w:rFonts w:ascii="Arial" w:hAnsi="Arial" w:cs="Arial"/>
                <w:sz w:val="20"/>
              </w:rPr>
              <w:t xml:space="preserve">test_process.bpmn dans le dépôt. Constituer un lot représentatif avec parent, sous-processus et anomalies connues pour la recette.</w:t>
            </w:r>
          </w:p>
        </w:tc>
      </w:tr>
      <w:tr>
        <w:trPr>
          <w:cantSplit/>
        </w:trPr>
        <w:tc>
          <w:tcPr>
            <w:tcW w:w="2000" w:type="dxa"/>
            <w:vAlign w:val="center"/>
          </w:tcPr>
          <w:p>
            <w:pPr>
              <w:spacing w:before="40" w:after="40" w:line="264" w:lineRule="auto"/>
              <w:jc w:val="left"/>
            </w:pPr>
            <w:r>
              <w:rPr>
                <w:rFonts w:ascii="Arial" w:hAnsi="Arial" w:cs="Arial"/>
                <w:sz w:val="20"/>
              </w:rPr>
              <w:t xml:space="preserve">Lieu et fréquence</w:t>
            </w:r>
          </w:p>
        </w:tc>
        <w:tc>
          <w:tcPr>
            <w:tcW w:w="7072" w:type="dxa"/>
            <w:vAlign w:val="center"/>
          </w:tcPr>
          <w:p>
            <w:pPr>
              <w:spacing w:before="40" w:after="40" w:line="264" w:lineRule="auto"/>
              <w:jc w:val="left"/>
            </w:pPr>
            <w:r>
              <w:rPr>
                <w:rFonts w:ascii="Arial" w:hAnsi="Arial" w:cs="Arial"/>
                <w:sz w:val="20"/>
              </w:rPr>
              <w:t xml:space="preserve">Sélection locale par l’utilisateur, à la demande, notamment avant une revue ou un déploiement. Répertoire partagé éventuel à confirmer.</w:t>
            </w:r>
          </w:p>
        </w:tc>
      </w:tr>
      <w:tr>
        <w:trPr>
          <w:cantSplit/>
        </w:trPr>
        <w:tc>
          <w:tcPr>
            <w:tcW w:w="2000" w:type="dxa"/>
            <w:vAlign w:val="center"/>
          </w:tcPr>
          <w:p>
            <w:pPr>
              <w:spacing w:before="40" w:after="40" w:line="264" w:lineRule="auto"/>
              <w:jc w:val="left"/>
            </w:pPr>
            <w:r>
              <w:rPr>
                <w:rFonts w:ascii="Arial" w:hAnsi="Arial" w:cs="Arial"/>
                <w:sz w:val="20"/>
              </w:rPr>
              <w:t xml:space="preserve">Volumétrie</w:t>
            </w:r>
          </w:p>
        </w:tc>
        <w:tc>
          <w:tcPr>
            <w:tcW w:w="7072" w:type="dxa"/>
            <w:vAlign w:val="center"/>
          </w:tcPr>
          <w:p>
            <w:pPr>
              <w:spacing w:before="40" w:after="40" w:line="264" w:lineRule="auto"/>
              <w:jc w:val="left"/>
            </w:pPr>
            <w:r>
              <w:rPr>
                <w:rFonts w:ascii="Arial" w:hAnsi="Arial" w:cs="Arial"/>
                <w:sz w:val="20"/>
              </w:rPr>
              <w:t xml:space="preserve">Nombre de fichiers, taille des lots, nombre de variables et fréquence d’usage à mesurer. Limites à valider par module.</w:t>
            </w:r>
          </w:p>
        </w:tc>
      </w:tr>
    </w:tbl>
    <w:p>
      <w:pPr>
        <w:spacing w:before="100" w:after="100" w:line="264" w:lineRule="auto"/>
        <w:jc w:val="left"/>
      </w:pPr>
      <w:r>
        <w:rPr>
          <w:rFonts w:ascii="Arial" w:hAnsi="Arial" w:cs="Arial"/>
          <w:sz w:val="4"/>
        </w:rPr>
        <w:t xml:space="preserve"/>
      </w:r>
    </w:p>
    <w:p>
      <w:pPr>
        <w:pStyle w:val="Titre2"/>
        <w:numPr>
          <w:numId w:val="0"/>
        </w:numPr>
        <w:keepNext/>
        <w:spacing w:before="180" w:after="100" w:line="264" w:lineRule="auto"/>
        <w:jc w:val="left"/>
      </w:pPr>
      <w:r>
        <w:rPr>
          <w:rFonts w:ascii="Arial" w:hAnsi="Arial" w:cs="Arial"/>
          <w:sz w:val="22"/>
          <w:b/>
        </w:rPr>
        <w:t xml:space="preserve">Output du processus</w:t>
      </w:r>
    </w:p>
    <w:p>
      <w:pPr>
        <w:spacing w:before="100" w:after="100" w:line="264" w:lineRule="auto"/>
        <w:jc w:val="left"/>
      </w:pPr>
      <w:r>
        <w:rPr>
          <w:rFonts w:ascii="Arial" w:hAnsi="Arial" w:cs="Arial"/>
          <w:sz w:val="22"/>
        </w:rPr>
        <w:t xml:space="preserve">Les résultats présentent les anomalies, scores, variables, dépendances et pistes de remédiation. Les exports disponibles selon le module comprennent Excel, CSV, JSON, HTML, Markdown, impression/PDF et copies BPMN corrigées, avec archive ZIP pour les lots concernés. Les fichiers sont téléchargés localement à la demande ; le lieu d’archivage et les destinataires sont à confirmer.</w:t>
      </w:r>
    </w:p>
    <w:p>
      <w:pPr>
        <w:pStyle w:val="Titre2"/>
        <w:numPr>
          <w:numId w:val="0"/>
        </w:numPr>
        <w:keepNext/>
        <w:spacing w:before="180" w:after="100" w:line="264" w:lineRule="auto"/>
        <w:jc w:val="left"/>
      </w:pPr>
      <w:r>
        <w:rPr>
          <w:rFonts w:ascii="Arial" w:hAnsi="Arial" w:cs="Arial"/>
          <w:sz w:val="22"/>
          <w:b/>
        </w:rPr>
        <w:t xml:space="preserve">Criticité du processus</w:t>
      </w:r>
    </w:p>
    <w:p>
      <w:pPr>
        <w:spacing w:before="100" w:after="100" w:line="264" w:lineRule="auto"/>
        <w:jc w:val="left"/>
      </w:pPr>
      <w:r>
        <w:rPr>
          <w:rFonts w:ascii="Arial" w:hAnsi="Arial" w:cs="Arial"/>
          <w:sz w:val="22"/>
        </w:rPr>
        <w:t xml:space="preserve">Criticité métier à confirmer. Une mauvaise interprétation du diagnostic ou une correction inadaptée peut affecter les modèles utilisés ensuite. Une validation humaine et des tests sur l’environnement Camunda cible sont nécessaires avant déploiement.</w:t>
      </w:r>
    </w:p>
    <w:p>
      <w:pPr>
        <w:pStyle w:val="Titre1"/>
        <w:pageBreakBefore/>
        <w:keepNext/>
        <w:spacing w:before="180" w:after="100" w:line="264" w:lineRule="auto"/>
        <w:jc w:val="left"/>
      </w:pPr>
      <w:r>
        <w:rPr>
          <w:rFonts w:ascii="Arial" w:hAnsi="Arial" w:cs="Arial"/>
          <w:sz w:val="24"/>
          <w:b/>
        </w:rPr>
        <w:t xml:space="preserve">DIAGRAMME DU PROCESSUS</w:t>
      </w:r>
    </w:p>
    <w:p>
      <w:pPr>
        <w:spacing w:before="100" w:after="100" w:line="264" w:lineRule="auto"/>
        <w:jc w:val="left"/>
      </w:pPr>
      <w:r>
        <w:rPr>
          <w:rFonts w:ascii="Arial" w:hAnsi="Arial" w:cs="Arial"/>
          <w:sz w:val="22"/>
        </w:rPr>
        <w:t xml:space="preserve">Diagramme d’activité du parcours cible. Les modules complémentaires sont sélectionnés selon le besoin de l’utilisateur. Les cas d’exception sont détaillés dans la rubrique dédiée.</w:t>
      </w:r>
    </w:p>
    <w:p>
      <w:pPr>
        <w:spacing w:before="100" w:after="100" w:line="264" w:lineRule="auto"/>
        <w:jc w:val="left"/>
      </w:pPr>
      <w:r>
        <w:rPr>
          <w:rFonts w:ascii="Arial" w:hAnsi="Arial" w:cs="Arial"/>
          <w:sz w:val="22"/>
        </w:rPr>
        <w:t xml:space="preserve"/>
        <w:drawing>
          <wp:inline xmlns:a="http://schemas.openxmlformats.org/drawingml/2006/main" xmlns:pic="http://schemas.openxmlformats.org/drawingml/2006/picture">
            <wp:extent cx="5577840" cy="6135624"/>
            <wp:docPr id="1" name="Picture 1"/>
            <wp:cNvGraphicFramePr>
              <a:graphicFrameLocks noChangeAspect="1"/>
            </wp:cNvGraphicFramePr>
            <a:graphic>
              <a:graphicData uri="http://schemas.openxmlformats.org/drawingml/2006/picture">
                <pic:pic>
                  <pic:nvPicPr>
                    <pic:cNvPr id="0" name="processus.png"/>
                    <pic:cNvPicPr/>
                  </pic:nvPicPr>
                  <pic:blipFill>
                    <a:blip r:embed="rIdPaprikaDiagram"/>
                    <a:stretch>
                      <a:fillRect/>
                    </a:stretch>
                  </pic:blipFill>
                  <pic:spPr>
                    <a:xfrm>
                      <a:off x="0" y="0"/>
                      <a:ext cx="5577840" cy="6135624"/>
                    </a:xfrm>
                    <a:prstGeom prst="rect"/>
                  </pic:spPr>
                </pic:pic>
              </a:graphicData>
            </a:graphic>
          </wp:inline>
        </w:drawing>
      </w:r>
    </w:p>
    <w:p>
      <w:pPr>
        <w:pStyle w:val="Titre1"/>
        <w:pageBreakBefore/>
        <w:keepNext/>
        <w:spacing w:before="180" w:after="100" w:line="264" w:lineRule="auto"/>
        <w:jc w:val="left"/>
      </w:pPr>
      <w:r>
        <w:rPr>
          <w:rFonts w:ascii="Arial" w:hAnsi="Arial" w:cs="Arial"/>
          <w:sz w:val="24"/>
          <w:b/>
        </w:rPr>
        <w:t xml:space="preserve">REGLES DE GESTION DES AUDITS</w:t>
      </w:r>
    </w:p>
    <w:p>
      <w:pPr>
        <w:spacing w:before="100" w:after="100" w:line="264" w:lineRule="auto"/>
        <w:jc w:val="left"/>
      </w:pPr>
      <w:r>
        <w:rPr>
          <w:rFonts w:ascii="Arial" w:hAnsi="Arial" w:cs="Arial"/>
          <w:sz w:val="22"/>
        </w:rPr>
        <w:t xml:space="preserve">Ces règles décrivent le besoin fonctionnel à valider lors de la recette. Les constats doivent rester rattachés au fichier et à l’élément concernés. Un score seul ne vaut pas validation de mise en production.</w:t>
      </w:r>
    </w:p>
    <w:p>
      <w:pPr>
        <w:pStyle w:val="Titre2"/>
        <w:numPr>
          <w:numId w:val="0"/>
        </w:numPr>
        <w:keepNext/>
        <w:spacing w:before="180" w:after="100" w:line="264" w:lineRule="auto"/>
        <w:jc w:val="left"/>
      </w:pPr>
      <w:r>
        <w:rPr>
          <w:rFonts w:ascii="Arial" w:hAnsi="Arial" w:cs="Arial"/>
          <w:sz w:val="22"/>
          <w:b/>
        </w:rPr>
        <w:t xml:space="preserve">Règle de gestion 1 Importer et préparer les données</w:t>
      </w:r>
    </w:p>
    <w:p>
      <w:pPr>
        <w:spacing w:before="100" w:after="100" w:line="264" w:lineRule="auto"/>
        <w:jc w:val="left"/>
      </w:pPr>
      <w:r>
        <w:rPr>
          <w:rFonts w:ascii="Arial" w:hAnsi="Arial" w:cs="Arial"/>
          <w:sz w:val="22"/>
        </w:rPr>
        <w:t xml:space="preserve">1.1 L’utilisateur sélectionne le module et charge les fichiers de son lot. Pour une analyse de dépendances, il fournit le processus parent et les sous-processus disponibles.</w:t>
      </w:r>
    </w:p>
    <w:p>
      <w:pPr>
        <w:spacing w:before="100" w:after="100" w:line="264" w:lineRule="auto"/>
        <w:jc w:val="left"/>
      </w:pPr>
      <w:r>
        <w:rPr>
          <w:rFonts w:ascii="Arial" w:hAnsi="Arial" w:cs="Arial"/>
          <w:sz w:val="22"/>
        </w:rPr>
        <w:t xml:space="preserve">1.2 L’outil contrôle la lisibilité et le format. Un XML invalide ou une entrée non exploitable doit être signalé explicitement. Un fichier rejeté ne doit pas être présenté comme audité avec succès.</w:t>
      </w:r>
    </w:p>
    <w:p>
      <w:pPr>
        <w:spacing w:before="100" w:after="100" w:line="264" w:lineRule="auto"/>
        <w:jc w:val="left"/>
      </w:pPr>
      <w:r>
        <w:rPr>
          <w:rFonts w:ascii="Arial" w:hAnsi="Arial" w:cs="Arial"/>
          <w:sz w:val="22"/>
        </w:rPr>
        <w:t xml:space="preserve">1.3 Pour un référentiel Excel ou CSV, l’utilisateur vérifie le mappage des colonnes. Il choisit les règles et sévérités adaptées au référentiel de son équipe avant de lancer l’analyse.</w:t>
      </w:r>
    </w:p>
    <w:p>
      <w:pPr>
        <w:pStyle w:val="Titre2"/>
        <w:numPr>
          <w:numId w:val="0"/>
        </w:numPr>
        <w:keepNext/>
        <w:spacing w:before="180" w:after="100" w:line="264" w:lineRule="auto"/>
        <w:jc w:val="left"/>
      </w:pPr>
      <w:r>
        <w:rPr>
          <w:rFonts w:ascii="Arial" w:hAnsi="Arial" w:cs="Arial"/>
          <w:sz w:val="22"/>
          <w:b/>
        </w:rPr>
        <w:t xml:space="preserve">Règle de gestion 2 Auditer les variables</w:t>
      </w:r>
    </w:p>
    <w:p>
      <w:pPr>
        <w:spacing w:before="100" w:after="100" w:line="264" w:lineRule="auto"/>
        <w:jc w:val="left"/>
      </w:pPr>
      <w:r>
        <w:rPr>
          <w:rFonts w:ascii="Arial" w:hAnsi="Arial" w:cs="Arial"/>
          <w:sz w:val="22"/>
        </w:rPr>
        <w:t xml:space="preserve">2.1 Extraire les variables identifiables dans les paramètres, formulaires, expressions et mappages Camunda 7 ou Zeebe. Conserver le processus et les éléments sources associés pour permettre la traçabilité.</w:t>
      </w:r>
    </w:p>
    <w:p>
      <w:pPr>
        <w:spacing w:before="100" w:after="100" w:line="264" w:lineRule="auto"/>
        <w:jc w:val="left"/>
      </w:pPr>
      <w:r>
        <w:rPr>
          <w:rFonts w:ascii="Arial" w:hAnsi="Arial" w:cs="Arial"/>
          <w:sz w:val="22"/>
        </w:rPr>
        <w:t xml:space="preserve">2.2 Vérifier les conventions configurées, notamment camelCase, caractères autorisés, espaces, accents et mots réservés. Afficher le constat et une suggestion lorsque la règle le permet.</w:t>
      </w:r>
    </w:p>
    <w:p>
      <w:pPr>
        <w:spacing w:before="100" w:after="100" w:line="264" w:lineRule="auto"/>
        <w:jc w:val="left"/>
      </w:pPr>
      <w:r>
        <w:rPr>
          <w:rFonts w:ascii="Arial" w:hAnsi="Arial" w:cs="Arial"/>
          <w:sz w:val="22"/>
        </w:rPr>
        <w:t xml:space="preserve">2.3 Présenter les rôles de production, consommation et transmission. Signaler les variables potentiellement non initialisées ou inutilisées dans le périmètre chargé. L’utilisateur confirme ces constats, notamment en présence de scripts, d’expressions dynamiques ou d’entrées externes.</w:t>
      </w:r>
    </w:p>
    <w:p>
      <w:pPr>
        <w:pStyle w:val="Titre2"/>
        <w:numPr>
          <w:numId w:val="0"/>
        </w:numPr>
        <w:keepNext/>
        <w:spacing w:before="180" w:after="100" w:line="264" w:lineRule="auto"/>
        <w:jc w:val="left"/>
      </w:pPr>
      <w:r>
        <w:rPr>
          <w:rFonts w:ascii="Arial" w:hAnsi="Arial" w:cs="Arial"/>
          <w:sz w:val="22"/>
          <w:b/>
        </w:rPr>
        <w:t xml:space="preserve">Règle de gestion 3 Cartographier les sous-processus</w:t>
      </w:r>
    </w:p>
    <w:p>
      <w:pPr>
        <w:spacing w:before="100" w:after="100" w:line="264" w:lineRule="auto"/>
        <w:jc w:val="left"/>
      </w:pPr>
      <w:r>
        <w:rPr>
          <w:rFonts w:ascii="Arial" w:hAnsi="Arial" w:cs="Arial"/>
          <w:sz w:val="22"/>
        </w:rPr>
        <w:t xml:space="preserve">3.1 Identifier les appels via Call Activities et leurs cibles, puis représenter les relations entre processus et les mappages d’entrée et de sortie disponibles.</w:t>
      </w:r>
    </w:p>
    <w:p>
      <w:pPr>
        <w:spacing w:before="100" w:after="100" w:line="264" w:lineRule="auto"/>
        <w:jc w:val="left"/>
      </w:pPr>
      <w:r>
        <w:rPr>
          <w:rFonts w:ascii="Arial" w:hAnsi="Arial" w:cs="Arial"/>
          <w:sz w:val="22"/>
        </w:rPr>
        <w:t xml:space="preserve">3.2 Distinguer une cible résolue d’un sous-processus absent du lot ; signaler les cycles et la profondeur d’appels. Un sous-processus non fourni constitue une limite du périmètre analysé, à examiner avec le référent Camunda.</w:t>
      </w:r>
    </w:p>
    <w:p>
      <w:pPr>
        <w:spacing w:before="100" w:after="100" w:line="264" w:lineRule="auto"/>
        <w:jc w:val="left"/>
      </w:pPr>
      <w:r>
        <w:rPr>
          <w:rFonts w:ascii="Arial" w:hAnsi="Arial" w:cs="Arial"/>
          <w:sz w:val="22"/>
        </w:rPr>
        <w:t xml:space="preserve">3.3 Permettre la consultation de la hiérarchie et des dépendances afin de préparer l’analyse d’impact et d’identifier les modèles à compléter ou à revoir.</w:t>
      </w:r>
    </w:p>
    <w:p>
      <w:pPr>
        <w:pStyle w:val="Titre1"/>
        <w:pageBreakBefore/>
        <w:keepNext/>
        <w:spacing w:before="180" w:after="100" w:line="264" w:lineRule="auto"/>
        <w:jc w:val="left"/>
      </w:pPr>
      <w:r>
        <w:rPr>
          <w:rFonts w:ascii="Arial" w:hAnsi="Arial" w:cs="Arial"/>
          <w:sz w:val="24"/>
          <w:b/>
        </w:rPr>
        <w:t xml:space="preserve">REGLES DES MODULES COMPLEMENTAIRES</w:t>
      </w:r>
    </w:p>
    <w:p>
      <w:pPr>
        <w:pStyle w:val="Titre2"/>
        <w:numPr>
          <w:numId w:val="0"/>
        </w:numPr>
        <w:keepNext/>
        <w:spacing w:before="180" w:after="100" w:line="264" w:lineRule="auto"/>
        <w:jc w:val="left"/>
      </w:pPr>
      <w:r>
        <w:rPr>
          <w:rFonts w:ascii="Arial" w:hAnsi="Arial" w:cs="Arial"/>
          <w:sz w:val="22"/>
          <w:b/>
        </w:rPr>
        <w:t xml:space="preserve">Règle de gestion 4 Contrôler la santé et le nommage BPMN</w:t>
      </w:r>
    </w:p>
    <w:p>
      <w:pPr>
        <w:spacing w:before="100" w:after="100" w:line="264" w:lineRule="auto"/>
        <w:jc w:val="left"/>
      </w:pPr>
      <w:r>
        <w:rPr>
          <w:rFonts w:ascii="Arial" w:hAnsi="Arial" w:cs="Arial"/>
          <w:sz w:val="22"/>
        </w:rPr>
        <w:t xml:space="preserve">4.1 Vérifier les identifiants, références, événements, flux, passerelles et éléments d’exécution couverts par les règles actives. Signaler les éléments inatteignables, les impasses et les incohérences détectables statiquement.</w:t>
      </w:r>
    </w:p>
    <w:p>
      <w:pPr>
        <w:spacing w:before="100" w:after="100" w:line="264" w:lineRule="auto"/>
        <w:jc w:val="left"/>
      </w:pPr>
      <w:r>
        <w:rPr>
          <w:rFonts w:ascii="Arial" w:hAnsi="Arial" w:cs="Arial"/>
          <w:sz w:val="22"/>
        </w:rPr>
        <w:t xml:space="preserve">4.2 Appliquer les conventions de nommage retenues : tâches formulées avec un verbe d’action, passerelles conditionnelles explicites et événements décrivant un état métier. La conformité dépend du référentiel d’équipe validé.</w:t>
      </w:r>
    </w:p>
    <w:p>
      <w:pPr>
        <w:spacing w:before="100" w:after="100" w:line="264" w:lineRule="auto"/>
        <w:jc w:val="left"/>
      </w:pPr>
      <w:r>
        <w:rPr>
          <w:rFonts w:ascii="Arial" w:hAnsi="Arial" w:cs="Arial"/>
          <w:sz w:val="22"/>
        </w:rPr>
        <w:t xml:space="preserve">4.3 Afficher les constats avec leur sévérité et une action de remédiation. Permettre le filtrage et la localisation de l’élément concerné dans le modèle, selon le module. Les contrôles statiques complètent la recette métier et les tests moteur.</w:t>
      </w:r>
    </w:p>
    <w:p>
      <w:pPr>
        <w:pStyle w:val="Titre2"/>
        <w:numPr>
          <w:numId w:val="0"/>
        </w:numPr>
        <w:keepNext/>
        <w:spacing w:before="180" w:after="100" w:line="264" w:lineRule="auto"/>
        <w:jc w:val="left"/>
      </w:pPr>
      <w:r>
        <w:rPr>
          <w:rFonts w:ascii="Arial" w:hAnsi="Arial" w:cs="Arial"/>
          <w:sz w:val="22"/>
          <w:b/>
        </w:rPr>
        <w:t xml:space="preserve">Règle de gestion 5 Produire la matrice PMG</w:t>
      </w:r>
    </w:p>
    <w:p>
      <w:pPr>
        <w:spacing w:before="100" w:after="100" w:line="264" w:lineRule="auto"/>
        <w:jc w:val="left"/>
      </w:pPr>
      <w:r>
        <w:rPr>
          <w:rFonts w:ascii="Arial" w:hAnsi="Arial" w:cs="Arial"/>
          <w:sz w:val="22"/>
        </w:rPr>
        <w:t xml:space="preserve">5.1 Extraire les métadonnées, activités, pools, lanes, acteurs et variables du lot BPMN. Préremplir la matrice de gouvernance avec les informations disponibles.</w:t>
      </w:r>
    </w:p>
    <w:p>
      <w:pPr>
        <w:spacing w:before="100" w:after="100" w:line="264" w:lineRule="auto"/>
        <w:jc w:val="left"/>
      </w:pPr>
      <w:r>
        <w:rPr>
          <w:rFonts w:ascii="Arial" w:hAnsi="Arial" w:cs="Arial"/>
          <w:sz w:val="22"/>
        </w:rPr>
        <w:t xml:space="preserve">5.2 Permettre à l’utilisateur de compléter les conditions d’applicabilité, commentaires et descriptions des variables. Distinguer les données extraites des informations renseignées manuellement.</w:t>
      </w:r>
    </w:p>
    <w:p>
      <w:pPr>
        <w:spacing w:before="100" w:after="100" w:line="264" w:lineRule="auto"/>
        <w:jc w:val="left"/>
      </w:pPr>
      <w:r>
        <w:rPr>
          <w:rFonts w:ascii="Arial" w:hAnsi="Arial" w:cs="Arial"/>
          <w:sz w:val="22"/>
        </w:rPr>
        <w:t xml:space="preserve">5.3 Produire la matrice, le glossaire et la documentation technique dans les formats proposés. Vérifier la complétude avec les responsables des processus avant diffusion.</w:t>
      </w:r>
    </w:p>
    <w:p>
      <w:pPr>
        <w:pStyle w:val="Titre2"/>
        <w:numPr>
          <w:numId w:val="0"/>
        </w:numPr>
        <w:keepNext/>
        <w:spacing w:before="180" w:after="100" w:line="264" w:lineRule="auto"/>
        <w:jc w:val="left"/>
      </w:pPr>
      <w:r>
        <w:rPr>
          <w:rFonts w:ascii="Arial" w:hAnsi="Arial" w:cs="Arial"/>
          <w:sz w:val="22"/>
          <w:b/>
        </w:rPr>
        <w:t xml:space="preserve">Règle de gestion 6 Comparer deux versions</w:t>
      </w:r>
    </w:p>
    <w:p>
      <w:pPr>
        <w:spacing w:before="100" w:after="100" w:line="264" w:lineRule="auto"/>
        <w:jc w:val="left"/>
      </w:pPr>
      <w:r>
        <w:rPr>
          <w:rFonts w:ascii="Arial" w:hAnsi="Arial" w:cs="Arial"/>
          <w:sz w:val="22"/>
        </w:rPr>
        <w:t xml:space="preserve">6.1 L’utilisateur désigne une version de référence A et une version B du modèle. Le comparateur présente les ajouts, suppressions et modifications détectés pour faciliter la revue de changement.</w:t>
      </w:r>
    </w:p>
    <w:p>
      <w:pPr>
        <w:spacing w:before="100" w:after="100" w:line="264" w:lineRule="auto"/>
        <w:jc w:val="left"/>
      </w:pPr>
      <w:r>
        <w:rPr>
          <w:rFonts w:ascii="Arial" w:hAnsi="Arial" w:cs="Arial"/>
          <w:sz w:val="22"/>
        </w:rPr>
        <w:t xml:space="preserve">6.2 Le résultat sert de support à l’analyse d’impact. Les effets sur les applications, les données externes et l’exécution doivent être évalués séparément par l’équipe projet.</w:t>
      </w:r>
    </w:p>
    <w:p>
      <w:pPr>
        <w:pStyle w:val="Titre2"/>
        <w:numPr>
          <w:numId w:val="0"/>
        </w:numPr>
        <w:keepNext/>
        <w:spacing w:before="180" w:after="100" w:line="264" w:lineRule="auto"/>
        <w:jc w:val="left"/>
      </w:pPr>
      <w:r>
        <w:rPr>
          <w:rFonts w:ascii="Arial" w:hAnsi="Arial" w:cs="Arial"/>
          <w:sz w:val="22"/>
          <w:b/>
        </w:rPr>
        <w:t xml:space="preserve">Règle de gestion 7 Simuler les gains</w:t>
      </w:r>
    </w:p>
    <w:p>
      <w:pPr>
        <w:spacing w:before="100" w:after="100" w:line="264" w:lineRule="auto"/>
        <w:jc w:val="left"/>
      </w:pPr>
      <w:r>
        <w:rPr>
          <w:rFonts w:ascii="Arial" w:hAnsi="Arial" w:cs="Arial"/>
          <w:sz w:val="22"/>
        </w:rPr>
        <w:t xml:space="preserve">7.1 Renseigner des hypothèses validées de volumétrie, temps manuel, temps assisté et coût horaire. Documenter le périmètre, la période et les coûts inclus.</w:t>
      </w:r>
    </w:p>
    <w:p>
      <w:pPr>
        <w:spacing w:before="100" w:after="100" w:line="264" w:lineRule="auto"/>
        <w:jc w:val="left"/>
      </w:pPr>
      <w:r>
        <w:rPr>
          <w:rFonts w:ascii="Arial" w:hAnsi="Arial" w:cs="Arial"/>
          <w:sz w:val="22"/>
        </w:rPr>
        <w:t xml:space="preserve">7.2 Présenter les résultats comme une simulation. Une estimation ne devient un gain réalisé qu’après mesure et validation ; aucun montant ni délai de retour sur investissement n’est engagé dans cette EB.</w:t>
      </w:r>
    </w:p>
    <w:p>
      <w:pPr>
        <w:pStyle w:val="Titre1"/>
        <w:pageBreakBefore/>
        <w:keepNext/>
        <w:spacing w:before="180" w:after="100" w:line="264" w:lineRule="auto"/>
        <w:jc w:val="left"/>
      </w:pPr>
      <w:r>
        <w:rPr>
          <w:rFonts w:ascii="Arial" w:hAnsi="Arial" w:cs="Arial"/>
          <w:sz w:val="24"/>
          <w:b/>
        </w:rPr>
        <w:t xml:space="preserve">CORRECTION ET CRITERES DE RECETTE</w:t>
      </w:r>
    </w:p>
    <w:p>
      <w:pPr>
        <w:pStyle w:val="Titre2"/>
        <w:numPr>
          <w:numId w:val="0"/>
        </w:numPr>
        <w:keepNext/>
        <w:spacing w:before="180" w:after="100" w:line="264" w:lineRule="auto"/>
        <w:jc w:val="left"/>
      </w:pPr>
      <w:r>
        <w:rPr>
          <w:rFonts w:ascii="Arial" w:hAnsi="Arial" w:cs="Arial"/>
          <w:sz w:val="22"/>
          <w:b/>
        </w:rPr>
        <w:t xml:space="preserve">Règle de gestion 8 Corriger et exporter</w:t>
      </w:r>
    </w:p>
    <w:p>
      <w:pPr>
        <w:spacing w:before="100" w:after="100" w:line="264" w:lineRule="auto"/>
        <w:jc w:val="left"/>
      </w:pPr>
      <w:r>
        <w:rPr>
          <w:rFonts w:ascii="Arial" w:hAnsi="Arial" w:cs="Arial"/>
          <w:sz w:val="22"/>
        </w:rPr>
        <w:t xml:space="preserve">8.1 L’utilisateur examine les anomalies et les suggestions avant d’appliquer une correction. Les fichiers originaux sont conservés. Le module d’audit des variables peut produire des copies corrigées et un ZIP coordonné du lot.</w:t>
      </w:r>
    </w:p>
    <w:p>
      <w:pPr>
        <w:spacing w:before="100" w:after="100" w:line="264" w:lineRule="auto"/>
        <w:jc w:val="left"/>
      </w:pPr>
      <w:r>
        <w:rPr>
          <w:rFonts w:ascii="Arial" w:hAnsi="Arial" w:cs="Arial"/>
          <w:sz w:val="22"/>
        </w:rPr>
        <w:t xml:space="preserve">8.2 Dans le module santé BPMN, les corrections automatiques doivent rester limitées aux opérations proposées par l’outil, notamment le nettoyage de libellés. Les corrections métier ou sémantiques sont validées manuellement.</w:t>
      </w:r>
    </w:p>
    <w:p>
      <w:pPr>
        <w:spacing w:before="100" w:after="100" w:line="264" w:lineRule="auto"/>
        <w:jc w:val="left"/>
      </w:pPr>
      <w:r>
        <w:rPr>
          <w:rFonts w:ascii="Arial" w:hAnsi="Arial" w:cs="Arial"/>
          <w:sz w:val="22"/>
        </w:rPr>
        <w:t xml:space="preserve">8.3 Après correction, relancer l’audit, vérifier les appels et les échanges de variables, puis tester les modèles sur la version cible de Camunda. Exporter le rapport et les copies retenues. Le circuit de validation et d’archivage est à confirmer.</w:t>
      </w:r>
    </w:p>
    <w:p>
      <w:pPr>
        <w:pStyle w:val="Titre2"/>
        <w:numPr>
          <w:numId w:val="0"/>
        </w:numPr>
        <w:keepNext/>
        <w:spacing w:before="180" w:after="100" w:line="264" w:lineRule="auto"/>
        <w:jc w:val="left"/>
      </w:pPr>
      <w:r>
        <w:rPr>
          <w:rFonts w:ascii="Arial" w:hAnsi="Arial" w:cs="Arial"/>
          <w:sz w:val="22"/>
          <w:b/>
        </w:rPr>
        <w:t xml:space="preserve">Critères de recette proposés</w:t>
      </w:r>
    </w:p>
    <w:tbl>
      <w:tblPr>
        <w:tblStyle w:val="Grilledutableau"/>
        <w:tblW w:w="9072" w:type="dxa"/>
        <w:tblLayout w:type="fixed"/>
        <w:tblBorders>
          <w:top w:val="single" w:sz="4" w:color="A6A6A6"/>
          <w:left w:val="single" w:sz="4" w:color="A6A6A6"/>
          <w:bottom w:val="single" w:sz="4" w:color="A6A6A6"/>
          <w:right w:val="single" w:sz="4" w:color="A6A6A6"/>
          <w:insideH w:val="single" w:sz="4" w:color="A6A6A6"/>
          <w:insideV w:val="single" w:sz="4" w:color="A6A6A6"/>
        </w:tblBorders>
        <w:tblCellMar>
          <w:top w:w="85" w:type="dxa"/>
          <w:left w:w="85" w:type="dxa"/>
          <w:bottom w:w="85" w:type="dxa"/>
          <w:right w:w="85" w:type="dxa"/>
        </w:tblCellMar>
      </w:tblPr>
      <w:tblGrid>
        <w:gridCol w:w="3300"/>
        <w:gridCol w:w="5772"/>
      </w:tblGrid>
      <w:tr>
        <w:trPr>
          <w:cantSplit/>
          <w:tblHeader/>
        </w:trPr>
        <w:tc>
          <w:tcPr>
            <w:tcW w:w="3300" w:type="dxa"/>
            <w:vAlign w:val="center"/>
            <w:shd w:val="clear" w:fill="B4C6E7"/>
          </w:tcPr>
          <w:p>
            <w:pPr>
              <w:spacing w:before="40" w:after="40" w:line="264" w:lineRule="auto"/>
              <w:jc w:val="left"/>
            </w:pPr>
            <w:r>
              <w:rPr>
                <w:rFonts w:ascii="Arial" w:hAnsi="Arial" w:cs="Arial"/>
                <w:sz w:val="20"/>
                <w:b/>
              </w:rPr>
              <w:t xml:space="preserve">Cas de recette</w:t>
            </w:r>
          </w:p>
        </w:tc>
        <w:tc>
          <w:tcPr>
            <w:tcW w:w="5772" w:type="dxa"/>
            <w:vAlign w:val="center"/>
            <w:shd w:val="clear" w:fill="B4C6E7"/>
          </w:tcPr>
          <w:p>
            <w:pPr>
              <w:spacing w:before="40" w:after="40" w:line="264" w:lineRule="auto"/>
              <w:jc w:val="left"/>
            </w:pPr>
            <w:r>
              <w:rPr>
                <w:rFonts w:ascii="Arial" w:hAnsi="Arial" w:cs="Arial"/>
                <w:sz w:val="20"/>
                <w:b/>
              </w:rPr>
              <w:t xml:space="preserve">Résultat attendu</w:t>
            </w:r>
          </w:p>
        </w:tc>
      </w:tr>
      <w:tr>
        <w:trPr>
          <w:cantSplit/>
        </w:trPr>
        <w:tc>
          <w:tcPr>
            <w:tcW w:w="3300" w:type="dxa"/>
            <w:vAlign w:val="center"/>
          </w:tcPr>
          <w:p>
            <w:pPr>
              <w:spacing w:before="40" w:after="40" w:line="264" w:lineRule="auto"/>
              <w:jc w:val="left"/>
            </w:pPr>
            <w:r>
              <w:rPr>
                <w:rFonts w:ascii="Arial" w:hAnsi="Arial" w:cs="Arial"/>
                <w:sz w:val="20"/>
              </w:rPr>
              <w:t xml:space="preserve">Importer un lot valide Camunda 7 et un lot Zeebe</w:t>
            </w:r>
          </w:p>
        </w:tc>
        <w:tc>
          <w:tcPr>
            <w:tcW w:w="5772" w:type="dxa"/>
            <w:vAlign w:val="center"/>
          </w:tcPr>
          <w:p>
            <w:pPr>
              <w:spacing w:before="40" w:after="40" w:line="264" w:lineRule="auto"/>
              <w:jc w:val="left"/>
            </w:pPr>
            <w:r>
              <w:rPr>
                <w:rFonts w:ascii="Arial" w:hAnsi="Arial" w:cs="Arial"/>
                <w:sz w:val="20"/>
              </w:rPr>
              <w:t xml:space="preserve">Les fichiers sont reconnus ; le périmètre analysé est identifiable.</w:t>
            </w:r>
          </w:p>
        </w:tc>
      </w:tr>
      <w:tr>
        <w:trPr>
          <w:cantSplit/>
        </w:trPr>
        <w:tc>
          <w:tcPr>
            <w:tcW w:w="3300" w:type="dxa"/>
            <w:vAlign w:val="center"/>
          </w:tcPr>
          <w:p>
            <w:pPr>
              <w:spacing w:before="40" w:after="40" w:line="264" w:lineRule="auto"/>
              <w:jc w:val="left"/>
            </w:pPr>
            <w:r>
              <w:rPr>
                <w:rFonts w:ascii="Arial" w:hAnsi="Arial" w:cs="Arial"/>
                <w:sz w:val="20"/>
              </w:rPr>
              <w:t xml:space="preserve">Importer un XML mal formé</w:t>
            </w:r>
          </w:p>
        </w:tc>
        <w:tc>
          <w:tcPr>
            <w:tcW w:w="5772" w:type="dxa"/>
            <w:vAlign w:val="center"/>
          </w:tcPr>
          <w:p>
            <w:pPr>
              <w:spacing w:before="40" w:after="40" w:line="264" w:lineRule="auto"/>
              <w:jc w:val="left"/>
            </w:pPr>
            <w:r>
              <w:rPr>
                <w:rFonts w:ascii="Arial" w:hAnsi="Arial" w:cs="Arial"/>
                <w:sz w:val="20"/>
              </w:rPr>
              <w:t xml:space="preserve">Une erreur compréhensible est affichée ; le fichier n’est pas déclaré conforme.</w:t>
            </w:r>
          </w:p>
        </w:tc>
      </w:tr>
      <w:tr>
        <w:trPr>
          <w:cantSplit/>
        </w:trPr>
        <w:tc>
          <w:tcPr>
            <w:tcW w:w="3300" w:type="dxa"/>
            <w:vAlign w:val="center"/>
          </w:tcPr>
          <w:p>
            <w:pPr>
              <w:spacing w:before="40" w:after="40" w:line="264" w:lineRule="auto"/>
              <w:jc w:val="left"/>
            </w:pPr>
            <w:r>
              <w:rPr>
                <w:rFonts w:ascii="Arial" w:hAnsi="Arial" w:cs="Arial"/>
                <w:sz w:val="20"/>
              </w:rPr>
              <w:t xml:space="preserve">Utiliser des noms non conformes connus</w:t>
            </w:r>
          </w:p>
        </w:tc>
        <w:tc>
          <w:tcPr>
            <w:tcW w:w="5772" w:type="dxa"/>
            <w:vAlign w:val="center"/>
          </w:tcPr>
          <w:p>
            <w:pPr>
              <w:spacing w:before="40" w:after="40" w:line="264" w:lineRule="auto"/>
              <w:jc w:val="left"/>
            </w:pPr>
            <w:r>
              <w:rPr>
                <w:rFonts w:ascii="Arial" w:hAnsi="Arial" w:cs="Arial"/>
                <w:sz w:val="20"/>
              </w:rPr>
              <w:t xml:space="preserve">Les règles actives produisent les constats attendus et localisables.</w:t>
            </w:r>
          </w:p>
        </w:tc>
      </w:tr>
      <w:tr>
        <w:trPr>
          <w:cantSplit/>
        </w:trPr>
        <w:tc>
          <w:tcPr>
            <w:tcW w:w="3300" w:type="dxa"/>
            <w:vAlign w:val="center"/>
          </w:tcPr>
          <w:p>
            <w:pPr>
              <w:spacing w:before="40" w:after="40" w:line="264" w:lineRule="auto"/>
              <w:jc w:val="left"/>
            </w:pPr>
            <w:r>
              <w:rPr>
                <w:rFonts w:ascii="Arial" w:hAnsi="Arial" w:cs="Arial"/>
                <w:sz w:val="20"/>
              </w:rPr>
              <w:t xml:space="preserve">Charger un parent avec une cible absente puis un cycle</w:t>
            </w:r>
          </w:p>
        </w:tc>
        <w:tc>
          <w:tcPr>
            <w:tcW w:w="5772" w:type="dxa"/>
            <w:vAlign w:val="center"/>
          </w:tcPr>
          <w:p>
            <w:pPr>
              <w:spacing w:before="40" w:after="40" w:line="264" w:lineRule="auto"/>
              <w:jc w:val="left"/>
            </w:pPr>
            <w:r>
              <w:rPr>
                <w:rFonts w:ascii="Arial" w:hAnsi="Arial" w:cs="Arial"/>
                <w:sz w:val="20"/>
              </w:rPr>
              <w:t xml:space="preserve">Les cibles manquantes et cycles attendus sont signalés.</w:t>
            </w:r>
          </w:p>
        </w:tc>
      </w:tr>
      <w:tr>
        <w:trPr>
          <w:cantSplit/>
        </w:trPr>
        <w:tc>
          <w:tcPr>
            <w:tcW w:w="3300" w:type="dxa"/>
            <w:vAlign w:val="center"/>
          </w:tcPr>
          <w:p>
            <w:pPr>
              <w:spacing w:before="40" w:after="40" w:line="264" w:lineRule="auto"/>
              <w:jc w:val="left"/>
            </w:pPr>
            <w:r>
              <w:rPr>
                <w:rFonts w:ascii="Arial" w:hAnsi="Arial" w:cs="Arial"/>
                <w:sz w:val="20"/>
              </w:rPr>
              <w:t xml:space="preserve">Appliquer une correction puis réauditer</w:t>
            </w:r>
          </w:p>
        </w:tc>
        <w:tc>
          <w:tcPr>
            <w:tcW w:w="5772" w:type="dxa"/>
            <w:vAlign w:val="center"/>
          </w:tcPr>
          <w:p>
            <w:pPr>
              <w:spacing w:before="40" w:after="40" w:line="264" w:lineRule="auto"/>
              <w:jc w:val="left"/>
            </w:pPr>
            <w:r>
              <w:rPr>
                <w:rFonts w:ascii="Arial" w:hAnsi="Arial" w:cs="Arial"/>
                <w:sz w:val="20"/>
              </w:rPr>
              <w:t xml:space="preserve">L’original est inchangé ; la copie reste lisible et les références sont vérifiées.</w:t>
            </w:r>
          </w:p>
        </w:tc>
      </w:tr>
      <w:tr>
        <w:trPr>
          <w:cantSplit/>
        </w:trPr>
        <w:tc>
          <w:tcPr>
            <w:tcW w:w="3300" w:type="dxa"/>
            <w:vAlign w:val="center"/>
          </w:tcPr>
          <w:p>
            <w:pPr>
              <w:spacing w:before="40" w:after="40" w:line="264" w:lineRule="auto"/>
              <w:jc w:val="left"/>
            </w:pPr>
            <w:r>
              <w:rPr>
                <w:rFonts w:ascii="Arial" w:hAnsi="Arial" w:cs="Arial"/>
                <w:sz w:val="20"/>
              </w:rPr>
              <w:t xml:space="preserve">Compléter PMG et exporter un rapport</w:t>
            </w:r>
          </w:p>
        </w:tc>
        <w:tc>
          <w:tcPr>
            <w:tcW w:w="5772" w:type="dxa"/>
            <w:vAlign w:val="center"/>
          </w:tcPr>
          <w:p>
            <w:pPr>
              <w:spacing w:before="40" w:after="40" w:line="264" w:lineRule="auto"/>
              <w:jc w:val="left"/>
            </w:pPr>
            <w:r>
              <w:rPr>
                <w:rFonts w:ascii="Arial" w:hAnsi="Arial" w:cs="Arial"/>
                <w:sz w:val="20"/>
              </w:rPr>
              <w:t xml:space="preserve">Les données saisies et les constats attendus apparaissent dans l’export.</w:t>
            </w:r>
          </w:p>
        </w:tc>
      </w:tr>
      <w:tr>
        <w:trPr>
          <w:cantSplit/>
        </w:trPr>
        <w:tc>
          <w:tcPr>
            <w:tcW w:w="3300" w:type="dxa"/>
            <w:vAlign w:val="center"/>
          </w:tcPr>
          <w:p>
            <w:pPr>
              <w:spacing w:before="40" w:after="40" w:line="264" w:lineRule="auto"/>
              <w:jc w:val="left"/>
            </w:pPr>
            <w:r>
              <w:rPr>
                <w:rFonts w:ascii="Arial" w:hAnsi="Arial" w:cs="Arial"/>
                <w:sz w:val="20"/>
              </w:rPr>
              <w:t xml:space="preserve">Comparer deux modèles avec écarts connus</w:t>
            </w:r>
          </w:p>
        </w:tc>
        <w:tc>
          <w:tcPr>
            <w:tcW w:w="5772" w:type="dxa"/>
            <w:vAlign w:val="center"/>
          </w:tcPr>
          <w:p>
            <w:pPr>
              <w:spacing w:before="40" w:after="40" w:line="264" w:lineRule="auto"/>
              <w:jc w:val="left"/>
            </w:pPr>
            <w:r>
              <w:rPr>
                <w:rFonts w:ascii="Arial" w:hAnsi="Arial" w:cs="Arial"/>
                <w:sz w:val="20"/>
              </w:rPr>
              <w:t xml:space="preserve">Les ajouts, suppressions et modifications attendus sont identifiés.</w:t>
            </w:r>
          </w:p>
        </w:tc>
      </w:tr>
      <w:tr>
        <w:trPr>
          <w:cantSplit/>
        </w:trPr>
        <w:tc>
          <w:tcPr>
            <w:tcW w:w="3300" w:type="dxa"/>
            <w:vAlign w:val="center"/>
          </w:tcPr>
          <w:p>
            <w:pPr>
              <w:spacing w:before="40" w:after="40" w:line="264" w:lineRule="auto"/>
              <w:jc w:val="left"/>
            </w:pPr>
            <w:r>
              <w:rPr>
                <w:rFonts w:ascii="Arial" w:hAnsi="Arial" w:cs="Arial"/>
                <w:sz w:val="20"/>
              </w:rPr>
              <w:t xml:space="preserve">Tester un lot de référence représentatif</w:t>
            </w:r>
          </w:p>
        </w:tc>
        <w:tc>
          <w:tcPr>
            <w:tcW w:w="5772" w:type="dxa"/>
            <w:vAlign w:val="center"/>
          </w:tcPr>
          <w:p>
            <w:pPr>
              <w:spacing w:before="40" w:after="40" w:line="264" w:lineRule="auto"/>
              <w:jc w:val="left"/>
            </w:pPr>
            <w:r>
              <w:rPr>
                <w:rFonts w:ascii="Arial" w:hAnsi="Arial" w:cs="Arial"/>
                <w:sz w:val="20"/>
              </w:rPr>
              <w:t xml:space="preserve">Temps, mémoire et limites sont mesurés ; les seuils acceptables sont validés.</w:t>
            </w:r>
          </w:p>
        </w:tc>
      </w:tr>
    </w:tbl>
    <w:p>
      <w:pPr>
        <w:spacing w:before="100" w:after="100" w:line="264" w:lineRule="auto"/>
        <w:jc w:val="left"/>
      </w:pPr>
      <w:r>
        <w:rPr>
          <w:rFonts w:ascii="Arial" w:hAnsi="Arial" w:cs="Arial"/>
          <w:sz w:val="4"/>
        </w:rPr>
        <w:t xml:space="preserve"/>
      </w:r>
    </w:p>
    <w:p>
      <w:pPr>
        <w:spacing w:before="100" w:after="100" w:line="264" w:lineRule="auto"/>
        <w:jc w:val="left"/>
      </w:pPr>
      <w:r>
        <w:rPr>
          <w:rFonts w:ascii="Arial" w:hAnsi="Arial" w:cs="Arial"/>
          <w:sz w:val="20"/>
        </w:rPr>
        <w:t xml:space="preserve">Jeux d’essai à constituer : lot nominal, cas d’erreur par règle prioritaire, expressions dynamiques et scénario de correction inter-processus. Le jeu test_process.bpmn fournit un point de départ, sans constituer à lui seul une recette complète.</w:t>
      </w:r>
    </w:p>
    <w:p>
      <w:pPr>
        <w:pStyle w:val="Titre1"/>
        <w:pageBreakBefore/>
        <w:keepNext/>
        <w:spacing w:before="180" w:after="100" w:line="264" w:lineRule="auto"/>
        <w:jc w:val="left"/>
      </w:pPr>
      <w:r>
        <w:rPr>
          <w:rFonts w:ascii="Arial" w:hAnsi="Arial" w:cs="Arial"/>
          <w:sz w:val="24"/>
          <w:b/>
        </w:rPr>
        <w:t xml:space="preserve">GESTION DES EXCEPTIONS</w:t>
      </w:r>
    </w:p>
    <w:p>
      <w:pPr>
        <w:spacing w:before="100" w:after="100" w:line="264" w:lineRule="auto"/>
        <w:jc w:val="left"/>
      </w:pPr>
      <w:r>
        <w:rPr>
          <w:rFonts w:ascii="Arial" w:hAnsi="Arial" w:cs="Arial"/>
          <w:sz w:val="22"/>
        </w:rPr>
        <w:t xml:space="preserve">Les comportements ci-dessous constituent les attentes proposées pour la recette. Ils doivent être confirmés sur les modules concernés. Un constat métier détecté par l’audit est distingué d’un échec technique de traitement.</w:t>
      </w:r>
    </w:p>
    <w:tbl>
      <w:tblPr>
        <w:tblStyle w:val="Grilledutableau"/>
        <w:tblW w:w="9072" w:type="dxa"/>
        <w:tblLayout w:type="fixed"/>
        <w:tblBorders>
          <w:top w:val="single" w:sz="4" w:color="A6A6A6"/>
          <w:left w:val="single" w:sz="4" w:color="A6A6A6"/>
          <w:bottom w:val="single" w:sz="4" w:color="A6A6A6"/>
          <w:right w:val="single" w:sz="4" w:color="A6A6A6"/>
          <w:insideH w:val="single" w:sz="4" w:color="A6A6A6"/>
          <w:insideV w:val="single" w:sz="4" w:color="A6A6A6"/>
        </w:tblBorders>
        <w:tblCellMar>
          <w:top w:w="85" w:type="dxa"/>
          <w:left w:w="85" w:type="dxa"/>
          <w:bottom w:w="85" w:type="dxa"/>
          <w:right w:w="85" w:type="dxa"/>
        </w:tblCellMar>
      </w:tblPr>
      <w:tblGrid>
        <w:gridCol w:w="3200"/>
        <w:gridCol w:w="5872"/>
      </w:tblGrid>
      <w:tr>
        <w:trPr>
          <w:cantSplit/>
          <w:tblHeader/>
        </w:trPr>
        <w:tc>
          <w:tcPr>
            <w:tcW w:w="3200" w:type="dxa"/>
            <w:vAlign w:val="center"/>
            <w:shd w:val="clear" w:fill="B4C6E7"/>
          </w:tcPr>
          <w:p>
            <w:pPr>
              <w:spacing w:before="40" w:after="40" w:line="264" w:lineRule="auto"/>
              <w:jc w:val="left"/>
            </w:pPr>
            <w:r>
              <w:rPr>
                <w:rFonts w:ascii="Arial" w:hAnsi="Arial" w:cs="Arial"/>
                <w:sz w:val="20"/>
                <w:b/>
              </w:rPr>
              <w:t xml:space="preserve">Exception</w:t>
            </w:r>
          </w:p>
        </w:tc>
        <w:tc>
          <w:tcPr>
            <w:tcW w:w="5872" w:type="dxa"/>
            <w:vAlign w:val="center"/>
            <w:shd w:val="clear" w:fill="B4C6E7"/>
          </w:tcPr>
          <w:p>
            <w:pPr>
              <w:spacing w:before="40" w:after="40" w:line="264" w:lineRule="auto"/>
              <w:jc w:val="left"/>
            </w:pPr>
            <w:r>
              <w:rPr>
                <w:rFonts w:ascii="Arial" w:hAnsi="Arial" w:cs="Arial"/>
                <w:sz w:val="20"/>
                <w:b/>
              </w:rPr>
              <w:t xml:space="preserve">Traitement et reprise attendus</w:t>
            </w:r>
          </w:p>
        </w:tc>
      </w:tr>
      <w:tr>
        <w:trPr>
          <w:cantSplit/>
        </w:trPr>
        <w:tc>
          <w:tcPr>
            <w:tcW w:w="3200" w:type="dxa"/>
            <w:vAlign w:val="center"/>
          </w:tcPr>
          <w:p>
            <w:pPr>
              <w:spacing w:before="40" w:after="40" w:line="264" w:lineRule="auto"/>
              <w:jc w:val="left"/>
            </w:pPr>
            <w:r>
              <w:rPr>
                <w:rFonts w:ascii="Arial" w:hAnsi="Arial" w:cs="Arial"/>
                <w:sz w:val="20"/>
              </w:rPr>
              <w:t xml:space="preserve">1 Aucun fichier sélectionné</w:t>
            </w:r>
          </w:p>
        </w:tc>
        <w:tc>
          <w:tcPr>
            <w:tcW w:w="5872" w:type="dxa"/>
            <w:vAlign w:val="center"/>
          </w:tcPr>
          <w:p>
            <w:pPr>
              <w:spacing w:before="40" w:after="40" w:line="264" w:lineRule="auto"/>
              <w:jc w:val="left"/>
            </w:pPr>
            <w:r>
              <w:rPr>
                <w:rFonts w:ascii="Arial" w:hAnsi="Arial" w:cs="Arial"/>
                <w:sz w:val="20"/>
              </w:rPr>
              <w:t xml:space="preserve">Inviter l’utilisateur à fournir une entrée avant analyse. Reprendre après sélection.</w:t>
            </w:r>
          </w:p>
        </w:tc>
      </w:tr>
      <w:tr>
        <w:trPr>
          <w:cantSplit/>
        </w:trPr>
        <w:tc>
          <w:tcPr>
            <w:tcW w:w="3200" w:type="dxa"/>
            <w:vAlign w:val="center"/>
          </w:tcPr>
          <w:p>
            <w:pPr>
              <w:spacing w:before="40" w:after="40" w:line="264" w:lineRule="auto"/>
              <w:jc w:val="left"/>
            </w:pPr>
            <w:r>
              <w:rPr>
                <w:rFonts w:ascii="Arial" w:hAnsi="Arial" w:cs="Arial"/>
                <w:sz w:val="20"/>
              </w:rPr>
              <w:t xml:space="preserve">2 Format ou XML invalide</w:t>
            </w:r>
          </w:p>
        </w:tc>
        <w:tc>
          <w:tcPr>
            <w:tcW w:w="5872" w:type="dxa"/>
            <w:vAlign w:val="center"/>
          </w:tcPr>
          <w:p>
            <w:pPr>
              <w:spacing w:before="40" w:after="40" w:line="264" w:lineRule="auto"/>
              <w:jc w:val="left"/>
            </w:pPr>
            <w:r>
              <w:rPr>
                <w:rFonts w:ascii="Arial" w:hAnsi="Arial" w:cs="Arial"/>
                <w:sz w:val="20"/>
              </w:rPr>
              <w:t xml:space="preserve">Identifier le fichier rejeté et la cause disponible. Corriger ou remplacer l’entrée puis relancer.</w:t>
            </w:r>
          </w:p>
        </w:tc>
      </w:tr>
      <w:tr>
        <w:trPr>
          <w:cantSplit/>
        </w:trPr>
        <w:tc>
          <w:tcPr>
            <w:tcW w:w="3200" w:type="dxa"/>
            <w:vAlign w:val="center"/>
          </w:tcPr>
          <w:p>
            <w:pPr>
              <w:spacing w:before="40" w:after="40" w:line="264" w:lineRule="auto"/>
              <w:jc w:val="left"/>
            </w:pPr>
            <w:r>
              <w:rPr>
                <w:rFonts w:ascii="Arial" w:hAnsi="Arial" w:cs="Arial"/>
                <w:sz w:val="20"/>
              </w:rPr>
              <w:t xml:space="preserve">3 Lot incomplet ou cible dynamique</w:t>
            </w:r>
          </w:p>
        </w:tc>
        <w:tc>
          <w:tcPr>
            <w:tcW w:w="5872" w:type="dxa"/>
            <w:vAlign w:val="center"/>
          </w:tcPr>
          <w:p>
            <w:pPr>
              <w:spacing w:before="40" w:after="40" w:line="264" w:lineRule="auto"/>
              <w:jc w:val="left"/>
            </w:pPr>
            <w:r>
              <w:rPr>
                <w:rFonts w:ascii="Arial" w:hAnsi="Arial" w:cs="Arial"/>
                <w:sz w:val="20"/>
              </w:rPr>
              <w:t xml:space="preserve">Signaler les limites de résolution. Ajouter le sous-processus ou faire confirmer la dépendance par le référent.</w:t>
            </w:r>
          </w:p>
        </w:tc>
      </w:tr>
      <w:tr>
        <w:trPr>
          <w:cantSplit/>
        </w:trPr>
        <w:tc>
          <w:tcPr>
            <w:tcW w:w="3200" w:type="dxa"/>
            <w:vAlign w:val="center"/>
          </w:tcPr>
          <w:p>
            <w:pPr>
              <w:spacing w:before="40" w:after="40" w:line="264" w:lineRule="auto"/>
              <w:jc w:val="left"/>
            </w:pPr>
            <w:r>
              <w:rPr>
                <w:rFonts w:ascii="Arial" w:hAnsi="Arial" w:cs="Arial"/>
                <w:sz w:val="20"/>
              </w:rPr>
              <w:t xml:space="preserve">4 Identifiants dupliqués ou cycle</w:t>
            </w:r>
          </w:p>
        </w:tc>
        <w:tc>
          <w:tcPr>
            <w:tcW w:w="5872" w:type="dxa"/>
            <w:vAlign w:val="center"/>
          </w:tcPr>
          <w:p>
            <w:pPr>
              <w:spacing w:before="40" w:after="40" w:line="264" w:lineRule="auto"/>
              <w:jc w:val="left"/>
            </w:pPr>
            <w:r>
              <w:rPr>
                <w:rFonts w:ascii="Arial" w:hAnsi="Arial" w:cs="Arial"/>
                <w:sz w:val="20"/>
              </w:rPr>
              <w:t xml:space="preserve">Afficher les éléments concernés. Revoir le modèle avant de poursuivre la validation.</w:t>
            </w:r>
          </w:p>
        </w:tc>
      </w:tr>
      <w:tr>
        <w:trPr>
          <w:cantSplit/>
        </w:trPr>
        <w:tc>
          <w:tcPr>
            <w:tcW w:w="3200" w:type="dxa"/>
            <w:vAlign w:val="center"/>
          </w:tcPr>
          <w:p>
            <w:pPr>
              <w:spacing w:before="40" w:after="40" w:line="264" w:lineRule="auto"/>
              <w:jc w:val="left"/>
            </w:pPr>
            <w:r>
              <w:rPr>
                <w:rFonts w:ascii="Arial" w:hAnsi="Arial" w:cs="Arial"/>
                <w:sz w:val="20"/>
              </w:rPr>
              <w:t xml:space="preserve">5 Volume excessif ou navigateur saturé</w:t>
            </w:r>
          </w:p>
        </w:tc>
        <w:tc>
          <w:tcPr>
            <w:tcW w:w="5872" w:type="dxa"/>
            <w:vAlign w:val="center"/>
          </w:tcPr>
          <w:p>
            <w:pPr>
              <w:spacing w:before="40" w:after="40" w:line="264" w:lineRule="auto"/>
              <w:jc w:val="left"/>
            </w:pPr>
            <w:r>
              <w:rPr>
                <w:rFonts w:ascii="Arial" w:hAnsi="Arial" w:cs="Arial"/>
                <w:sz w:val="20"/>
              </w:rPr>
              <w:t xml:space="preserve">Informer l’utilisateur de l’échec ; réduire le lot ou ajuster la limite validée. Ne pas interpréter un rapport partiel comme complet.</w:t>
            </w:r>
          </w:p>
        </w:tc>
      </w:tr>
      <w:tr>
        <w:trPr>
          <w:cantSplit/>
        </w:trPr>
        <w:tc>
          <w:tcPr>
            <w:tcW w:w="3200" w:type="dxa"/>
            <w:vAlign w:val="center"/>
          </w:tcPr>
          <w:p>
            <w:pPr>
              <w:spacing w:before="40" w:after="40" w:line="264" w:lineRule="auto"/>
              <w:jc w:val="left"/>
            </w:pPr>
            <w:r>
              <w:rPr>
                <w:rFonts w:ascii="Arial" w:hAnsi="Arial" w:cs="Arial"/>
                <w:sz w:val="20"/>
              </w:rPr>
              <w:t xml:space="preserve">6 Échec d’export ou bibliothèque indisponible</w:t>
            </w:r>
          </w:p>
        </w:tc>
        <w:tc>
          <w:tcPr>
            <w:tcW w:w="5872" w:type="dxa"/>
            <w:vAlign w:val="center"/>
          </w:tcPr>
          <w:p>
            <w:pPr>
              <w:spacing w:before="40" w:after="40" w:line="264" w:lineRule="auto"/>
              <w:jc w:val="left"/>
            </w:pPr>
            <w:r>
              <w:rPr>
                <w:rFonts w:ascii="Arial" w:hAnsi="Arial" w:cs="Arial"/>
                <w:sz w:val="20"/>
              </w:rPr>
              <w:t xml:space="preserve">Conserver les résultats accessibles ; vérifier téléchargement, dépendances et politique réseau puis réessayer.</w:t>
            </w:r>
          </w:p>
        </w:tc>
      </w:tr>
      <w:tr>
        <w:trPr>
          <w:cantSplit/>
        </w:trPr>
        <w:tc>
          <w:tcPr>
            <w:tcW w:w="3200" w:type="dxa"/>
            <w:vAlign w:val="center"/>
          </w:tcPr>
          <w:p>
            <w:pPr>
              <w:spacing w:before="40" w:after="40" w:line="264" w:lineRule="auto"/>
              <w:jc w:val="left"/>
            </w:pPr>
            <w:r>
              <w:rPr>
                <w:rFonts w:ascii="Arial" w:hAnsi="Arial" w:cs="Arial"/>
                <w:sz w:val="20"/>
              </w:rPr>
              <w:t xml:space="preserve">7 Stockage local indisponible ou saturé</w:t>
            </w:r>
          </w:p>
        </w:tc>
        <w:tc>
          <w:tcPr>
            <w:tcW w:w="5872" w:type="dxa"/>
            <w:vAlign w:val="center"/>
          </w:tcPr>
          <w:p>
            <w:pPr>
              <w:spacing w:before="40" w:after="40" w:line="264" w:lineRule="auto"/>
              <w:jc w:val="left"/>
            </w:pPr>
            <w:r>
              <w:rPr>
                <w:rFonts w:ascii="Arial" w:hAnsi="Arial" w:cs="Arial"/>
                <w:sz w:val="20"/>
              </w:rPr>
              <w:t xml:space="preserve">Signaler l’échec de sauvegarde. Exporter les éléments utiles avant fermeture ; les règles de conservation sont à confirmer.</w:t>
            </w:r>
          </w:p>
        </w:tc>
      </w:tr>
      <w:tr>
        <w:trPr>
          <w:cantSplit/>
        </w:trPr>
        <w:tc>
          <w:tcPr>
            <w:tcW w:w="3200" w:type="dxa"/>
            <w:vAlign w:val="center"/>
          </w:tcPr>
          <w:p>
            <w:pPr>
              <w:spacing w:before="40" w:after="40" w:line="264" w:lineRule="auto"/>
              <w:jc w:val="left"/>
            </w:pPr>
            <w:r>
              <w:rPr>
                <w:rFonts w:ascii="Arial" w:hAnsi="Arial" w:cs="Arial"/>
                <w:sz w:val="20"/>
              </w:rPr>
              <w:t xml:space="preserve">8 Accès ou environnement indisponible</w:t>
            </w:r>
          </w:p>
        </w:tc>
        <w:tc>
          <w:tcPr>
            <w:tcW w:w="5872" w:type="dxa"/>
            <w:vAlign w:val="center"/>
          </w:tcPr>
          <w:p>
            <w:pPr>
              <w:spacing w:before="40" w:after="40" w:line="264" w:lineRule="auto"/>
              <w:jc w:val="left"/>
            </w:pPr>
            <w:r>
              <w:rPr>
                <w:rFonts w:ascii="Arial" w:hAnsi="Arial" w:cs="Arial"/>
                <w:sz w:val="20"/>
              </w:rPr>
              <w:t xml:space="preserve">Vérifier l’accès à l’outil et les droits ; solliciter le support identifié. Aucun accès à la production n’est contourné.</w:t>
            </w:r>
          </w:p>
        </w:tc>
      </w:tr>
      <w:tr>
        <w:trPr>
          <w:cantSplit/>
        </w:trPr>
        <w:tc>
          <w:tcPr>
            <w:tcW w:w="3200" w:type="dxa"/>
            <w:vAlign w:val="center"/>
          </w:tcPr>
          <w:p>
            <w:pPr>
              <w:spacing w:before="40" w:after="40" w:line="264" w:lineRule="auto"/>
              <w:jc w:val="left"/>
            </w:pPr>
            <w:r>
              <w:rPr>
                <w:rFonts w:ascii="Arial" w:hAnsi="Arial" w:cs="Arial"/>
                <w:sz w:val="20"/>
              </w:rPr>
              <w:t xml:space="preserve">9 Copie corrigée incohérente</w:t>
            </w:r>
          </w:p>
        </w:tc>
        <w:tc>
          <w:tcPr>
            <w:tcW w:w="5872" w:type="dxa"/>
            <w:vAlign w:val="center"/>
          </w:tcPr>
          <w:p>
            <w:pPr>
              <w:spacing w:before="40" w:after="40" w:line="264" w:lineRule="auto"/>
              <w:jc w:val="left"/>
            </w:pPr>
            <w:r>
              <w:rPr>
                <w:rFonts w:ascii="Arial" w:hAnsi="Arial" w:cs="Arial"/>
                <w:sz w:val="20"/>
              </w:rPr>
              <w:t xml:space="preserve">Revenir au modèle original, examiner la suggestion et effectuer la correction manuellement. Réauditer et tester.</w:t>
            </w:r>
          </w:p>
        </w:tc>
      </w:tr>
    </w:tbl>
    <w:p>
      <w:pPr>
        <w:spacing w:before="100" w:after="100" w:line="264" w:lineRule="auto"/>
        <w:jc w:val="left"/>
      </w:pPr>
      <w:r>
        <w:rPr>
          <w:rFonts w:ascii="Arial" w:hAnsi="Arial" w:cs="Arial"/>
          <w:sz w:val="4"/>
        </w:rPr>
        <w:t xml:space="preserve"/>
      </w:r>
    </w:p>
    <w:p>
      <w:pPr>
        <w:spacing w:before="100" w:after="100" w:line="264" w:lineRule="auto"/>
        <w:jc w:val="left"/>
      </w:pPr>
      <w:r>
        <w:rPr>
          <w:rFonts w:ascii="Arial" w:hAnsi="Arial" w:cs="Arial"/>
          <w:sz w:val="20"/>
        </w:rPr>
        <w:t xml:space="preserve">Pour le support, joindre si nécessaire le module, la version de l’outil, les étapes de reproduction et un exemple anonymisé. Le canal, les responsables et les délais de prise en charge restent à confirmer.</w:t>
      </w:r>
    </w:p>
    <w:p>
      <w:pPr>
        <w:pStyle w:val="Titre1"/>
        <w:pageBreakBefore/>
        <w:keepNext/>
        <w:spacing w:before="180" w:after="100" w:line="264" w:lineRule="auto"/>
        <w:jc w:val="left"/>
      </w:pPr>
      <w:r>
        <w:rPr>
          <w:rFonts w:ascii="Arial" w:hAnsi="Arial" w:cs="Arial"/>
          <w:sz w:val="24"/>
          <w:b/>
        </w:rPr>
        <w:t xml:space="preserve">ELEMENTS DE ROI</w:t>
      </w:r>
    </w:p>
    <w:p>
      <w:pPr>
        <w:spacing w:before="100" w:after="100" w:line="264" w:lineRule="auto"/>
        <w:jc w:val="left"/>
      </w:pPr>
      <w:r>
        <w:rPr>
          <w:rFonts w:ascii="Arial" w:hAnsi="Arial" w:cs="Arial"/>
          <w:sz w:val="22"/>
        </w:rPr>
        <w:t xml:space="preserve">Les gains recherchés sont la réduction du temps d’audit, de cartographie et de rédaction documentaire, ainsi qu’une détection plus précoce des anomalies. La volumétrie de lancement, le temps de référence et l’économie annuelle restent à mesurer. Les chiffres de l’exemple VEGA et les promesses commerciales de la présentation ne sont pas repris comme résultats acquis.</w:t>
      </w:r>
    </w:p>
    <w:p>
      <w:pPr>
        <w:spacing w:before="100" w:after="100" w:line="264" w:lineRule="auto"/>
        <w:jc w:val="left"/>
      </w:pPr>
      <w:r>
        <w:rPr>
          <w:rFonts w:ascii="Arial" w:hAnsi="Arial" w:cs="Arial"/>
          <w:sz w:val="22"/>
        </w:rPr>
        <w:t xml:space="preserve">Méthode proposée : mesurer sur un même lot le temps manuel et le temps avec Paprika, en incluant la revue, la correction et la vérification des exports. Heures gagnées par an = nombre de lots annuels × différence de temps par lot. Gain net annuel = heures gagnées × coût horaire − coûts annuels d’exploitation. Inclure le coût initial pour calculer le retour sur investissement.</w:t>
      </w:r>
    </w:p>
    <w:p>
      <w:pPr>
        <w:pStyle w:val="Titre1"/>
        <w:keepNext/>
        <w:spacing w:before="180" w:after="100" w:line="264" w:lineRule="auto"/>
        <w:jc w:val="left"/>
      </w:pPr>
      <w:r>
        <w:rPr>
          <w:rFonts w:ascii="Arial" w:hAnsi="Arial" w:cs="Arial"/>
          <w:sz w:val="24"/>
          <w:b/>
        </w:rPr>
        <w:t xml:space="preserve">EXPLOITATION DU PROCESSUS</w:t>
      </w:r>
    </w:p>
    <w:p>
      <w:pPr>
        <w:pStyle w:val="Titre2"/>
        <w:numPr>
          <w:numId w:val="0"/>
        </w:numPr>
        <w:keepNext/>
        <w:spacing w:before="180" w:after="100" w:line="264" w:lineRule="auto"/>
        <w:jc w:val="left"/>
      </w:pPr>
      <w:r>
        <w:rPr>
          <w:rFonts w:ascii="Arial" w:hAnsi="Arial" w:cs="Arial"/>
          <w:sz w:val="22"/>
          <w:b/>
        </w:rPr>
        <w:t xml:space="preserve">Plage horaire et modalités de mise en service</w:t>
      </w:r>
    </w:p>
    <w:p>
      <w:pPr>
        <w:spacing w:before="100" w:after="100" w:line="264" w:lineRule="auto"/>
        <w:jc w:val="left"/>
      </w:pPr>
      <w:r>
        <w:rPr>
          <w:rFonts w:ascii="Arial" w:hAnsi="Arial" w:cs="Arial"/>
          <w:sz w:val="22"/>
        </w:rPr>
        <w:t xml:space="preserve">Usage interactif à la demande. Aucun horaire de robot planifié n’est défini. L’hébergement, la disponibilité cible, le support et les modalités de mise à jour sont à confirmer. Le fonctionnement hors ligne dépend de la disponibilité locale des ressources nécessaires.</w:t>
      </w:r>
    </w:p>
    <w:p>
      <w:pPr>
        <w:pStyle w:val="Titre2"/>
        <w:numPr>
          <w:numId w:val="0"/>
        </w:numPr>
        <w:keepNext/>
        <w:spacing w:before="180" w:after="100" w:line="264" w:lineRule="auto"/>
        <w:jc w:val="left"/>
      </w:pPr>
      <w:r>
        <w:rPr>
          <w:rFonts w:ascii="Arial" w:hAnsi="Arial" w:cs="Arial"/>
          <w:sz w:val="22"/>
          <w:b/>
        </w:rPr>
        <w:t xml:space="preserve">Retraitement des cas en échec</w:t>
      </w:r>
    </w:p>
    <w:p>
      <w:pPr>
        <w:spacing w:before="100" w:after="100" w:line="264" w:lineRule="auto"/>
        <w:jc w:val="left"/>
      </w:pPr>
      <w:r>
        <w:rPr>
          <w:rFonts w:ascii="Arial" w:hAnsi="Arial" w:cs="Arial"/>
          <w:sz w:val="22"/>
        </w:rPr>
        <w:t xml:space="preserve">Reprendre à partir des fichiers originaux après correction de la cause. Recharger les mêmes règles, relancer l’analyse et comparer les résultats. Conserver les rapports validés selon la politique documentaire de l’équipe ; le stockage local ne constitue pas une sauvegarde partagée.</w:t>
      </w:r>
    </w:p>
    <w:p>
      <w:pPr>
        <w:pStyle w:val="Titre1"/>
        <w:keepNext/>
        <w:spacing w:before="180" w:after="100" w:line="264" w:lineRule="auto"/>
        <w:jc w:val="left"/>
      </w:pPr>
      <w:r>
        <w:rPr>
          <w:rFonts w:ascii="Arial" w:hAnsi="Arial" w:cs="Arial"/>
          <w:sz w:val="24"/>
          <w:b/>
        </w:rPr>
        <w:t xml:space="preserve">INFORMATIONS COMPLEMENTAIRES</w:t>
      </w:r>
    </w:p>
    <w:p>
      <w:pPr>
        <w:spacing w:before="100" w:after="100" w:line="264" w:lineRule="auto"/>
        <w:jc w:val="left"/>
      </w:pPr>
      <w:r>
        <w:rPr>
          <w:rFonts w:ascii="Arial" w:hAnsi="Arial" w:cs="Arial"/>
          <w:sz w:val="20"/>
        </w:rPr>
        <w:t xml:space="preserve">Sources locales utilisées : README.md, GUIDE_UTILISATEUR.md et PRESENTATION_PAPRIKA.md. Vérifications ponctuelles dans index.html, js/app.js et main.js pour les dépendances réseau, la connexion locale et le mode de distribution. Ces éléments décrivent l’existant ; ils ne constituent pas un procès-verbal de recette.</w:t>
      </w:r>
    </w:p>
    <w:p>
      <w:pPr>
        <w:spacing w:before="100" w:after="100" w:line="264" w:lineRule="auto"/>
        <w:jc w:val="left"/>
      </w:pPr>
      <w:r>
        <w:rPr>
          <w:rFonts w:ascii="Arial" w:hAnsi="Arial" w:cs="Arial"/>
          <w:sz w:val="20"/>
          <w:b/>
        </w:rPr>
        <w:t xml:space="preserve">Décisions à confirmer : responsable et contacts ; priorité et périmètre de la première version ; URL et environnements ; dispositif d’accès ; règles de référence ; volumétrie et seuils de performance ; criticité ; archivage ; support ; données de ROI et validation finale.</w:t>
      </w:r>
    </w:p>
    <w:sectPr w:rsidR="00EC2358" w:rsidRPr="00CC3BA5" w:rsidSect="00701259">
      <w:headerReference w:type="default" r:id="rId70"/>
      <w:footerReference w:type="default" r:id="rId71"/>
      <w:headerReference w:type="first" r:id="rId72"/>
      <w:pgSz w:w="11906" w:h="16838"/>
      <w:pgMar w:top="1417" w:right="1417" w:bottom="1417" w:left="1417"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SII VELIZY - AMANTCHO, Vanessa" w:date="2025-02-04T17:07:00Z" w:initials="VA">
    <w:p w14:paraId="643CF7CD" w14:textId="77777777" w:rsidR="00526823" w:rsidRDefault="00526823" w:rsidP="00526823">
      <w:pPr>
        <w:pStyle w:val="Commentaire"/>
      </w:pPr>
      <w:r>
        <w:rPr>
          <w:rStyle w:val="Marquedecommentaire"/>
        </w:rPr>
        <w:annotationRef/>
      </w:r>
      <w:r>
        <w:t>Après avoir fait suivant , comment fais-t ’on pour rajouter le second utilisateur?</w:t>
      </w:r>
    </w:p>
  </w:comment>
  <w:comment w:id="28" w:author="SII VELIZY - AMANTCHO, Vanessa" w:date="2025-02-05T11:14:00Z" w:initials="VA">
    <w:p w14:paraId="36EB93DA" w14:textId="77777777" w:rsidR="00176562" w:rsidRDefault="00176562" w:rsidP="00176562">
      <w:pPr>
        <w:pStyle w:val="Commentaire"/>
      </w:pPr>
      <w:r>
        <w:rPr>
          <w:rStyle w:val="Marquedecommentaire"/>
        </w:rPr>
        <w:annotationRef/>
      </w:r>
      <w:r>
        <w:t>Prière partager le fichier de correspondance entre le Nb sonneries et les secondes</w:t>
      </w:r>
    </w:p>
  </w:comment>
  <w:comment w:id="29" w:author="SII VELIZY - AMANTCHO, Vanessa" w:date="2025-02-04T17:43:00Z" w:initials="VA">
    <w:p w14:paraId="487718EF" w14:textId="123D82E8" w:rsidR="0012545D" w:rsidRDefault="0012545D" w:rsidP="0012545D">
      <w:pPr>
        <w:pStyle w:val="Commentaire"/>
      </w:pPr>
      <w:r>
        <w:rPr>
          <w:rStyle w:val="Marquedecommentaire"/>
        </w:rPr>
        <w:annotationRef/>
      </w:r>
      <w:r>
        <w:t>Quelle valeur devrons-nous mettre dans ce champ?</w:t>
      </w:r>
    </w:p>
  </w:comment>
  <w:comment w:id="30" w:author="SII VELIZY - AMANTCHO, Vanessa" w:date="2025-02-05T10:35:00Z" w:initials="VA">
    <w:p w14:paraId="5C86BBD2" w14:textId="77777777" w:rsidR="00B82144" w:rsidRDefault="00B82144" w:rsidP="00B82144">
      <w:pPr>
        <w:pStyle w:val="Commentaire"/>
      </w:pPr>
      <w:r>
        <w:rPr>
          <w:rStyle w:val="Marquedecommentaire"/>
        </w:rPr>
        <w:annotationRef/>
      </w:r>
      <w:r>
        <w:t>Liste des destinataires à compléter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3CF7CD" w15:done="0"/>
  <w15:commentEx w15:paraId="36EB93DA" w15:done="0"/>
  <w15:commentEx w15:paraId="487718EF" w15:done="0"/>
  <w15:commentEx w15:paraId="5C86BB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CE428A" w16cex:dateUtc="2025-02-04T16:07:00Z"/>
  <w16cex:commentExtensible w16cex:durableId="28EE8D98" w16cex:dateUtc="2025-02-05T10:14:00Z"/>
  <w16cex:commentExtensible w16cex:durableId="61DB7F4C" w16cex:dateUtc="2025-02-04T16:43:00Z"/>
  <w16cex:commentExtensible w16cex:durableId="6507D349" w16cex:dateUtc="2025-02-05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3CF7CD" w16cid:durableId="48CE428A"/>
  <w16cid:commentId w16cid:paraId="36EB93DA" w16cid:durableId="28EE8D98"/>
  <w16cid:commentId w16cid:paraId="487718EF" w16cid:durableId="61DB7F4C"/>
  <w16cid:commentId w16cid:paraId="5C86BBD2" w16cid:durableId="6507D3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EEDF2" w14:textId="77777777" w:rsidR="00D60BE8" w:rsidRDefault="00D60BE8" w:rsidP="000A7EDD">
      <w:r>
        <w:separator/>
      </w:r>
    </w:p>
  </w:endnote>
  <w:endnote w:type="continuationSeparator" w:id="0">
    <w:p w14:paraId="6CC724D6" w14:textId="77777777" w:rsidR="00D60BE8" w:rsidRDefault="00D60BE8" w:rsidP="000A7EDD">
      <w:r>
        <w:continuationSeparator/>
      </w:r>
    </w:p>
  </w:endnote>
  <w:endnote w:type="continuationNotice" w:id="1">
    <w:p w14:paraId="72312740" w14:textId="77777777" w:rsidR="00D60BE8" w:rsidRDefault="00D60B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E7DF" w14:textId="16633FE5" w:rsidR="00105772" w:rsidRPr="006E52AB" w:rsidRDefault="00105772" w:rsidP="006E52AB">
    <w:pPr>
      <w:pStyle w:val="Pieddepage"/>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sur </w:t>
    </w:r>
    <w:r>
      <w:rPr>
        <w:color w:val="4472C4" w:themeColor="accent1"/>
      </w:rPr>
      <w:fldChar w:fldCharType="begin"/>
    </w:r>
    <w:r>
      <w:rPr>
        <w:color w:val="4472C4" w:themeColor="accent1"/>
      </w:rPr>
      <w:instrText>NUMPAGES  \* arabe  \* MERGEFORMAT</w:instrText>
    </w:r>
    <w:r>
      <w:rPr>
        <w:color w:val="4472C4" w:themeColor="accent1"/>
      </w:rPr>
      <w:fldChar w:fldCharType="separate"/>
    </w:r>
    <w:r>
      <w:rPr>
        <w:color w:val="4472C4" w:themeColor="accent1"/>
      </w:rPr>
      <w:t>2</w:t>
    </w:r>
    <w:r>
      <w:rPr>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EBB27" w14:textId="77777777" w:rsidR="00D60BE8" w:rsidRDefault="00D60BE8" w:rsidP="000A7EDD">
      <w:r>
        <w:separator/>
      </w:r>
    </w:p>
  </w:footnote>
  <w:footnote w:type="continuationSeparator" w:id="0">
    <w:p w14:paraId="4BA2A8CB" w14:textId="77777777" w:rsidR="00D60BE8" w:rsidRDefault="00D60BE8" w:rsidP="000A7EDD">
      <w:r>
        <w:continuationSeparator/>
      </w:r>
    </w:p>
  </w:footnote>
  <w:footnote w:type="continuationNotice" w:id="1">
    <w:p w14:paraId="388671C4" w14:textId="77777777" w:rsidR="00D60BE8" w:rsidRDefault="00D60B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0846" w14:textId="2BB77F44" w:rsidR="007452F9" w:rsidRDefault="000D028E">
    <w:pPr>
      <w:pStyle w:val="En-tte"/>
    </w:pPr>
    <w:r>
      <w:rPr>
        <w:noProof/>
      </w:rPr>
      <w:drawing>
        <wp:inline distT="0" distB="0" distL="0" distR="0" wp14:anchorId="4E1E9D44" wp14:editId="078427A0">
          <wp:extent cx="514350" cy="4597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780" cy="467235"/>
                  </a:xfrm>
                  <a:prstGeom prst="rect">
                    <a:avLst/>
                  </a:prstGeom>
                  <a:noFill/>
                  <a:ln>
                    <a:noFill/>
                  </a:ln>
                </pic:spPr>
              </pic:pic>
            </a:graphicData>
          </a:graphic>
        </wp:inline>
      </w:drawing>
    </w:r>
    <w:r w:rsidR="00067C3A">
      <w:rPr>
        <w:color w:val="8EAADB" w:themeColor="accent1" w:themeTint="99"/>
      </w:rPr>
      <w:t>RPA ITRES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8C06" w14:textId="7FF14AE1" w:rsidR="00024D6F" w:rsidRPr="007B3D04" w:rsidRDefault="007452F9" w:rsidP="007452F9">
    <w:pPr>
      <w:pStyle w:val="En-tte"/>
      <w:rPr>
        <w:color w:val="8EAADB" w:themeColor="accent1" w:themeTint="99"/>
      </w:rPr>
    </w:pPr>
    <w:r>
      <w:rPr>
        <w:noProof/>
      </w:rPr>
      <w:drawing>
        <wp:inline distT="0" distB="0" distL="0" distR="0" wp14:anchorId="1A441DF5" wp14:editId="2719B554">
          <wp:extent cx="514350" cy="4597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780" cy="467235"/>
                  </a:xfrm>
                  <a:prstGeom prst="rect">
                    <a:avLst/>
                  </a:prstGeom>
                  <a:noFill/>
                  <a:ln>
                    <a:noFill/>
                  </a:ln>
                </pic:spPr>
              </pic:pic>
            </a:graphicData>
          </a:graphic>
        </wp:inline>
      </w:drawing>
    </w:r>
    <w:r w:rsidR="007B3D04" w:rsidRPr="007B3D04">
      <w:rPr>
        <w:color w:val="8EAADB" w:themeColor="accent1" w:themeTint="99"/>
      </w:rPr>
      <w:t>Département Support 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900"/>
    <w:multiLevelType w:val="hybridMultilevel"/>
    <w:tmpl w:val="2E281CBC"/>
    <w:lvl w:ilvl="0" w:tplc="1362DADE">
      <w:start w:val="1"/>
      <w:numFmt w:val="decimal"/>
      <w:lvlText w:val="5.%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2375EA"/>
    <w:multiLevelType w:val="hybridMultilevel"/>
    <w:tmpl w:val="ABFEDB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1357DC"/>
    <w:multiLevelType w:val="hybridMultilevel"/>
    <w:tmpl w:val="449C7058"/>
    <w:lvl w:ilvl="0" w:tplc="9B66477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A6D23BF"/>
    <w:multiLevelType w:val="hybridMultilevel"/>
    <w:tmpl w:val="0A98B2C8"/>
    <w:lvl w:ilvl="0" w:tplc="040C0011">
      <w:start w:val="1"/>
      <w:numFmt w:val="decimal"/>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B9209B7"/>
    <w:multiLevelType w:val="hybridMultilevel"/>
    <w:tmpl w:val="729A08F8"/>
    <w:lvl w:ilvl="0" w:tplc="78E08B7C">
      <w:start w:val="1"/>
      <w:numFmt w:val="decimal"/>
      <w:lvlText w:val="6.%1"/>
      <w:lvlJc w:val="left"/>
      <w:pPr>
        <w:ind w:left="72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BFB493B"/>
    <w:multiLevelType w:val="hybridMultilevel"/>
    <w:tmpl w:val="56045A12"/>
    <w:lvl w:ilvl="0" w:tplc="38DCB0C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C89228E"/>
    <w:multiLevelType w:val="hybridMultilevel"/>
    <w:tmpl w:val="7B3877D2"/>
    <w:lvl w:ilvl="0" w:tplc="D33A0566">
      <w:start w:val="1"/>
      <w:numFmt w:val="decimal"/>
      <w:lvlText w:val="5.%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0CD5770B"/>
    <w:multiLevelType w:val="hybridMultilevel"/>
    <w:tmpl w:val="7B62E7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ECF60CE"/>
    <w:multiLevelType w:val="hybridMultilevel"/>
    <w:tmpl w:val="5CDCC426"/>
    <w:lvl w:ilvl="0" w:tplc="1E4EE5C6">
      <w:numFmt w:val="bullet"/>
      <w:lvlText w:val="-"/>
      <w:lvlJc w:val="left"/>
      <w:pPr>
        <w:ind w:left="1080" w:hanging="360"/>
      </w:pPr>
      <w:rPr>
        <w:rFonts w:ascii="Calibri" w:eastAsia="Calibr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10A535C4"/>
    <w:multiLevelType w:val="hybridMultilevel"/>
    <w:tmpl w:val="E9C825A0"/>
    <w:lvl w:ilvl="0" w:tplc="6AC43F9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1022070"/>
    <w:multiLevelType w:val="hybridMultilevel"/>
    <w:tmpl w:val="916093F2"/>
    <w:lvl w:ilvl="0" w:tplc="D3E23A2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3C92A76"/>
    <w:multiLevelType w:val="hybridMultilevel"/>
    <w:tmpl w:val="D430C0A8"/>
    <w:lvl w:ilvl="0" w:tplc="7CD6C50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258339B"/>
    <w:multiLevelType w:val="hybridMultilevel"/>
    <w:tmpl w:val="004467B6"/>
    <w:lvl w:ilvl="0" w:tplc="1E4EE5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5AB3BB5"/>
    <w:multiLevelType w:val="multilevel"/>
    <w:tmpl w:val="090C7920"/>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C34C8F"/>
    <w:multiLevelType w:val="hybridMultilevel"/>
    <w:tmpl w:val="994454A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279823BB"/>
    <w:multiLevelType w:val="hybridMultilevel"/>
    <w:tmpl w:val="4580A4E8"/>
    <w:lvl w:ilvl="0" w:tplc="39FA8442">
      <w:start w:val="1"/>
      <w:numFmt w:val="decimal"/>
      <w:lvlText w:val="3.%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15:restartNumberingAfterBreak="0">
    <w:nsid w:val="28394C2C"/>
    <w:multiLevelType w:val="hybridMultilevel"/>
    <w:tmpl w:val="1416EB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2A1A58"/>
    <w:multiLevelType w:val="hybridMultilevel"/>
    <w:tmpl w:val="A73AFE00"/>
    <w:lvl w:ilvl="0" w:tplc="CD3AD9F8">
      <w:start w:val="1"/>
      <w:numFmt w:val="decimal"/>
      <w:lvlText w:val="%1)"/>
      <w:lvlJc w:val="left"/>
      <w:pPr>
        <w:ind w:left="720" w:hanging="360"/>
      </w:pPr>
      <w:rPr>
        <w:rFonts w:hint="default"/>
        <w:b/>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C3403B7"/>
    <w:multiLevelType w:val="hybridMultilevel"/>
    <w:tmpl w:val="A43E79A8"/>
    <w:lvl w:ilvl="0" w:tplc="5290D06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51A5EAC"/>
    <w:multiLevelType w:val="hybridMultilevel"/>
    <w:tmpl w:val="3D729A98"/>
    <w:lvl w:ilvl="0" w:tplc="F7340F3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8E61DB3"/>
    <w:multiLevelType w:val="hybridMultilevel"/>
    <w:tmpl w:val="426A368C"/>
    <w:lvl w:ilvl="0" w:tplc="AABC879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9FB0537"/>
    <w:multiLevelType w:val="hybridMultilevel"/>
    <w:tmpl w:val="7026FF24"/>
    <w:lvl w:ilvl="0" w:tplc="040C0001">
      <w:start w:val="1"/>
      <w:numFmt w:val="bullet"/>
      <w:lvlText w:val=""/>
      <w:lvlJc w:val="left"/>
      <w:pPr>
        <w:ind w:left="2030" w:hanging="360"/>
      </w:pPr>
      <w:rPr>
        <w:rFonts w:ascii="Symbol" w:hAnsi="Symbol" w:hint="default"/>
      </w:rPr>
    </w:lvl>
    <w:lvl w:ilvl="1" w:tplc="040C0003">
      <w:start w:val="1"/>
      <w:numFmt w:val="bullet"/>
      <w:lvlText w:val="o"/>
      <w:lvlJc w:val="left"/>
      <w:pPr>
        <w:ind w:left="2750" w:hanging="360"/>
      </w:pPr>
      <w:rPr>
        <w:rFonts w:ascii="Courier New" w:hAnsi="Courier New" w:cs="Courier New" w:hint="default"/>
      </w:rPr>
    </w:lvl>
    <w:lvl w:ilvl="2" w:tplc="040C0005">
      <w:start w:val="1"/>
      <w:numFmt w:val="bullet"/>
      <w:lvlText w:val=""/>
      <w:lvlJc w:val="left"/>
      <w:pPr>
        <w:ind w:left="3470" w:hanging="360"/>
      </w:pPr>
      <w:rPr>
        <w:rFonts w:ascii="Wingdings" w:hAnsi="Wingdings" w:hint="default"/>
      </w:rPr>
    </w:lvl>
    <w:lvl w:ilvl="3" w:tplc="040C0001">
      <w:start w:val="1"/>
      <w:numFmt w:val="bullet"/>
      <w:lvlText w:val=""/>
      <w:lvlJc w:val="left"/>
      <w:pPr>
        <w:ind w:left="4190" w:hanging="360"/>
      </w:pPr>
      <w:rPr>
        <w:rFonts w:ascii="Symbol" w:hAnsi="Symbol" w:hint="default"/>
      </w:rPr>
    </w:lvl>
    <w:lvl w:ilvl="4" w:tplc="040C0003">
      <w:start w:val="1"/>
      <w:numFmt w:val="bullet"/>
      <w:lvlText w:val="o"/>
      <w:lvlJc w:val="left"/>
      <w:pPr>
        <w:ind w:left="4910" w:hanging="360"/>
      </w:pPr>
      <w:rPr>
        <w:rFonts w:ascii="Courier New" w:hAnsi="Courier New" w:cs="Courier New" w:hint="default"/>
      </w:rPr>
    </w:lvl>
    <w:lvl w:ilvl="5" w:tplc="040C0005">
      <w:start w:val="1"/>
      <w:numFmt w:val="bullet"/>
      <w:lvlText w:val=""/>
      <w:lvlJc w:val="left"/>
      <w:pPr>
        <w:ind w:left="5630" w:hanging="360"/>
      </w:pPr>
      <w:rPr>
        <w:rFonts w:ascii="Wingdings" w:hAnsi="Wingdings" w:hint="default"/>
      </w:rPr>
    </w:lvl>
    <w:lvl w:ilvl="6" w:tplc="040C0001">
      <w:start w:val="1"/>
      <w:numFmt w:val="bullet"/>
      <w:lvlText w:val=""/>
      <w:lvlJc w:val="left"/>
      <w:pPr>
        <w:ind w:left="6350" w:hanging="360"/>
      </w:pPr>
      <w:rPr>
        <w:rFonts w:ascii="Symbol" w:hAnsi="Symbol" w:hint="default"/>
      </w:rPr>
    </w:lvl>
    <w:lvl w:ilvl="7" w:tplc="040C0003">
      <w:start w:val="1"/>
      <w:numFmt w:val="bullet"/>
      <w:lvlText w:val="o"/>
      <w:lvlJc w:val="left"/>
      <w:pPr>
        <w:ind w:left="7070" w:hanging="360"/>
      </w:pPr>
      <w:rPr>
        <w:rFonts w:ascii="Courier New" w:hAnsi="Courier New" w:cs="Courier New" w:hint="default"/>
      </w:rPr>
    </w:lvl>
    <w:lvl w:ilvl="8" w:tplc="040C0005">
      <w:start w:val="1"/>
      <w:numFmt w:val="bullet"/>
      <w:lvlText w:val=""/>
      <w:lvlJc w:val="left"/>
      <w:pPr>
        <w:ind w:left="7790" w:hanging="360"/>
      </w:pPr>
      <w:rPr>
        <w:rFonts w:ascii="Wingdings" w:hAnsi="Wingdings" w:hint="default"/>
      </w:rPr>
    </w:lvl>
  </w:abstractNum>
  <w:abstractNum w:abstractNumId="22" w15:restartNumberingAfterBreak="0">
    <w:nsid w:val="3AA923DA"/>
    <w:multiLevelType w:val="hybridMultilevel"/>
    <w:tmpl w:val="A8B482B6"/>
    <w:lvl w:ilvl="0" w:tplc="A4D89D5E">
      <w:start w:val="1"/>
      <w:numFmt w:val="decimal"/>
      <w:lvlText w:val="2.%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3BD7577A"/>
    <w:multiLevelType w:val="hybridMultilevel"/>
    <w:tmpl w:val="4F1C6B6A"/>
    <w:lvl w:ilvl="0" w:tplc="4A3065F0">
      <w:start w:val="1"/>
      <w:numFmt w:val="lowerLetter"/>
      <w:pStyle w:val="Titre3"/>
      <w:lvlText w:val="%1."/>
      <w:lvlJc w:val="left"/>
      <w:pPr>
        <w:ind w:left="-1191" w:hanging="360"/>
      </w:pPr>
      <w:rPr>
        <w:rFonts w:hint="default"/>
      </w:rPr>
    </w:lvl>
    <w:lvl w:ilvl="1" w:tplc="040C0019" w:tentative="1">
      <w:start w:val="1"/>
      <w:numFmt w:val="lowerLetter"/>
      <w:lvlText w:val="%2."/>
      <w:lvlJc w:val="left"/>
      <w:pPr>
        <w:ind w:left="-471" w:hanging="360"/>
      </w:pPr>
    </w:lvl>
    <w:lvl w:ilvl="2" w:tplc="040C001B" w:tentative="1">
      <w:start w:val="1"/>
      <w:numFmt w:val="lowerRoman"/>
      <w:lvlText w:val="%3."/>
      <w:lvlJc w:val="right"/>
      <w:pPr>
        <w:ind w:left="249" w:hanging="180"/>
      </w:pPr>
    </w:lvl>
    <w:lvl w:ilvl="3" w:tplc="040C000F" w:tentative="1">
      <w:start w:val="1"/>
      <w:numFmt w:val="decimal"/>
      <w:lvlText w:val="%4."/>
      <w:lvlJc w:val="left"/>
      <w:pPr>
        <w:ind w:left="969" w:hanging="360"/>
      </w:pPr>
    </w:lvl>
    <w:lvl w:ilvl="4" w:tplc="040C0019" w:tentative="1">
      <w:start w:val="1"/>
      <w:numFmt w:val="lowerLetter"/>
      <w:lvlText w:val="%5."/>
      <w:lvlJc w:val="left"/>
      <w:pPr>
        <w:ind w:left="1689" w:hanging="360"/>
      </w:pPr>
    </w:lvl>
    <w:lvl w:ilvl="5" w:tplc="040C001B" w:tentative="1">
      <w:start w:val="1"/>
      <w:numFmt w:val="lowerRoman"/>
      <w:lvlText w:val="%6."/>
      <w:lvlJc w:val="right"/>
      <w:pPr>
        <w:ind w:left="2409" w:hanging="180"/>
      </w:pPr>
    </w:lvl>
    <w:lvl w:ilvl="6" w:tplc="040C000F" w:tentative="1">
      <w:start w:val="1"/>
      <w:numFmt w:val="decimal"/>
      <w:lvlText w:val="%7."/>
      <w:lvlJc w:val="left"/>
      <w:pPr>
        <w:ind w:left="3129" w:hanging="360"/>
      </w:pPr>
    </w:lvl>
    <w:lvl w:ilvl="7" w:tplc="040C0019" w:tentative="1">
      <w:start w:val="1"/>
      <w:numFmt w:val="lowerLetter"/>
      <w:lvlText w:val="%8."/>
      <w:lvlJc w:val="left"/>
      <w:pPr>
        <w:ind w:left="3849" w:hanging="360"/>
      </w:pPr>
    </w:lvl>
    <w:lvl w:ilvl="8" w:tplc="040C001B" w:tentative="1">
      <w:start w:val="1"/>
      <w:numFmt w:val="lowerRoman"/>
      <w:lvlText w:val="%9."/>
      <w:lvlJc w:val="right"/>
      <w:pPr>
        <w:ind w:left="4569" w:hanging="180"/>
      </w:pPr>
    </w:lvl>
  </w:abstractNum>
  <w:abstractNum w:abstractNumId="24" w15:restartNumberingAfterBreak="0">
    <w:nsid w:val="3E8F3A0D"/>
    <w:multiLevelType w:val="hybridMultilevel"/>
    <w:tmpl w:val="BCF6DC32"/>
    <w:lvl w:ilvl="0" w:tplc="B2CA977A">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20E5F0B"/>
    <w:multiLevelType w:val="hybridMultilevel"/>
    <w:tmpl w:val="A0A8E20A"/>
    <w:lvl w:ilvl="0" w:tplc="4B207CB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36E0F44"/>
    <w:multiLevelType w:val="hybridMultilevel"/>
    <w:tmpl w:val="AEBE56D2"/>
    <w:lvl w:ilvl="0" w:tplc="A0240BFE">
      <w:start w:val="1"/>
      <w:numFmt w:val="decimal"/>
      <w:lvlText w:val="4.%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15:restartNumberingAfterBreak="0">
    <w:nsid w:val="44121AD3"/>
    <w:multiLevelType w:val="hybridMultilevel"/>
    <w:tmpl w:val="DED0689C"/>
    <w:lvl w:ilvl="0" w:tplc="F744A97E">
      <w:start w:val="1"/>
      <w:numFmt w:val="decimal"/>
      <w:pStyle w:val="Titre2"/>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 w15:restartNumberingAfterBreak="0">
    <w:nsid w:val="451C15CF"/>
    <w:multiLevelType w:val="hybridMultilevel"/>
    <w:tmpl w:val="1608A93A"/>
    <w:lvl w:ilvl="0" w:tplc="7982CB2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5284515"/>
    <w:multiLevelType w:val="hybridMultilevel"/>
    <w:tmpl w:val="2BA830CA"/>
    <w:lvl w:ilvl="0" w:tplc="2758CC2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9EC18F3"/>
    <w:multiLevelType w:val="multilevel"/>
    <w:tmpl w:val="38F0D93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4A014C7E"/>
    <w:multiLevelType w:val="hybridMultilevel"/>
    <w:tmpl w:val="9FFC381A"/>
    <w:lvl w:ilvl="0" w:tplc="15BAD9C2">
      <w:numFmt w:val="bullet"/>
      <w:lvlText w:val="-"/>
      <w:lvlJc w:val="left"/>
      <w:pPr>
        <w:ind w:left="1068" w:hanging="360"/>
      </w:pPr>
      <w:rPr>
        <w:rFonts w:ascii="Calibri" w:eastAsia="Calibr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32" w15:restartNumberingAfterBreak="0">
    <w:nsid w:val="58E4591A"/>
    <w:multiLevelType w:val="multilevel"/>
    <w:tmpl w:val="E626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1A6562"/>
    <w:multiLevelType w:val="hybridMultilevel"/>
    <w:tmpl w:val="5840F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19C6118"/>
    <w:multiLevelType w:val="hybridMultilevel"/>
    <w:tmpl w:val="D64A8E70"/>
    <w:lvl w:ilvl="0" w:tplc="D57C7812">
      <w:start w:val="1"/>
      <w:numFmt w:val="decimal"/>
      <w:lvlText w:val="%1-"/>
      <w:lvlJc w:val="left"/>
      <w:pPr>
        <w:ind w:left="720" w:hanging="360"/>
      </w:pPr>
      <w:rPr>
        <w:rFonts w:ascii="Calibri" w:eastAsiaTheme="minorHAnsi" w:hAnsi="Calibri" w:cstheme="minorBidi"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2162F68"/>
    <w:multiLevelType w:val="hybridMultilevel"/>
    <w:tmpl w:val="9D183202"/>
    <w:lvl w:ilvl="0" w:tplc="BE6E1E60">
      <w:start w:val="1"/>
      <w:numFmt w:val="decimal"/>
      <w:lvlText w:val="%1-"/>
      <w:lvlJc w:val="left"/>
      <w:pPr>
        <w:ind w:left="752" w:hanging="360"/>
      </w:pPr>
      <w:rPr>
        <w:rFonts w:hint="default"/>
      </w:rPr>
    </w:lvl>
    <w:lvl w:ilvl="1" w:tplc="20000019" w:tentative="1">
      <w:start w:val="1"/>
      <w:numFmt w:val="lowerLetter"/>
      <w:lvlText w:val="%2."/>
      <w:lvlJc w:val="left"/>
      <w:pPr>
        <w:ind w:left="1472" w:hanging="360"/>
      </w:pPr>
    </w:lvl>
    <w:lvl w:ilvl="2" w:tplc="2000001B" w:tentative="1">
      <w:start w:val="1"/>
      <w:numFmt w:val="lowerRoman"/>
      <w:lvlText w:val="%3."/>
      <w:lvlJc w:val="right"/>
      <w:pPr>
        <w:ind w:left="2192" w:hanging="180"/>
      </w:pPr>
    </w:lvl>
    <w:lvl w:ilvl="3" w:tplc="2000000F" w:tentative="1">
      <w:start w:val="1"/>
      <w:numFmt w:val="decimal"/>
      <w:lvlText w:val="%4."/>
      <w:lvlJc w:val="left"/>
      <w:pPr>
        <w:ind w:left="2912" w:hanging="360"/>
      </w:pPr>
    </w:lvl>
    <w:lvl w:ilvl="4" w:tplc="20000019" w:tentative="1">
      <w:start w:val="1"/>
      <w:numFmt w:val="lowerLetter"/>
      <w:lvlText w:val="%5."/>
      <w:lvlJc w:val="left"/>
      <w:pPr>
        <w:ind w:left="3632" w:hanging="360"/>
      </w:pPr>
    </w:lvl>
    <w:lvl w:ilvl="5" w:tplc="2000001B" w:tentative="1">
      <w:start w:val="1"/>
      <w:numFmt w:val="lowerRoman"/>
      <w:lvlText w:val="%6."/>
      <w:lvlJc w:val="right"/>
      <w:pPr>
        <w:ind w:left="4352" w:hanging="180"/>
      </w:pPr>
    </w:lvl>
    <w:lvl w:ilvl="6" w:tplc="2000000F" w:tentative="1">
      <w:start w:val="1"/>
      <w:numFmt w:val="decimal"/>
      <w:lvlText w:val="%7."/>
      <w:lvlJc w:val="left"/>
      <w:pPr>
        <w:ind w:left="5072" w:hanging="360"/>
      </w:pPr>
    </w:lvl>
    <w:lvl w:ilvl="7" w:tplc="20000019" w:tentative="1">
      <w:start w:val="1"/>
      <w:numFmt w:val="lowerLetter"/>
      <w:lvlText w:val="%8."/>
      <w:lvlJc w:val="left"/>
      <w:pPr>
        <w:ind w:left="5792" w:hanging="360"/>
      </w:pPr>
    </w:lvl>
    <w:lvl w:ilvl="8" w:tplc="2000001B" w:tentative="1">
      <w:start w:val="1"/>
      <w:numFmt w:val="lowerRoman"/>
      <w:lvlText w:val="%9."/>
      <w:lvlJc w:val="right"/>
      <w:pPr>
        <w:ind w:left="6512" w:hanging="180"/>
      </w:pPr>
    </w:lvl>
  </w:abstractNum>
  <w:abstractNum w:abstractNumId="36" w15:restartNumberingAfterBreak="0">
    <w:nsid w:val="636E47CC"/>
    <w:multiLevelType w:val="hybridMultilevel"/>
    <w:tmpl w:val="AEFC7E6A"/>
    <w:lvl w:ilvl="0" w:tplc="6AC690C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6260355"/>
    <w:multiLevelType w:val="hybridMultilevel"/>
    <w:tmpl w:val="CA48DC82"/>
    <w:lvl w:ilvl="0" w:tplc="58A0633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AB205D7"/>
    <w:multiLevelType w:val="hybridMultilevel"/>
    <w:tmpl w:val="B9B028BA"/>
    <w:lvl w:ilvl="0" w:tplc="651C52CC">
      <w:start w:val="1"/>
      <w:numFmt w:val="decimal"/>
      <w:lvlText w:val="%1-"/>
      <w:lvlJc w:val="left"/>
      <w:pPr>
        <w:ind w:left="420" w:hanging="360"/>
      </w:pPr>
      <w:rPr>
        <w:rFonts w:hint="default"/>
      </w:rPr>
    </w:lvl>
    <w:lvl w:ilvl="1" w:tplc="20000019">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39" w15:restartNumberingAfterBreak="0">
    <w:nsid w:val="6EB73059"/>
    <w:multiLevelType w:val="hybridMultilevel"/>
    <w:tmpl w:val="126AAA26"/>
    <w:lvl w:ilvl="0" w:tplc="A0240BFE">
      <w:start w:val="1"/>
      <w:numFmt w:val="decimal"/>
      <w:lvlText w:val="4.%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2864D31"/>
    <w:multiLevelType w:val="hybridMultilevel"/>
    <w:tmpl w:val="21946F5C"/>
    <w:lvl w:ilvl="0" w:tplc="A4D89D5E">
      <w:start w:val="1"/>
      <w:numFmt w:val="decimal"/>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5B45A6A"/>
    <w:multiLevelType w:val="hybridMultilevel"/>
    <w:tmpl w:val="9ABCCCDC"/>
    <w:lvl w:ilvl="0" w:tplc="18F015B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A1541AE"/>
    <w:multiLevelType w:val="hybridMultilevel"/>
    <w:tmpl w:val="112AD080"/>
    <w:lvl w:ilvl="0" w:tplc="1E4EE5C6">
      <w:numFmt w:val="bullet"/>
      <w:lvlText w:val="-"/>
      <w:lvlJc w:val="left"/>
      <w:pPr>
        <w:ind w:left="360" w:hanging="360"/>
      </w:pPr>
      <w:rPr>
        <w:rFonts w:ascii="Calibri" w:eastAsia="Calibr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num w:numId="1" w16cid:durableId="1744914863">
    <w:abstractNumId w:val="27"/>
  </w:num>
  <w:num w:numId="2" w16cid:durableId="146287323">
    <w:abstractNumId w:val="27"/>
    <w:lvlOverride w:ilvl="0">
      <w:startOverride w:val="1"/>
    </w:lvlOverride>
  </w:num>
  <w:num w:numId="3" w16cid:durableId="631524373">
    <w:abstractNumId w:val="23"/>
  </w:num>
  <w:num w:numId="4" w16cid:durableId="1983120301">
    <w:abstractNumId w:val="41"/>
  </w:num>
  <w:num w:numId="5" w16cid:durableId="1095512641">
    <w:abstractNumId w:val="16"/>
  </w:num>
  <w:num w:numId="6" w16cid:durableId="2053142675">
    <w:abstractNumId w:val="34"/>
  </w:num>
  <w:num w:numId="7" w16cid:durableId="58290270">
    <w:abstractNumId w:val="8"/>
  </w:num>
  <w:num w:numId="8" w16cid:durableId="2070759119">
    <w:abstractNumId w:val="42"/>
  </w:num>
  <w:num w:numId="9" w16cid:durableId="1899634825">
    <w:abstractNumId w:val="31"/>
  </w:num>
  <w:num w:numId="10" w16cid:durableId="377631477">
    <w:abstractNumId w:val="19"/>
  </w:num>
  <w:num w:numId="11" w16cid:durableId="771046792">
    <w:abstractNumId w:val="17"/>
  </w:num>
  <w:num w:numId="12" w16cid:durableId="480848482">
    <w:abstractNumId w:val="2"/>
  </w:num>
  <w:num w:numId="13" w16cid:durableId="2109033596">
    <w:abstractNumId w:val="10"/>
  </w:num>
  <w:num w:numId="14" w16cid:durableId="1907105609">
    <w:abstractNumId w:val="25"/>
  </w:num>
  <w:num w:numId="15" w16cid:durableId="1371417018">
    <w:abstractNumId w:val="38"/>
  </w:num>
  <w:num w:numId="16" w16cid:durableId="1416320342">
    <w:abstractNumId w:val="20"/>
  </w:num>
  <w:num w:numId="17" w16cid:durableId="908150346">
    <w:abstractNumId w:val="28"/>
  </w:num>
  <w:num w:numId="18" w16cid:durableId="1786578979">
    <w:abstractNumId w:val="9"/>
  </w:num>
  <w:num w:numId="19" w16cid:durableId="273710258">
    <w:abstractNumId w:val="35"/>
  </w:num>
  <w:num w:numId="20" w16cid:durableId="360597884">
    <w:abstractNumId w:val="37"/>
  </w:num>
  <w:num w:numId="21" w16cid:durableId="1822843958">
    <w:abstractNumId w:val="5"/>
  </w:num>
  <w:num w:numId="22" w16cid:durableId="4408821">
    <w:abstractNumId w:val="36"/>
  </w:num>
  <w:num w:numId="23" w16cid:durableId="1604266985">
    <w:abstractNumId w:val="11"/>
  </w:num>
  <w:num w:numId="24" w16cid:durableId="900948395">
    <w:abstractNumId w:val="18"/>
  </w:num>
  <w:num w:numId="25" w16cid:durableId="353700137">
    <w:abstractNumId w:val="27"/>
  </w:num>
  <w:num w:numId="26" w16cid:durableId="1029379059">
    <w:abstractNumId w:val="30"/>
  </w:num>
  <w:num w:numId="27" w16cid:durableId="1250580934">
    <w:abstractNumId w:val="27"/>
  </w:num>
  <w:num w:numId="28" w16cid:durableId="530846005">
    <w:abstractNumId w:val="13"/>
  </w:num>
  <w:num w:numId="29" w16cid:durableId="1228347249">
    <w:abstractNumId w:val="22"/>
  </w:num>
  <w:num w:numId="30" w16cid:durableId="1056471019">
    <w:abstractNumId w:val="15"/>
  </w:num>
  <w:num w:numId="31" w16cid:durableId="1043403453">
    <w:abstractNumId w:val="26"/>
  </w:num>
  <w:num w:numId="32" w16cid:durableId="1527868097">
    <w:abstractNumId w:val="39"/>
  </w:num>
  <w:num w:numId="33" w16cid:durableId="174157013">
    <w:abstractNumId w:val="6"/>
  </w:num>
  <w:num w:numId="34" w16cid:durableId="181824167">
    <w:abstractNumId w:val="4"/>
  </w:num>
  <w:num w:numId="35" w16cid:durableId="803809213">
    <w:abstractNumId w:val="0"/>
  </w:num>
  <w:num w:numId="36" w16cid:durableId="1020855529">
    <w:abstractNumId w:val="12"/>
  </w:num>
  <w:num w:numId="37" w16cid:durableId="801340133">
    <w:abstractNumId w:val="14"/>
  </w:num>
  <w:num w:numId="38" w16cid:durableId="1966498041">
    <w:abstractNumId w:val="7"/>
  </w:num>
  <w:num w:numId="39" w16cid:durableId="1092359858">
    <w:abstractNumId w:val="27"/>
  </w:num>
  <w:num w:numId="40" w16cid:durableId="950015424">
    <w:abstractNumId w:val="29"/>
  </w:num>
  <w:num w:numId="41" w16cid:durableId="1501312683">
    <w:abstractNumId w:val="40"/>
  </w:num>
  <w:num w:numId="42" w16cid:durableId="1380204198">
    <w:abstractNumId w:val="32"/>
  </w:num>
  <w:num w:numId="43" w16cid:durableId="837623014">
    <w:abstractNumId w:val="24"/>
  </w:num>
  <w:num w:numId="44" w16cid:durableId="1877086995">
    <w:abstractNumId w:val="1"/>
  </w:num>
  <w:num w:numId="45" w16cid:durableId="21171916">
    <w:abstractNumId w:val="33"/>
  </w:num>
  <w:num w:numId="46" w16cid:durableId="1937519078">
    <w:abstractNumId w:val="21"/>
  </w:num>
  <w:num w:numId="47" w16cid:durableId="1753622743">
    <w:abstractNumId w:val="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I VELIZY - AMANTCHO, Vanessa">
    <w15:presenceInfo w15:providerId="AD" w15:userId="S::VAMANTCH@bt0d0000.w2k.bouyguestelecom.fr::a5141f6a-3386-4a10-84a2-b0978a9247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C83"/>
    <w:rsid w:val="00000A66"/>
    <w:rsid w:val="00004D1B"/>
    <w:rsid w:val="00005A39"/>
    <w:rsid w:val="000204B6"/>
    <w:rsid w:val="00021B9B"/>
    <w:rsid w:val="000226A6"/>
    <w:rsid w:val="00024D6F"/>
    <w:rsid w:val="00025169"/>
    <w:rsid w:val="00025E53"/>
    <w:rsid w:val="000268D7"/>
    <w:rsid w:val="00031874"/>
    <w:rsid w:val="00031FF7"/>
    <w:rsid w:val="000344E6"/>
    <w:rsid w:val="00035F19"/>
    <w:rsid w:val="00036D52"/>
    <w:rsid w:val="00036F0D"/>
    <w:rsid w:val="00037246"/>
    <w:rsid w:val="00045E7C"/>
    <w:rsid w:val="0004641F"/>
    <w:rsid w:val="00054D82"/>
    <w:rsid w:val="00056A29"/>
    <w:rsid w:val="00057B94"/>
    <w:rsid w:val="000600C6"/>
    <w:rsid w:val="00060CEE"/>
    <w:rsid w:val="00060D0D"/>
    <w:rsid w:val="00061D5B"/>
    <w:rsid w:val="00062B79"/>
    <w:rsid w:val="00064B13"/>
    <w:rsid w:val="000664E9"/>
    <w:rsid w:val="00067019"/>
    <w:rsid w:val="00067C3A"/>
    <w:rsid w:val="00070D09"/>
    <w:rsid w:val="0007194F"/>
    <w:rsid w:val="00074338"/>
    <w:rsid w:val="00074BA8"/>
    <w:rsid w:val="00074CC9"/>
    <w:rsid w:val="00076FA3"/>
    <w:rsid w:val="00080F3C"/>
    <w:rsid w:val="00081ADE"/>
    <w:rsid w:val="000823D2"/>
    <w:rsid w:val="000845FA"/>
    <w:rsid w:val="00085A4F"/>
    <w:rsid w:val="00087A69"/>
    <w:rsid w:val="00090C26"/>
    <w:rsid w:val="00094D15"/>
    <w:rsid w:val="00094F07"/>
    <w:rsid w:val="0009527A"/>
    <w:rsid w:val="00095BEE"/>
    <w:rsid w:val="000973DC"/>
    <w:rsid w:val="000A00EB"/>
    <w:rsid w:val="000A0944"/>
    <w:rsid w:val="000A1098"/>
    <w:rsid w:val="000A1433"/>
    <w:rsid w:val="000A5D06"/>
    <w:rsid w:val="000A6ED9"/>
    <w:rsid w:val="000A7EDD"/>
    <w:rsid w:val="000B33BE"/>
    <w:rsid w:val="000C23FF"/>
    <w:rsid w:val="000C26E0"/>
    <w:rsid w:val="000C6A03"/>
    <w:rsid w:val="000D028E"/>
    <w:rsid w:val="000D3ECB"/>
    <w:rsid w:val="000D45CE"/>
    <w:rsid w:val="000D5525"/>
    <w:rsid w:val="000D6AD8"/>
    <w:rsid w:val="000D75D3"/>
    <w:rsid w:val="000D774C"/>
    <w:rsid w:val="000E0A1B"/>
    <w:rsid w:val="000E3529"/>
    <w:rsid w:val="000E42E8"/>
    <w:rsid w:val="000E47AA"/>
    <w:rsid w:val="000E47BC"/>
    <w:rsid w:val="000E5CB1"/>
    <w:rsid w:val="000E7DA8"/>
    <w:rsid w:val="000F0DD1"/>
    <w:rsid w:val="000F1F11"/>
    <w:rsid w:val="000F3394"/>
    <w:rsid w:val="000F3758"/>
    <w:rsid w:val="000F44D9"/>
    <w:rsid w:val="00102954"/>
    <w:rsid w:val="0010417A"/>
    <w:rsid w:val="0010547F"/>
    <w:rsid w:val="00105772"/>
    <w:rsid w:val="0010634C"/>
    <w:rsid w:val="001101B5"/>
    <w:rsid w:val="0011141E"/>
    <w:rsid w:val="00115DC6"/>
    <w:rsid w:val="001170A1"/>
    <w:rsid w:val="00122630"/>
    <w:rsid w:val="0012545D"/>
    <w:rsid w:val="0012696D"/>
    <w:rsid w:val="00127C26"/>
    <w:rsid w:val="0013074C"/>
    <w:rsid w:val="00131A2F"/>
    <w:rsid w:val="0013549D"/>
    <w:rsid w:val="0013608D"/>
    <w:rsid w:val="00136279"/>
    <w:rsid w:val="00136C70"/>
    <w:rsid w:val="001410FC"/>
    <w:rsid w:val="00145142"/>
    <w:rsid w:val="00146EAB"/>
    <w:rsid w:val="00150236"/>
    <w:rsid w:val="00152482"/>
    <w:rsid w:val="001524A2"/>
    <w:rsid w:val="00152811"/>
    <w:rsid w:val="00155454"/>
    <w:rsid w:val="00160455"/>
    <w:rsid w:val="0016115C"/>
    <w:rsid w:val="00162160"/>
    <w:rsid w:val="00162A95"/>
    <w:rsid w:val="00162D00"/>
    <w:rsid w:val="0016720A"/>
    <w:rsid w:val="00172A45"/>
    <w:rsid w:val="0017381A"/>
    <w:rsid w:val="00175210"/>
    <w:rsid w:val="00176562"/>
    <w:rsid w:val="00176C29"/>
    <w:rsid w:val="00180BD6"/>
    <w:rsid w:val="001812B2"/>
    <w:rsid w:val="00183A97"/>
    <w:rsid w:val="00186035"/>
    <w:rsid w:val="00192D3C"/>
    <w:rsid w:val="00192EB5"/>
    <w:rsid w:val="0019315F"/>
    <w:rsid w:val="001935D7"/>
    <w:rsid w:val="00193945"/>
    <w:rsid w:val="00195BE8"/>
    <w:rsid w:val="001978BD"/>
    <w:rsid w:val="001A002A"/>
    <w:rsid w:val="001A22A5"/>
    <w:rsid w:val="001A3440"/>
    <w:rsid w:val="001A3442"/>
    <w:rsid w:val="001A3613"/>
    <w:rsid w:val="001A48BD"/>
    <w:rsid w:val="001A49A7"/>
    <w:rsid w:val="001B73F5"/>
    <w:rsid w:val="001B743D"/>
    <w:rsid w:val="001C08A1"/>
    <w:rsid w:val="001C20BE"/>
    <w:rsid w:val="001C27C1"/>
    <w:rsid w:val="001C2D25"/>
    <w:rsid w:val="001C3BA5"/>
    <w:rsid w:val="001C424D"/>
    <w:rsid w:val="001C6D98"/>
    <w:rsid w:val="001C7443"/>
    <w:rsid w:val="001D013A"/>
    <w:rsid w:val="001D0973"/>
    <w:rsid w:val="001D5F5C"/>
    <w:rsid w:val="001D6848"/>
    <w:rsid w:val="001E2D14"/>
    <w:rsid w:val="001E368F"/>
    <w:rsid w:val="001E3CA2"/>
    <w:rsid w:val="001E5562"/>
    <w:rsid w:val="001E6251"/>
    <w:rsid w:val="001E6875"/>
    <w:rsid w:val="001E6B47"/>
    <w:rsid w:val="001E7810"/>
    <w:rsid w:val="001E7DC7"/>
    <w:rsid w:val="001F04E3"/>
    <w:rsid w:val="001F06E4"/>
    <w:rsid w:val="001F2AFF"/>
    <w:rsid w:val="001F3E51"/>
    <w:rsid w:val="001F4707"/>
    <w:rsid w:val="001F7A02"/>
    <w:rsid w:val="0020229C"/>
    <w:rsid w:val="002045F9"/>
    <w:rsid w:val="00204A1C"/>
    <w:rsid w:val="0020581F"/>
    <w:rsid w:val="002067D9"/>
    <w:rsid w:val="0021193A"/>
    <w:rsid w:val="00212354"/>
    <w:rsid w:val="00216F2C"/>
    <w:rsid w:val="002174E5"/>
    <w:rsid w:val="00217BDB"/>
    <w:rsid w:val="00222CC4"/>
    <w:rsid w:val="00231C16"/>
    <w:rsid w:val="00231F9C"/>
    <w:rsid w:val="00232481"/>
    <w:rsid w:val="0023497C"/>
    <w:rsid w:val="00237D39"/>
    <w:rsid w:val="002416F3"/>
    <w:rsid w:val="00243FF6"/>
    <w:rsid w:val="002455BA"/>
    <w:rsid w:val="00247138"/>
    <w:rsid w:val="00251011"/>
    <w:rsid w:val="00251340"/>
    <w:rsid w:val="00251A67"/>
    <w:rsid w:val="00251C6D"/>
    <w:rsid w:val="00251E0D"/>
    <w:rsid w:val="00257A39"/>
    <w:rsid w:val="00260D46"/>
    <w:rsid w:val="00260DBD"/>
    <w:rsid w:val="00263F56"/>
    <w:rsid w:val="002641D8"/>
    <w:rsid w:val="002673DC"/>
    <w:rsid w:val="002675B1"/>
    <w:rsid w:val="00270180"/>
    <w:rsid w:val="00275BA6"/>
    <w:rsid w:val="0027633F"/>
    <w:rsid w:val="00277FE4"/>
    <w:rsid w:val="00280399"/>
    <w:rsid w:val="002815BB"/>
    <w:rsid w:val="0028248F"/>
    <w:rsid w:val="00283CCF"/>
    <w:rsid w:val="00287450"/>
    <w:rsid w:val="002878CF"/>
    <w:rsid w:val="00290590"/>
    <w:rsid w:val="002930B3"/>
    <w:rsid w:val="0029361E"/>
    <w:rsid w:val="00293DFB"/>
    <w:rsid w:val="00297D2F"/>
    <w:rsid w:val="002A18EA"/>
    <w:rsid w:val="002A1A1F"/>
    <w:rsid w:val="002A2ADF"/>
    <w:rsid w:val="002A50A8"/>
    <w:rsid w:val="002A6A61"/>
    <w:rsid w:val="002B64EA"/>
    <w:rsid w:val="002B6AA0"/>
    <w:rsid w:val="002C106E"/>
    <w:rsid w:val="002C1763"/>
    <w:rsid w:val="002C2AC3"/>
    <w:rsid w:val="002C38F3"/>
    <w:rsid w:val="002C3D4A"/>
    <w:rsid w:val="002C5144"/>
    <w:rsid w:val="002C7863"/>
    <w:rsid w:val="002D093C"/>
    <w:rsid w:val="002D16CB"/>
    <w:rsid w:val="002D26EA"/>
    <w:rsid w:val="002D37B5"/>
    <w:rsid w:val="002D4A55"/>
    <w:rsid w:val="002D5CDA"/>
    <w:rsid w:val="002D65EA"/>
    <w:rsid w:val="002D6A8E"/>
    <w:rsid w:val="002E0220"/>
    <w:rsid w:val="002E57FE"/>
    <w:rsid w:val="002E5D39"/>
    <w:rsid w:val="002F1377"/>
    <w:rsid w:val="002F2228"/>
    <w:rsid w:val="002F2A98"/>
    <w:rsid w:val="002F314C"/>
    <w:rsid w:val="002F3758"/>
    <w:rsid w:val="002F3A72"/>
    <w:rsid w:val="002F571D"/>
    <w:rsid w:val="002F5FE4"/>
    <w:rsid w:val="002F6BDE"/>
    <w:rsid w:val="00307B1B"/>
    <w:rsid w:val="003111E1"/>
    <w:rsid w:val="00311BD6"/>
    <w:rsid w:val="00313576"/>
    <w:rsid w:val="00314E5A"/>
    <w:rsid w:val="00316584"/>
    <w:rsid w:val="0031687E"/>
    <w:rsid w:val="003240F1"/>
    <w:rsid w:val="003242EB"/>
    <w:rsid w:val="003258EC"/>
    <w:rsid w:val="00327D92"/>
    <w:rsid w:val="00330635"/>
    <w:rsid w:val="00330961"/>
    <w:rsid w:val="00330ABA"/>
    <w:rsid w:val="00333097"/>
    <w:rsid w:val="00333D7D"/>
    <w:rsid w:val="0033550A"/>
    <w:rsid w:val="00342281"/>
    <w:rsid w:val="00342E73"/>
    <w:rsid w:val="00354197"/>
    <w:rsid w:val="00360EC0"/>
    <w:rsid w:val="003623DE"/>
    <w:rsid w:val="003636FC"/>
    <w:rsid w:val="00363A9E"/>
    <w:rsid w:val="00365C13"/>
    <w:rsid w:val="00367972"/>
    <w:rsid w:val="0037037C"/>
    <w:rsid w:val="0037391B"/>
    <w:rsid w:val="00373EEE"/>
    <w:rsid w:val="00380174"/>
    <w:rsid w:val="00386A7A"/>
    <w:rsid w:val="00386FA8"/>
    <w:rsid w:val="00391ACD"/>
    <w:rsid w:val="00392C31"/>
    <w:rsid w:val="003939AE"/>
    <w:rsid w:val="003942FC"/>
    <w:rsid w:val="00394A84"/>
    <w:rsid w:val="00394D9A"/>
    <w:rsid w:val="00395873"/>
    <w:rsid w:val="003A1DE7"/>
    <w:rsid w:val="003A23F1"/>
    <w:rsid w:val="003A311F"/>
    <w:rsid w:val="003A4234"/>
    <w:rsid w:val="003A47BD"/>
    <w:rsid w:val="003B330B"/>
    <w:rsid w:val="003B5A07"/>
    <w:rsid w:val="003B752A"/>
    <w:rsid w:val="003B7B82"/>
    <w:rsid w:val="003C083F"/>
    <w:rsid w:val="003C1DB4"/>
    <w:rsid w:val="003C5406"/>
    <w:rsid w:val="003C5A19"/>
    <w:rsid w:val="003D1BAD"/>
    <w:rsid w:val="003D249D"/>
    <w:rsid w:val="003D2F82"/>
    <w:rsid w:val="003D2FC5"/>
    <w:rsid w:val="003D3466"/>
    <w:rsid w:val="003D36C3"/>
    <w:rsid w:val="003D43DF"/>
    <w:rsid w:val="003D498F"/>
    <w:rsid w:val="003D70AE"/>
    <w:rsid w:val="003E0D18"/>
    <w:rsid w:val="003E1167"/>
    <w:rsid w:val="003E7453"/>
    <w:rsid w:val="003F3266"/>
    <w:rsid w:val="003F6A9B"/>
    <w:rsid w:val="003F7A77"/>
    <w:rsid w:val="003F7C98"/>
    <w:rsid w:val="004009BE"/>
    <w:rsid w:val="004013E9"/>
    <w:rsid w:val="004063A6"/>
    <w:rsid w:val="00412681"/>
    <w:rsid w:val="0041461E"/>
    <w:rsid w:val="00415136"/>
    <w:rsid w:val="00416359"/>
    <w:rsid w:val="00417655"/>
    <w:rsid w:val="00417ED9"/>
    <w:rsid w:val="0042384B"/>
    <w:rsid w:val="0042395C"/>
    <w:rsid w:val="00423B05"/>
    <w:rsid w:val="00432264"/>
    <w:rsid w:val="00433C1E"/>
    <w:rsid w:val="00434314"/>
    <w:rsid w:val="00434B09"/>
    <w:rsid w:val="0044027F"/>
    <w:rsid w:val="00441000"/>
    <w:rsid w:val="00442F3F"/>
    <w:rsid w:val="00444246"/>
    <w:rsid w:val="00444A7E"/>
    <w:rsid w:val="004451D6"/>
    <w:rsid w:val="00445D38"/>
    <w:rsid w:val="0045507E"/>
    <w:rsid w:val="00455BEA"/>
    <w:rsid w:val="00461AFD"/>
    <w:rsid w:val="004623EB"/>
    <w:rsid w:val="004629D9"/>
    <w:rsid w:val="00463677"/>
    <w:rsid w:val="00466F91"/>
    <w:rsid w:val="00466FD6"/>
    <w:rsid w:val="004705AF"/>
    <w:rsid w:val="004723F5"/>
    <w:rsid w:val="00474C24"/>
    <w:rsid w:val="00475DFD"/>
    <w:rsid w:val="004769A6"/>
    <w:rsid w:val="00476F81"/>
    <w:rsid w:val="004779F5"/>
    <w:rsid w:val="0048092B"/>
    <w:rsid w:val="0048092C"/>
    <w:rsid w:val="00484D4B"/>
    <w:rsid w:val="00484F27"/>
    <w:rsid w:val="00490F86"/>
    <w:rsid w:val="004913D9"/>
    <w:rsid w:val="004922ED"/>
    <w:rsid w:val="00496F92"/>
    <w:rsid w:val="0049784F"/>
    <w:rsid w:val="004A2A01"/>
    <w:rsid w:val="004A36B7"/>
    <w:rsid w:val="004A74C9"/>
    <w:rsid w:val="004B0193"/>
    <w:rsid w:val="004B0EAB"/>
    <w:rsid w:val="004B1DB1"/>
    <w:rsid w:val="004B25FA"/>
    <w:rsid w:val="004B4259"/>
    <w:rsid w:val="004B4880"/>
    <w:rsid w:val="004B4D5C"/>
    <w:rsid w:val="004C10B8"/>
    <w:rsid w:val="004C1EB9"/>
    <w:rsid w:val="004C22F0"/>
    <w:rsid w:val="004C3B0E"/>
    <w:rsid w:val="004C3BC0"/>
    <w:rsid w:val="004D1602"/>
    <w:rsid w:val="004D4B53"/>
    <w:rsid w:val="004D4E01"/>
    <w:rsid w:val="004D5643"/>
    <w:rsid w:val="004D5805"/>
    <w:rsid w:val="004D7219"/>
    <w:rsid w:val="004E0C2B"/>
    <w:rsid w:val="004E0C35"/>
    <w:rsid w:val="004E6CC6"/>
    <w:rsid w:val="004F0CB0"/>
    <w:rsid w:val="004F18C2"/>
    <w:rsid w:val="004F273A"/>
    <w:rsid w:val="004F5CE0"/>
    <w:rsid w:val="00500B37"/>
    <w:rsid w:val="0050660E"/>
    <w:rsid w:val="00506683"/>
    <w:rsid w:val="005120BD"/>
    <w:rsid w:val="005126F8"/>
    <w:rsid w:val="00512714"/>
    <w:rsid w:val="00514D66"/>
    <w:rsid w:val="00516116"/>
    <w:rsid w:val="0052320A"/>
    <w:rsid w:val="00523A4A"/>
    <w:rsid w:val="00526823"/>
    <w:rsid w:val="0052791A"/>
    <w:rsid w:val="005300A0"/>
    <w:rsid w:val="00530996"/>
    <w:rsid w:val="00531B1F"/>
    <w:rsid w:val="00531C3D"/>
    <w:rsid w:val="00532DF9"/>
    <w:rsid w:val="0053476C"/>
    <w:rsid w:val="00534944"/>
    <w:rsid w:val="005377B5"/>
    <w:rsid w:val="005439C2"/>
    <w:rsid w:val="00546F8A"/>
    <w:rsid w:val="005477E7"/>
    <w:rsid w:val="00550555"/>
    <w:rsid w:val="00551139"/>
    <w:rsid w:val="005533B3"/>
    <w:rsid w:val="005536B2"/>
    <w:rsid w:val="005543A2"/>
    <w:rsid w:val="00555C37"/>
    <w:rsid w:val="0055611E"/>
    <w:rsid w:val="00556939"/>
    <w:rsid w:val="00557632"/>
    <w:rsid w:val="0056608A"/>
    <w:rsid w:val="0057039B"/>
    <w:rsid w:val="00571C89"/>
    <w:rsid w:val="005735CD"/>
    <w:rsid w:val="00573FDE"/>
    <w:rsid w:val="00576855"/>
    <w:rsid w:val="00577BD4"/>
    <w:rsid w:val="00581BD5"/>
    <w:rsid w:val="00584EDC"/>
    <w:rsid w:val="005932DC"/>
    <w:rsid w:val="005A2508"/>
    <w:rsid w:val="005A3C56"/>
    <w:rsid w:val="005B67EB"/>
    <w:rsid w:val="005B7BF3"/>
    <w:rsid w:val="005C495D"/>
    <w:rsid w:val="005C4FE7"/>
    <w:rsid w:val="005D1F79"/>
    <w:rsid w:val="005D4ACC"/>
    <w:rsid w:val="005D52C1"/>
    <w:rsid w:val="005D56E0"/>
    <w:rsid w:val="005D7D55"/>
    <w:rsid w:val="005D7E28"/>
    <w:rsid w:val="005E1891"/>
    <w:rsid w:val="005E1A90"/>
    <w:rsid w:val="005E774A"/>
    <w:rsid w:val="005E7A8B"/>
    <w:rsid w:val="005E7F7A"/>
    <w:rsid w:val="005F0405"/>
    <w:rsid w:val="005F0620"/>
    <w:rsid w:val="005F078D"/>
    <w:rsid w:val="005F1F48"/>
    <w:rsid w:val="00600022"/>
    <w:rsid w:val="00602921"/>
    <w:rsid w:val="00602E0D"/>
    <w:rsid w:val="0060444D"/>
    <w:rsid w:val="006051F4"/>
    <w:rsid w:val="00607B1B"/>
    <w:rsid w:val="00607C09"/>
    <w:rsid w:val="00612DEA"/>
    <w:rsid w:val="00613002"/>
    <w:rsid w:val="00616256"/>
    <w:rsid w:val="006233C1"/>
    <w:rsid w:val="006242DB"/>
    <w:rsid w:val="00625D55"/>
    <w:rsid w:val="00631CCA"/>
    <w:rsid w:val="00632915"/>
    <w:rsid w:val="006364A0"/>
    <w:rsid w:val="006414C8"/>
    <w:rsid w:val="00645DF2"/>
    <w:rsid w:val="006461D0"/>
    <w:rsid w:val="0064624F"/>
    <w:rsid w:val="006505DF"/>
    <w:rsid w:val="0065449E"/>
    <w:rsid w:val="006551DE"/>
    <w:rsid w:val="00660C7B"/>
    <w:rsid w:val="00666F27"/>
    <w:rsid w:val="006700E9"/>
    <w:rsid w:val="0067091D"/>
    <w:rsid w:val="00670D7D"/>
    <w:rsid w:val="00675607"/>
    <w:rsid w:val="006801CE"/>
    <w:rsid w:val="00681FB0"/>
    <w:rsid w:val="0068389B"/>
    <w:rsid w:val="006861A3"/>
    <w:rsid w:val="00687239"/>
    <w:rsid w:val="00690417"/>
    <w:rsid w:val="006909A9"/>
    <w:rsid w:val="0069327B"/>
    <w:rsid w:val="00696AEC"/>
    <w:rsid w:val="00697E31"/>
    <w:rsid w:val="006A0978"/>
    <w:rsid w:val="006A0ABA"/>
    <w:rsid w:val="006A13E6"/>
    <w:rsid w:val="006A1A92"/>
    <w:rsid w:val="006A289D"/>
    <w:rsid w:val="006A483A"/>
    <w:rsid w:val="006A55A7"/>
    <w:rsid w:val="006A583B"/>
    <w:rsid w:val="006A6583"/>
    <w:rsid w:val="006B3947"/>
    <w:rsid w:val="006B494D"/>
    <w:rsid w:val="006C27C0"/>
    <w:rsid w:val="006C31A0"/>
    <w:rsid w:val="006C5986"/>
    <w:rsid w:val="006D01DB"/>
    <w:rsid w:val="006D50B3"/>
    <w:rsid w:val="006E2FA6"/>
    <w:rsid w:val="006E52AB"/>
    <w:rsid w:val="006E5C6F"/>
    <w:rsid w:val="006E782C"/>
    <w:rsid w:val="006F1838"/>
    <w:rsid w:val="006F192D"/>
    <w:rsid w:val="006F59CE"/>
    <w:rsid w:val="006F6596"/>
    <w:rsid w:val="00701259"/>
    <w:rsid w:val="00702759"/>
    <w:rsid w:val="00703248"/>
    <w:rsid w:val="00703289"/>
    <w:rsid w:val="00703BF1"/>
    <w:rsid w:val="0070468D"/>
    <w:rsid w:val="00706C59"/>
    <w:rsid w:val="0070780B"/>
    <w:rsid w:val="00710C07"/>
    <w:rsid w:val="007127A8"/>
    <w:rsid w:val="00714E59"/>
    <w:rsid w:val="00716255"/>
    <w:rsid w:val="007167AC"/>
    <w:rsid w:val="00717054"/>
    <w:rsid w:val="00720335"/>
    <w:rsid w:val="00722DA6"/>
    <w:rsid w:val="00724ACC"/>
    <w:rsid w:val="00731CFF"/>
    <w:rsid w:val="00732114"/>
    <w:rsid w:val="00734308"/>
    <w:rsid w:val="007346AC"/>
    <w:rsid w:val="007348DB"/>
    <w:rsid w:val="007378EE"/>
    <w:rsid w:val="00742DD4"/>
    <w:rsid w:val="00743718"/>
    <w:rsid w:val="0074498A"/>
    <w:rsid w:val="007452F9"/>
    <w:rsid w:val="00746383"/>
    <w:rsid w:val="00746BFA"/>
    <w:rsid w:val="0075105C"/>
    <w:rsid w:val="00751C03"/>
    <w:rsid w:val="00752386"/>
    <w:rsid w:val="00754676"/>
    <w:rsid w:val="007553F7"/>
    <w:rsid w:val="007572A6"/>
    <w:rsid w:val="00760A36"/>
    <w:rsid w:val="00762C96"/>
    <w:rsid w:val="00770CC4"/>
    <w:rsid w:val="00773697"/>
    <w:rsid w:val="00774E49"/>
    <w:rsid w:val="00776452"/>
    <w:rsid w:val="007768C3"/>
    <w:rsid w:val="007771FF"/>
    <w:rsid w:val="0077765D"/>
    <w:rsid w:val="007813C6"/>
    <w:rsid w:val="007818EA"/>
    <w:rsid w:val="00792B82"/>
    <w:rsid w:val="00792C9A"/>
    <w:rsid w:val="00797894"/>
    <w:rsid w:val="007A154B"/>
    <w:rsid w:val="007A3026"/>
    <w:rsid w:val="007A3CFA"/>
    <w:rsid w:val="007A677A"/>
    <w:rsid w:val="007B0B93"/>
    <w:rsid w:val="007B1204"/>
    <w:rsid w:val="007B1A46"/>
    <w:rsid w:val="007B340F"/>
    <w:rsid w:val="007B3D04"/>
    <w:rsid w:val="007B597D"/>
    <w:rsid w:val="007B6694"/>
    <w:rsid w:val="007C15FE"/>
    <w:rsid w:val="007C50F7"/>
    <w:rsid w:val="007C6B55"/>
    <w:rsid w:val="007C733C"/>
    <w:rsid w:val="007D1A6E"/>
    <w:rsid w:val="007D3336"/>
    <w:rsid w:val="007D457F"/>
    <w:rsid w:val="007D6584"/>
    <w:rsid w:val="007E04E6"/>
    <w:rsid w:val="007E134C"/>
    <w:rsid w:val="007E2FD7"/>
    <w:rsid w:val="007E33D9"/>
    <w:rsid w:val="007E47A7"/>
    <w:rsid w:val="007E4F07"/>
    <w:rsid w:val="007F05FD"/>
    <w:rsid w:val="007F2554"/>
    <w:rsid w:val="007F3BC0"/>
    <w:rsid w:val="007F5DE3"/>
    <w:rsid w:val="007F785D"/>
    <w:rsid w:val="00800F02"/>
    <w:rsid w:val="008019D0"/>
    <w:rsid w:val="008032B1"/>
    <w:rsid w:val="0080509F"/>
    <w:rsid w:val="008069D0"/>
    <w:rsid w:val="00807015"/>
    <w:rsid w:val="00810112"/>
    <w:rsid w:val="00810BED"/>
    <w:rsid w:val="00810CE6"/>
    <w:rsid w:val="0081611A"/>
    <w:rsid w:val="00820DAE"/>
    <w:rsid w:val="008218B5"/>
    <w:rsid w:val="00826FFF"/>
    <w:rsid w:val="00830D24"/>
    <w:rsid w:val="008311FF"/>
    <w:rsid w:val="00831BA3"/>
    <w:rsid w:val="00833355"/>
    <w:rsid w:val="00833897"/>
    <w:rsid w:val="008352D5"/>
    <w:rsid w:val="00840D7A"/>
    <w:rsid w:val="0084128A"/>
    <w:rsid w:val="00842DD1"/>
    <w:rsid w:val="0084514F"/>
    <w:rsid w:val="00846918"/>
    <w:rsid w:val="008478B4"/>
    <w:rsid w:val="00850700"/>
    <w:rsid w:val="0085315E"/>
    <w:rsid w:val="008539F0"/>
    <w:rsid w:val="008545BB"/>
    <w:rsid w:val="00860B50"/>
    <w:rsid w:val="00861CE5"/>
    <w:rsid w:val="00861EB4"/>
    <w:rsid w:val="00862CAA"/>
    <w:rsid w:val="00862E39"/>
    <w:rsid w:val="00863F2D"/>
    <w:rsid w:val="0087140A"/>
    <w:rsid w:val="00874A38"/>
    <w:rsid w:val="00874E18"/>
    <w:rsid w:val="00875DEC"/>
    <w:rsid w:val="0088761F"/>
    <w:rsid w:val="008933B1"/>
    <w:rsid w:val="0089380A"/>
    <w:rsid w:val="0089452D"/>
    <w:rsid w:val="00896DBE"/>
    <w:rsid w:val="008A0519"/>
    <w:rsid w:val="008A06C6"/>
    <w:rsid w:val="008A1D00"/>
    <w:rsid w:val="008B0D1A"/>
    <w:rsid w:val="008B2AA8"/>
    <w:rsid w:val="008B604E"/>
    <w:rsid w:val="008B71F3"/>
    <w:rsid w:val="008C2E7E"/>
    <w:rsid w:val="008C321A"/>
    <w:rsid w:val="008C49FB"/>
    <w:rsid w:val="008D02F3"/>
    <w:rsid w:val="008D1EC5"/>
    <w:rsid w:val="008D3999"/>
    <w:rsid w:val="008D3DD4"/>
    <w:rsid w:val="008D4B29"/>
    <w:rsid w:val="008D5EBD"/>
    <w:rsid w:val="008D7FB5"/>
    <w:rsid w:val="008E23E9"/>
    <w:rsid w:val="008E5911"/>
    <w:rsid w:val="008E7548"/>
    <w:rsid w:val="008F3235"/>
    <w:rsid w:val="008F3A9E"/>
    <w:rsid w:val="009003E4"/>
    <w:rsid w:val="00900C37"/>
    <w:rsid w:val="009035A2"/>
    <w:rsid w:val="009036FC"/>
    <w:rsid w:val="009069AD"/>
    <w:rsid w:val="00907569"/>
    <w:rsid w:val="00913292"/>
    <w:rsid w:val="00914276"/>
    <w:rsid w:val="009156FA"/>
    <w:rsid w:val="0091598B"/>
    <w:rsid w:val="00915EB4"/>
    <w:rsid w:val="00921630"/>
    <w:rsid w:val="00923A81"/>
    <w:rsid w:val="009240D8"/>
    <w:rsid w:val="009241FE"/>
    <w:rsid w:val="00927412"/>
    <w:rsid w:val="009303F8"/>
    <w:rsid w:val="00935FA3"/>
    <w:rsid w:val="0094154F"/>
    <w:rsid w:val="0094158D"/>
    <w:rsid w:val="00942A94"/>
    <w:rsid w:val="00942AF9"/>
    <w:rsid w:val="00944089"/>
    <w:rsid w:val="00950C31"/>
    <w:rsid w:val="00950E0C"/>
    <w:rsid w:val="00952366"/>
    <w:rsid w:val="00952C89"/>
    <w:rsid w:val="00952DB5"/>
    <w:rsid w:val="00952F7B"/>
    <w:rsid w:val="00954C2D"/>
    <w:rsid w:val="00955C35"/>
    <w:rsid w:val="00957C21"/>
    <w:rsid w:val="009611DE"/>
    <w:rsid w:val="00961EA4"/>
    <w:rsid w:val="0096396C"/>
    <w:rsid w:val="009639D9"/>
    <w:rsid w:val="00963BB9"/>
    <w:rsid w:val="00971050"/>
    <w:rsid w:val="009713B5"/>
    <w:rsid w:val="00976D91"/>
    <w:rsid w:val="00977124"/>
    <w:rsid w:val="0097769F"/>
    <w:rsid w:val="00991FED"/>
    <w:rsid w:val="009929FD"/>
    <w:rsid w:val="00994740"/>
    <w:rsid w:val="009A1E74"/>
    <w:rsid w:val="009A35AF"/>
    <w:rsid w:val="009A4DFD"/>
    <w:rsid w:val="009B018E"/>
    <w:rsid w:val="009B255A"/>
    <w:rsid w:val="009B3225"/>
    <w:rsid w:val="009C019B"/>
    <w:rsid w:val="009C079D"/>
    <w:rsid w:val="009C0C8C"/>
    <w:rsid w:val="009C0E99"/>
    <w:rsid w:val="009C1A60"/>
    <w:rsid w:val="009C5234"/>
    <w:rsid w:val="009D2DF3"/>
    <w:rsid w:val="009D5ACE"/>
    <w:rsid w:val="009D5C4A"/>
    <w:rsid w:val="009D62EF"/>
    <w:rsid w:val="009D76BF"/>
    <w:rsid w:val="009D76FB"/>
    <w:rsid w:val="009E003C"/>
    <w:rsid w:val="009E190C"/>
    <w:rsid w:val="009E79AC"/>
    <w:rsid w:val="009F0F1E"/>
    <w:rsid w:val="009F11CD"/>
    <w:rsid w:val="009F1B7E"/>
    <w:rsid w:val="009F1D01"/>
    <w:rsid w:val="009F564E"/>
    <w:rsid w:val="00A01627"/>
    <w:rsid w:val="00A019C9"/>
    <w:rsid w:val="00A066AE"/>
    <w:rsid w:val="00A06DA3"/>
    <w:rsid w:val="00A073CF"/>
    <w:rsid w:val="00A10588"/>
    <w:rsid w:val="00A10C83"/>
    <w:rsid w:val="00A201F5"/>
    <w:rsid w:val="00A2169F"/>
    <w:rsid w:val="00A2300F"/>
    <w:rsid w:val="00A23AA2"/>
    <w:rsid w:val="00A24D2F"/>
    <w:rsid w:val="00A25E45"/>
    <w:rsid w:val="00A2679D"/>
    <w:rsid w:val="00A3044A"/>
    <w:rsid w:val="00A30748"/>
    <w:rsid w:val="00A307A6"/>
    <w:rsid w:val="00A323E4"/>
    <w:rsid w:val="00A4072E"/>
    <w:rsid w:val="00A40DC0"/>
    <w:rsid w:val="00A42F26"/>
    <w:rsid w:val="00A472EB"/>
    <w:rsid w:val="00A50F7E"/>
    <w:rsid w:val="00A54E53"/>
    <w:rsid w:val="00A66806"/>
    <w:rsid w:val="00A73336"/>
    <w:rsid w:val="00A74CE1"/>
    <w:rsid w:val="00A8573F"/>
    <w:rsid w:val="00A9380B"/>
    <w:rsid w:val="00A93EA3"/>
    <w:rsid w:val="00AA071E"/>
    <w:rsid w:val="00AA47CC"/>
    <w:rsid w:val="00AA48FA"/>
    <w:rsid w:val="00AA4D89"/>
    <w:rsid w:val="00AA562A"/>
    <w:rsid w:val="00AA574B"/>
    <w:rsid w:val="00AA6430"/>
    <w:rsid w:val="00AB08B3"/>
    <w:rsid w:val="00AB2AAB"/>
    <w:rsid w:val="00AB3976"/>
    <w:rsid w:val="00AC2F59"/>
    <w:rsid w:val="00AC30B2"/>
    <w:rsid w:val="00AC4BDC"/>
    <w:rsid w:val="00AC7B6D"/>
    <w:rsid w:val="00AD0881"/>
    <w:rsid w:val="00AD2612"/>
    <w:rsid w:val="00AD2BDD"/>
    <w:rsid w:val="00AD5F97"/>
    <w:rsid w:val="00AD6B53"/>
    <w:rsid w:val="00AE2853"/>
    <w:rsid w:val="00AE5213"/>
    <w:rsid w:val="00B028D4"/>
    <w:rsid w:val="00B055B6"/>
    <w:rsid w:val="00B06608"/>
    <w:rsid w:val="00B0741B"/>
    <w:rsid w:val="00B12417"/>
    <w:rsid w:val="00B12FC2"/>
    <w:rsid w:val="00B130B1"/>
    <w:rsid w:val="00B15379"/>
    <w:rsid w:val="00B16CEB"/>
    <w:rsid w:val="00B22263"/>
    <w:rsid w:val="00B2284F"/>
    <w:rsid w:val="00B23F48"/>
    <w:rsid w:val="00B24F1B"/>
    <w:rsid w:val="00B251BA"/>
    <w:rsid w:val="00B2603F"/>
    <w:rsid w:val="00B272E5"/>
    <w:rsid w:val="00B27FBD"/>
    <w:rsid w:val="00B303DA"/>
    <w:rsid w:val="00B32DD8"/>
    <w:rsid w:val="00B33178"/>
    <w:rsid w:val="00B35381"/>
    <w:rsid w:val="00B35A44"/>
    <w:rsid w:val="00B37AF2"/>
    <w:rsid w:val="00B4661C"/>
    <w:rsid w:val="00B502E6"/>
    <w:rsid w:val="00B50A8C"/>
    <w:rsid w:val="00B635F0"/>
    <w:rsid w:val="00B66514"/>
    <w:rsid w:val="00B70176"/>
    <w:rsid w:val="00B71BDC"/>
    <w:rsid w:val="00B76284"/>
    <w:rsid w:val="00B814F2"/>
    <w:rsid w:val="00B82144"/>
    <w:rsid w:val="00B8254C"/>
    <w:rsid w:val="00B84178"/>
    <w:rsid w:val="00B90D3A"/>
    <w:rsid w:val="00B91589"/>
    <w:rsid w:val="00B93211"/>
    <w:rsid w:val="00B94EC6"/>
    <w:rsid w:val="00BA0552"/>
    <w:rsid w:val="00BA61CF"/>
    <w:rsid w:val="00BA7C98"/>
    <w:rsid w:val="00BB0170"/>
    <w:rsid w:val="00BB4121"/>
    <w:rsid w:val="00BB6517"/>
    <w:rsid w:val="00BC0B1F"/>
    <w:rsid w:val="00BC2196"/>
    <w:rsid w:val="00BC2E5E"/>
    <w:rsid w:val="00BC4753"/>
    <w:rsid w:val="00BC5177"/>
    <w:rsid w:val="00BC5799"/>
    <w:rsid w:val="00BC5C27"/>
    <w:rsid w:val="00BC602A"/>
    <w:rsid w:val="00BC6CD3"/>
    <w:rsid w:val="00BC72C0"/>
    <w:rsid w:val="00BD1A9E"/>
    <w:rsid w:val="00BD425C"/>
    <w:rsid w:val="00BD53C9"/>
    <w:rsid w:val="00BD6227"/>
    <w:rsid w:val="00BD796F"/>
    <w:rsid w:val="00BE31F4"/>
    <w:rsid w:val="00BE3BC4"/>
    <w:rsid w:val="00BE6D6A"/>
    <w:rsid w:val="00C007B5"/>
    <w:rsid w:val="00C04527"/>
    <w:rsid w:val="00C0486A"/>
    <w:rsid w:val="00C049D3"/>
    <w:rsid w:val="00C06939"/>
    <w:rsid w:val="00C144B9"/>
    <w:rsid w:val="00C14E01"/>
    <w:rsid w:val="00C14E55"/>
    <w:rsid w:val="00C163D6"/>
    <w:rsid w:val="00C2086A"/>
    <w:rsid w:val="00C23434"/>
    <w:rsid w:val="00C2522F"/>
    <w:rsid w:val="00C2577C"/>
    <w:rsid w:val="00C27DD5"/>
    <w:rsid w:val="00C3295A"/>
    <w:rsid w:val="00C338DF"/>
    <w:rsid w:val="00C34809"/>
    <w:rsid w:val="00C35A78"/>
    <w:rsid w:val="00C36134"/>
    <w:rsid w:val="00C41BA7"/>
    <w:rsid w:val="00C43E48"/>
    <w:rsid w:val="00C44520"/>
    <w:rsid w:val="00C45E2A"/>
    <w:rsid w:val="00C46777"/>
    <w:rsid w:val="00C5151C"/>
    <w:rsid w:val="00C51A41"/>
    <w:rsid w:val="00C51F00"/>
    <w:rsid w:val="00C54240"/>
    <w:rsid w:val="00C54580"/>
    <w:rsid w:val="00C549E5"/>
    <w:rsid w:val="00C55905"/>
    <w:rsid w:val="00C563BC"/>
    <w:rsid w:val="00C6141F"/>
    <w:rsid w:val="00C651EC"/>
    <w:rsid w:val="00C6607A"/>
    <w:rsid w:val="00C70EE1"/>
    <w:rsid w:val="00C74251"/>
    <w:rsid w:val="00C76550"/>
    <w:rsid w:val="00C7660D"/>
    <w:rsid w:val="00C766C3"/>
    <w:rsid w:val="00C8102D"/>
    <w:rsid w:val="00C8262E"/>
    <w:rsid w:val="00C830A4"/>
    <w:rsid w:val="00C863BE"/>
    <w:rsid w:val="00C8769C"/>
    <w:rsid w:val="00C90D7F"/>
    <w:rsid w:val="00C91068"/>
    <w:rsid w:val="00C919FE"/>
    <w:rsid w:val="00C91F8E"/>
    <w:rsid w:val="00C9561C"/>
    <w:rsid w:val="00CA090E"/>
    <w:rsid w:val="00CA577B"/>
    <w:rsid w:val="00CA5989"/>
    <w:rsid w:val="00CB00FA"/>
    <w:rsid w:val="00CB339B"/>
    <w:rsid w:val="00CC0ECB"/>
    <w:rsid w:val="00CC3BA5"/>
    <w:rsid w:val="00CC4EA3"/>
    <w:rsid w:val="00CC7EBE"/>
    <w:rsid w:val="00CD47A9"/>
    <w:rsid w:val="00CD533C"/>
    <w:rsid w:val="00CD572D"/>
    <w:rsid w:val="00CD5E59"/>
    <w:rsid w:val="00CD6E5C"/>
    <w:rsid w:val="00CD7F12"/>
    <w:rsid w:val="00CE304C"/>
    <w:rsid w:val="00CE3A9B"/>
    <w:rsid w:val="00CE537B"/>
    <w:rsid w:val="00CE61FA"/>
    <w:rsid w:val="00CE6292"/>
    <w:rsid w:val="00CE7571"/>
    <w:rsid w:val="00CF01F9"/>
    <w:rsid w:val="00CF17B4"/>
    <w:rsid w:val="00CF1B1C"/>
    <w:rsid w:val="00CF238B"/>
    <w:rsid w:val="00CF553F"/>
    <w:rsid w:val="00CF76AC"/>
    <w:rsid w:val="00CF76F9"/>
    <w:rsid w:val="00CF7E50"/>
    <w:rsid w:val="00D0261F"/>
    <w:rsid w:val="00D03DA6"/>
    <w:rsid w:val="00D03DB3"/>
    <w:rsid w:val="00D04507"/>
    <w:rsid w:val="00D04A3A"/>
    <w:rsid w:val="00D04E65"/>
    <w:rsid w:val="00D0559C"/>
    <w:rsid w:val="00D062A5"/>
    <w:rsid w:val="00D07797"/>
    <w:rsid w:val="00D10273"/>
    <w:rsid w:val="00D11985"/>
    <w:rsid w:val="00D14045"/>
    <w:rsid w:val="00D16270"/>
    <w:rsid w:val="00D17842"/>
    <w:rsid w:val="00D17F24"/>
    <w:rsid w:val="00D2085A"/>
    <w:rsid w:val="00D218A2"/>
    <w:rsid w:val="00D222D8"/>
    <w:rsid w:val="00D23F1F"/>
    <w:rsid w:val="00D250B1"/>
    <w:rsid w:val="00D25A11"/>
    <w:rsid w:val="00D41B33"/>
    <w:rsid w:val="00D41F3C"/>
    <w:rsid w:val="00D42F39"/>
    <w:rsid w:val="00D43688"/>
    <w:rsid w:val="00D469DA"/>
    <w:rsid w:val="00D50223"/>
    <w:rsid w:val="00D50DAF"/>
    <w:rsid w:val="00D524C9"/>
    <w:rsid w:val="00D53217"/>
    <w:rsid w:val="00D53A36"/>
    <w:rsid w:val="00D56694"/>
    <w:rsid w:val="00D60BE8"/>
    <w:rsid w:val="00D6108B"/>
    <w:rsid w:val="00D62E96"/>
    <w:rsid w:val="00D704D7"/>
    <w:rsid w:val="00D71CC5"/>
    <w:rsid w:val="00D7450A"/>
    <w:rsid w:val="00D81CB9"/>
    <w:rsid w:val="00D823F7"/>
    <w:rsid w:val="00D8467A"/>
    <w:rsid w:val="00D84EFE"/>
    <w:rsid w:val="00D85515"/>
    <w:rsid w:val="00D87984"/>
    <w:rsid w:val="00D87D52"/>
    <w:rsid w:val="00D90046"/>
    <w:rsid w:val="00D93317"/>
    <w:rsid w:val="00D96B2A"/>
    <w:rsid w:val="00DA16D2"/>
    <w:rsid w:val="00DA5E70"/>
    <w:rsid w:val="00DA5F15"/>
    <w:rsid w:val="00DA68BC"/>
    <w:rsid w:val="00DB0075"/>
    <w:rsid w:val="00DB48F2"/>
    <w:rsid w:val="00DC0059"/>
    <w:rsid w:val="00DC164D"/>
    <w:rsid w:val="00DC1C90"/>
    <w:rsid w:val="00DC24BE"/>
    <w:rsid w:val="00DC5DA1"/>
    <w:rsid w:val="00DD2501"/>
    <w:rsid w:val="00DD302D"/>
    <w:rsid w:val="00DD5D91"/>
    <w:rsid w:val="00DD62FC"/>
    <w:rsid w:val="00DD6697"/>
    <w:rsid w:val="00DD6C4A"/>
    <w:rsid w:val="00DE53E1"/>
    <w:rsid w:val="00DE65EB"/>
    <w:rsid w:val="00DE7624"/>
    <w:rsid w:val="00DF1A20"/>
    <w:rsid w:val="00DF730C"/>
    <w:rsid w:val="00DF752F"/>
    <w:rsid w:val="00E03C8B"/>
    <w:rsid w:val="00E03CA1"/>
    <w:rsid w:val="00E03E4F"/>
    <w:rsid w:val="00E04951"/>
    <w:rsid w:val="00E05FDA"/>
    <w:rsid w:val="00E1444B"/>
    <w:rsid w:val="00E155D9"/>
    <w:rsid w:val="00E170E1"/>
    <w:rsid w:val="00E20033"/>
    <w:rsid w:val="00E20E95"/>
    <w:rsid w:val="00E24DF8"/>
    <w:rsid w:val="00E254EA"/>
    <w:rsid w:val="00E26F13"/>
    <w:rsid w:val="00E27E0F"/>
    <w:rsid w:val="00E331BA"/>
    <w:rsid w:val="00E36123"/>
    <w:rsid w:val="00E403BA"/>
    <w:rsid w:val="00E45228"/>
    <w:rsid w:val="00E46399"/>
    <w:rsid w:val="00E47239"/>
    <w:rsid w:val="00E50D4B"/>
    <w:rsid w:val="00E516E3"/>
    <w:rsid w:val="00E54AFF"/>
    <w:rsid w:val="00E56363"/>
    <w:rsid w:val="00E5765B"/>
    <w:rsid w:val="00E57803"/>
    <w:rsid w:val="00E60189"/>
    <w:rsid w:val="00E62C91"/>
    <w:rsid w:val="00E644C3"/>
    <w:rsid w:val="00E6559C"/>
    <w:rsid w:val="00E663E1"/>
    <w:rsid w:val="00E67959"/>
    <w:rsid w:val="00E714A7"/>
    <w:rsid w:val="00E727CB"/>
    <w:rsid w:val="00E73758"/>
    <w:rsid w:val="00E73CE0"/>
    <w:rsid w:val="00E73F49"/>
    <w:rsid w:val="00E75E7B"/>
    <w:rsid w:val="00E764A6"/>
    <w:rsid w:val="00E81D0F"/>
    <w:rsid w:val="00E82276"/>
    <w:rsid w:val="00E84FED"/>
    <w:rsid w:val="00E87648"/>
    <w:rsid w:val="00E968B1"/>
    <w:rsid w:val="00E970B4"/>
    <w:rsid w:val="00E97388"/>
    <w:rsid w:val="00EA1FDD"/>
    <w:rsid w:val="00EA242B"/>
    <w:rsid w:val="00EA2A05"/>
    <w:rsid w:val="00EA2BCB"/>
    <w:rsid w:val="00EA4E37"/>
    <w:rsid w:val="00EA4EB3"/>
    <w:rsid w:val="00EA6843"/>
    <w:rsid w:val="00EA6C81"/>
    <w:rsid w:val="00EC2358"/>
    <w:rsid w:val="00EC3183"/>
    <w:rsid w:val="00ED072F"/>
    <w:rsid w:val="00ED124A"/>
    <w:rsid w:val="00ED1D14"/>
    <w:rsid w:val="00ED32A2"/>
    <w:rsid w:val="00ED48E3"/>
    <w:rsid w:val="00ED5985"/>
    <w:rsid w:val="00ED5B49"/>
    <w:rsid w:val="00EE12F7"/>
    <w:rsid w:val="00EE1EEE"/>
    <w:rsid w:val="00EE224B"/>
    <w:rsid w:val="00EE2864"/>
    <w:rsid w:val="00EE3A32"/>
    <w:rsid w:val="00EE7ACE"/>
    <w:rsid w:val="00EF025C"/>
    <w:rsid w:val="00EF061A"/>
    <w:rsid w:val="00EF28C2"/>
    <w:rsid w:val="00EF28C8"/>
    <w:rsid w:val="00EF3573"/>
    <w:rsid w:val="00EF418D"/>
    <w:rsid w:val="00EF5CEC"/>
    <w:rsid w:val="00EF6D4B"/>
    <w:rsid w:val="00F002C2"/>
    <w:rsid w:val="00F01394"/>
    <w:rsid w:val="00F015AF"/>
    <w:rsid w:val="00F01B1E"/>
    <w:rsid w:val="00F030B8"/>
    <w:rsid w:val="00F13F43"/>
    <w:rsid w:val="00F1412B"/>
    <w:rsid w:val="00F15A64"/>
    <w:rsid w:val="00F16289"/>
    <w:rsid w:val="00F17D93"/>
    <w:rsid w:val="00F2045C"/>
    <w:rsid w:val="00F2151B"/>
    <w:rsid w:val="00F258EE"/>
    <w:rsid w:val="00F26A42"/>
    <w:rsid w:val="00F34C7A"/>
    <w:rsid w:val="00F406DC"/>
    <w:rsid w:val="00F40A2B"/>
    <w:rsid w:val="00F41316"/>
    <w:rsid w:val="00F415E0"/>
    <w:rsid w:val="00F43AEB"/>
    <w:rsid w:val="00F44B6D"/>
    <w:rsid w:val="00F45EA9"/>
    <w:rsid w:val="00F47DAE"/>
    <w:rsid w:val="00F5074E"/>
    <w:rsid w:val="00F517FB"/>
    <w:rsid w:val="00F55C2D"/>
    <w:rsid w:val="00F5748E"/>
    <w:rsid w:val="00F6654E"/>
    <w:rsid w:val="00F67079"/>
    <w:rsid w:val="00F70B1F"/>
    <w:rsid w:val="00F70FB5"/>
    <w:rsid w:val="00F74ABF"/>
    <w:rsid w:val="00F7601F"/>
    <w:rsid w:val="00F7667A"/>
    <w:rsid w:val="00F77D4C"/>
    <w:rsid w:val="00F81033"/>
    <w:rsid w:val="00F9064F"/>
    <w:rsid w:val="00F90699"/>
    <w:rsid w:val="00F90FBB"/>
    <w:rsid w:val="00F9156E"/>
    <w:rsid w:val="00F92207"/>
    <w:rsid w:val="00F92BFC"/>
    <w:rsid w:val="00F92F21"/>
    <w:rsid w:val="00F97FBF"/>
    <w:rsid w:val="00FA3F40"/>
    <w:rsid w:val="00FA40E4"/>
    <w:rsid w:val="00FA4139"/>
    <w:rsid w:val="00FA44FA"/>
    <w:rsid w:val="00FA495F"/>
    <w:rsid w:val="00FA4FB8"/>
    <w:rsid w:val="00FB2634"/>
    <w:rsid w:val="00FB2D14"/>
    <w:rsid w:val="00FB40C1"/>
    <w:rsid w:val="00FB6358"/>
    <w:rsid w:val="00FC1352"/>
    <w:rsid w:val="00FC306D"/>
    <w:rsid w:val="00FD3560"/>
    <w:rsid w:val="00FD4679"/>
    <w:rsid w:val="00FD622E"/>
    <w:rsid w:val="00FD640B"/>
    <w:rsid w:val="00FD64D5"/>
    <w:rsid w:val="00FD7896"/>
    <w:rsid w:val="00FE047E"/>
    <w:rsid w:val="00FE19C7"/>
    <w:rsid w:val="00FE23C4"/>
    <w:rsid w:val="00FE506D"/>
    <w:rsid w:val="00FE7273"/>
    <w:rsid w:val="00FE76A2"/>
    <w:rsid w:val="00FF4B7A"/>
    <w:rsid w:val="00FF556D"/>
    <w:rsid w:val="00FF7A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28A1C"/>
  <w15:chartTrackingRefBased/>
  <w15:docId w15:val="{366A25E9-89A1-4CB9-9D0B-8D1D7844089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19B"/>
    <w:pPr>
      <w:spacing w:after="0" w:line="240" w:lineRule="auto"/>
    </w:pPr>
    <w:rPr>
      <w:rFonts w:ascii="Calibri" w:hAnsi="Calibri" w:cs="Calibri"/>
    </w:rPr>
  </w:style>
  <w:style w:type="paragraph" w:styleId="Titre1">
    <w:name w:val="heading 1"/>
    <w:basedOn w:val="Normal"/>
    <w:next w:val="Normal"/>
    <w:link w:val="Titre1Car"/>
    <w:uiPriority w:val="1"/>
    <w:qFormat/>
    <w:rsid w:val="00A10C83"/>
    <w:pPr>
      <w:pBdr>
        <w:top w:val="single" w:sz="12" w:space="2" w:color="E16400"/>
        <w:left w:val="single" w:sz="12" w:space="4" w:color="E16400"/>
        <w:bottom w:val="single" w:sz="12" w:space="2" w:color="E16400"/>
        <w:right w:val="single" w:sz="12" w:space="4" w:color="E16400"/>
      </w:pBdr>
      <w:shd w:val="clear" w:color="auto" w:fill="E16400"/>
      <w:spacing w:before="100" w:beforeAutospacing="1" w:after="100" w:afterAutospacing="1"/>
      <w:outlineLvl w:val="0"/>
    </w:pPr>
    <w:rPr>
      <w:b/>
      <w:color w:val="FFFFFF" w:themeColor="background1"/>
    </w:rPr>
  </w:style>
  <w:style w:type="paragraph" w:styleId="Titre2">
    <w:name w:val="heading 2"/>
    <w:basedOn w:val="Normal"/>
    <w:next w:val="Normal"/>
    <w:link w:val="Titre2Car"/>
    <w:uiPriority w:val="1"/>
    <w:unhideWhenUsed/>
    <w:qFormat/>
    <w:rsid w:val="00A10C83"/>
    <w:pPr>
      <w:keepNext/>
      <w:keepLines/>
      <w:numPr>
        <w:numId w:val="1"/>
      </w:numPr>
      <w:pBdr>
        <w:bottom w:val="single" w:sz="6" w:space="1" w:color="auto"/>
      </w:pBdr>
      <w:spacing w:before="240"/>
      <w:outlineLvl w:val="1"/>
    </w:pPr>
    <w:rPr>
      <w:rFonts w:eastAsiaTheme="majorEastAsia"/>
      <w:caps/>
      <w:color w:val="0050A0"/>
    </w:rPr>
  </w:style>
  <w:style w:type="paragraph" w:styleId="Titre3">
    <w:name w:val="heading 3"/>
    <w:basedOn w:val="Normal"/>
    <w:next w:val="Normal"/>
    <w:link w:val="Titre3Car"/>
    <w:uiPriority w:val="1"/>
    <w:unhideWhenUsed/>
    <w:qFormat/>
    <w:rsid w:val="00A10C83"/>
    <w:pPr>
      <w:keepNext/>
      <w:keepLines/>
      <w:numPr>
        <w:numId w:val="3"/>
      </w:numPr>
      <w:spacing w:before="200"/>
      <w:ind w:left="993"/>
      <w:outlineLvl w:val="2"/>
    </w:pPr>
    <w:rPr>
      <w:rFonts w:asciiTheme="majorHAnsi" w:eastAsiaTheme="majorEastAsia" w:hAnsiTheme="majorHAnsi" w:cstheme="majorBidi"/>
      <w:color w:val="4472C4"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1"/>
    <w:rsid w:val="00A10C83"/>
    <w:rPr>
      <w:rFonts w:ascii="Calibri" w:hAnsi="Calibri" w:cs="Calibri"/>
      <w:b/>
      <w:color w:val="FFFFFF" w:themeColor="background1"/>
      <w:shd w:val="clear" w:color="auto" w:fill="E16400"/>
      <w:lang w:eastAsia="fr-FR"/>
    </w:rPr>
  </w:style>
  <w:style w:type="character" w:customStyle="1" w:styleId="Titre2Car">
    <w:name w:val="Titre 2 Car"/>
    <w:basedOn w:val="Policepardfaut"/>
    <w:link w:val="Titre2"/>
    <w:uiPriority w:val="1"/>
    <w:rsid w:val="00A10C83"/>
    <w:rPr>
      <w:rFonts w:ascii="Calibri" w:eastAsiaTheme="majorEastAsia" w:hAnsi="Calibri" w:cs="Calibri"/>
      <w:caps/>
      <w:color w:val="0050A0"/>
    </w:rPr>
  </w:style>
  <w:style w:type="character" w:customStyle="1" w:styleId="Titre3Car">
    <w:name w:val="Titre 3 Car"/>
    <w:basedOn w:val="Policepardfaut"/>
    <w:link w:val="Titre3"/>
    <w:uiPriority w:val="1"/>
    <w:rsid w:val="00A10C83"/>
    <w:rPr>
      <w:rFonts w:asciiTheme="majorHAnsi" w:eastAsiaTheme="majorEastAsia" w:hAnsiTheme="majorHAnsi" w:cstheme="majorBidi"/>
      <w:color w:val="4472C4" w:themeColor="accent1"/>
    </w:rPr>
  </w:style>
  <w:style w:type="character" w:styleId="Lienhypertexte">
    <w:name w:val="Hyperlink"/>
    <w:basedOn w:val="Policepardfaut"/>
    <w:uiPriority w:val="99"/>
    <w:unhideWhenUsed/>
    <w:rsid w:val="00A10C83"/>
    <w:rPr>
      <w:color w:val="0563C1" w:themeColor="hyperlink"/>
      <w:u w:val="single"/>
    </w:rPr>
  </w:style>
  <w:style w:type="paragraph" w:styleId="Paragraphedeliste">
    <w:name w:val="List Paragraph"/>
    <w:basedOn w:val="Normal"/>
    <w:uiPriority w:val="34"/>
    <w:qFormat/>
    <w:rsid w:val="00A10C83"/>
    <w:pPr>
      <w:ind w:left="720"/>
      <w:contextualSpacing/>
    </w:pPr>
  </w:style>
  <w:style w:type="paragraph" w:styleId="Corpsdetexte">
    <w:name w:val="Body Text"/>
    <w:basedOn w:val="Normal"/>
    <w:link w:val="CorpsdetexteCar"/>
    <w:uiPriority w:val="1"/>
    <w:qFormat/>
    <w:rsid w:val="00A10C83"/>
    <w:pPr>
      <w:widowControl w:val="0"/>
      <w:autoSpaceDE w:val="0"/>
      <w:autoSpaceDN w:val="0"/>
      <w:spacing w:before="56"/>
    </w:pPr>
    <w:rPr>
      <w:rFonts w:eastAsia="Calibri"/>
      <w:lang w:bidi="fr-FR"/>
    </w:rPr>
  </w:style>
  <w:style w:type="character" w:customStyle="1" w:styleId="CorpsdetexteCar">
    <w:name w:val="Corps de texte Car"/>
    <w:basedOn w:val="Policepardfaut"/>
    <w:link w:val="Corpsdetexte"/>
    <w:uiPriority w:val="1"/>
    <w:rsid w:val="00A10C83"/>
    <w:rPr>
      <w:rFonts w:ascii="Calibri" w:eastAsia="Calibri" w:hAnsi="Calibri" w:cs="Calibri"/>
      <w:lang w:eastAsia="fr-FR" w:bidi="fr-FR"/>
    </w:rPr>
  </w:style>
  <w:style w:type="table" w:styleId="TableauGrille4-Accentuation5">
    <w:name w:val="Grid Table 4 Accent 5"/>
    <w:basedOn w:val="TableauNormal"/>
    <w:uiPriority w:val="49"/>
    <w:rsid w:val="00F258E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ansinterligne">
    <w:name w:val="No Spacing"/>
    <w:link w:val="SansinterligneCar"/>
    <w:uiPriority w:val="1"/>
    <w:qFormat/>
    <w:rsid w:val="006B494D"/>
    <w:pPr>
      <w:spacing w:after="0" w:line="240" w:lineRule="auto"/>
    </w:pPr>
    <w:rPr>
      <w:rFonts w:ascii="Calibri" w:hAnsi="Calibri"/>
      <w:sz w:val="20"/>
      <w:szCs w:val="20"/>
      <w:lang w:eastAsia="fr-FR"/>
    </w:rPr>
  </w:style>
  <w:style w:type="table" w:styleId="Grilledutableau">
    <w:name w:val="Table Grid"/>
    <w:basedOn w:val="TableauNormal"/>
    <w:uiPriority w:val="39"/>
    <w:rsid w:val="000D7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4F0CB0"/>
    <w:rPr>
      <w:color w:val="605E5C"/>
      <w:shd w:val="clear" w:color="auto" w:fill="E1DFDD"/>
    </w:rPr>
  </w:style>
  <w:style w:type="paragraph" w:customStyle="1" w:styleId="table">
    <w:name w:val="table"/>
    <w:basedOn w:val="Normal"/>
    <w:qFormat/>
    <w:rsid w:val="00162A95"/>
    <w:pPr>
      <w:spacing w:before="120" w:after="120"/>
    </w:pPr>
    <w:rPr>
      <w:rFonts w:asciiTheme="minorHAnsi" w:hAnsiTheme="minorHAnsi" w:cs="Tahoma"/>
      <w:bCs/>
      <w:sz w:val="16"/>
      <w:szCs w:val="16"/>
      <w:lang w:val="en-CA" w:eastAsia="en-CA"/>
    </w:rPr>
  </w:style>
  <w:style w:type="character" w:styleId="lev">
    <w:name w:val="Strong"/>
    <w:basedOn w:val="Policepardfaut"/>
    <w:uiPriority w:val="22"/>
    <w:qFormat/>
    <w:rsid w:val="00162A95"/>
    <w:rPr>
      <w:b/>
      <w:bCs/>
    </w:rPr>
  </w:style>
  <w:style w:type="paragraph" w:customStyle="1" w:styleId="TableHeadingg">
    <w:name w:val="Table Headingg"/>
    <w:basedOn w:val="Normal"/>
    <w:rsid w:val="00162A95"/>
    <w:pPr>
      <w:spacing w:before="300" w:after="300" w:line="216" w:lineRule="auto"/>
      <w:jc w:val="center"/>
    </w:pPr>
    <w:rPr>
      <w:rFonts w:asciiTheme="minorHAnsi" w:hAnsiTheme="minorHAnsi" w:cstheme="minorBidi"/>
      <w:b/>
      <w:bCs/>
      <w:color w:val="FFFFFF" w:themeColor="background1"/>
      <w:lang w:val="en-CA" w:eastAsia="en-CA"/>
    </w:rPr>
  </w:style>
  <w:style w:type="table" w:styleId="TableauListe4">
    <w:name w:val="List Table 4"/>
    <w:basedOn w:val="TableauNormal"/>
    <w:uiPriority w:val="49"/>
    <w:rsid w:val="00162A95"/>
    <w:pPr>
      <w:spacing w:after="0" w:line="240" w:lineRule="auto"/>
    </w:pPr>
    <w:rPr>
      <w:rFonts w:eastAsiaTheme="minorEastAsia"/>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ansinterligneCar">
    <w:name w:val="Sans interligne Car"/>
    <w:basedOn w:val="Policepardfaut"/>
    <w:link w:val="Sansinterligne"/>
    <w:uiPriority w:val="1"/>
    <w:rsid w:val="0074498A"/>
    <w:rPr>
      <w:rFonts w:ascii="Calibri" w:hAnsi="Calibri"/>
      <w:sz w:val="20"/>
      <w:szCs w:val="20"/>
      <w:lang w:eastAsia="fr-FR"/>
    </w:rPr>
  </w:style>
  <w:style w:type="paragraph" w:styleId="En-tte">
    <w:name w:val="header"/>
    <w:basedOn w:val="Normal"/>
    <w:link w:val="En-tteCar"/>
    <w:uiPriority w:val="99"/>
    <w:unhideWhenUsed/>
    <w:rsid w:val="00024D6F"/>
    <w:pPr>
      <w:tabs>
        <w:tab w:val="center" w:pos="4536"/>
        <w:tab w:val="right" w:pos="9072"/>
      </w:tabs>
    </w:pPr>
  </w:style>
  <w:style w:type="character" w:customStyle="1" w:styleId="En-tteCar">
    <w:name w:val="En-tête Car"/>
    <w:basedOn w:val="Policepardfaut"/>
    <w:link w:val="En-tte"/>
    <w:uiPriority w:val="99"/>
    <w:rsid w:val="00024D6F"/>
    <w:rPr>
      <w:rFonts w:ascii="Calibri" w:hAnsi="Calibri" w:cs="Calibri"/>
    </w:rPr>
  </w:style>
  <w:style w:type="paragraph" w:styleId="Pieddepage">
    <w:name w:val="footer"/>
    <w:basedOn w:val="Normal"/>
    <w:link w:val="PieddepageCar"/>
    <w:uiPriority w:val="99"/>
    <w:unhideWhenUsed/>
    <w:rsid w:val="00024D6F"/>
    <w:pPr>
      <w:tabs>
        <w:tab w:val="center" w:pos="4536"/>
        <w:tab w:val="right" w:pos="9072"/>
      </w:tabs>
    </w:pPr>
  </w:style>
  <w:style w:type="character" w:customStyle="1" w:styleId="PieddepageCar">
    <w:name w:val="Pied de page Car"/>
    <w:basedOn w:val="Policepardfaut"/>
    <w:link w:val="Pieddepage"/>
    <w:uiPriority w:val="99"/>
    <w:rsid w:val="00024D6F"/>
    <w:rPr>
      <w:rFonts w:ascii="Calibri" w:hAnsi="Calibri" w:cs="Calibri"/>
    </w:rPr>
  </w:style>
  <w:style w:type="table" w:customStyle="1" w:styleId="a5">
    <w:name w:val="a5"/>
    <w:basedOn w:val="TableauNormal"/>
    <w:rsid w:val="0023497C"/>
    <w:pPr>
      <w:widowControl w:val="0"/>
      <w:pBdr>
        <w:top w:val="nil"/>
        <w:left w:val="nil"/>
        <w:bottom w:val="nil"/>
        <w:right w:val="nil"/>
        <w:between w:val="nil"/>
      </w:pBdr>
      <w:spacing w:after="0" w:line="240" w:lineRule="auto"/>
      <w:contextualSpacing/>
      <w:jc w:val="both"/>
    </w:pPr>
    <w:rPr>
      <w:rFonts w:ascii="Calibri" w:eastAsia="Calibri" w:hAnsi="Calibri" w:cs="Calibri"/>
      <w:color w:val="7F7F7F"/>
      <w:lang w:val="en-US"/>
    </w:rPr>
    <w:tblPr>
      <w:tblStyleRowBandSize w:val="1"/>
      <w:tblStyleColBandSize w:val="1"/>
      <w:tblCellMar>
        <w:left w:w="115" w:type="dxa"/>
        <w:right w:w="115" w:type="dxa"/>
      </w:tblCellMar>
    </w:tblPr>
  </w:style>
  <w:style w:type="table" w:customStyle="1" w:styleId="a4">
    <w:name w:val="a4"/>
    <w:basedOn w:val="TableauNormal"/>
    <w:rsid w:val="008D4B29"/>
    <w:pPr>
      <w:widowControl w:val="0"/>
      <w:pBdr>
        <w:top w:val="nil"/>
        <w:left w:val="nil"/>
        <w:bottom w:val="nil"/>
        <w:right w:val="nil"/>
        <w:between w:val="nil"/>
      </w:pBdr>
      <w:spacing w:after="0" w:line="240" w:lineRule="auto"/>
      <w:contextualSpacing/>
      <w:jc w:val="both"/>
    </w:pPr>
    <w:rPr>
      <w:rFonts w:ascii="Calibri" w:eastAsia="Calibri" w:hAnsi="Calibri" w:cs="Calibri"/>
      <w:color w:val="7F7F7F"/>
      <w:lang w:val="en-US"/>
    </w:rPr>
    <w:tblPr>
      <w:tblStyleRowBandSize w:val="1"/>
      <w:tblStyleColBandSize w:val="1"/>
      <w:tblCellMar>
        <w:left w:w="115" w:type="dxa"/>
        <w:right w:w="115" w:type="dxa"/>
      </w:tblCellMar>
    </w:tblPr>
  </w:style>
  <w:style w:type="paragraph" w:styleId="TM1">
    <w:name w:val="toc 1"/>
    <w:basedOn w:val="Normal"/>
    <w:next w:val="Normal"/>
    <w:autoRedefine/>
    <w:uiPriority w:val="39"/>
    <w:unhideWhenUsed/>
    <w:rsid w:val="00B71BDC"/>
    <w:pPr>
      <w:spacing w:after="100"/>
    </w:pPr>
  </w:style>
  <w:style w:type="paragraph" w:styleId="TM2">
    <w:name w:val="toc 2"/>
    <w:basedOn w:val="Normal"/>
    <w:next w:val="Normal"/>
    <w:autoRedefine/>
    <w:uiPriority w:val="39"/>
    <w:unhideWhenUsed/>
    <w:rsid w:val="00B71BDC"/>
    <w:pPr>
      <w:spacing w:after="100"/>
      <w:ind w:left="220"/>
    </w:pPr>
  </w:style>
  <w:style w:type="paragraph" w:styleId="TM3">
    <w:name w:val="toc 3"/>
    <w:basedOn w:val="Normal"/>
    <w:next w:val="Normal"/>
    <w:autoRedefine/>
    <w:uiPriority w:val="39"/>
    <w:unhideWhenUsed/>
    <w:rsid w:val="00B71BDC"/>
    <w:pPr>
      <w:spacing w:after="100"/>
      <w:ind w:left="440"/>
    </w:pPr>
  </w:style>
  <w:style w:type="paragraph" w:styleId="En-ttedetabledesmatires">
    <w:name w:val="TOC Heading"/>
    <w:basedOn w:val="Titre1"/>
    <w:next w:val="Normal"/>
    <w:uiPriority w:val="39"/>
    <w:semiHidden/>
    <w:unhideWhenUsed/>
    <w:qFormat/>
    <w:rsid w:val="00B71BDC"/>
    <w:pPr>
      <w:keepNext/>
      <w:keepLines/>
      <w:pBdr>
        <w:top w:val="none" w:sz="0" w:space="0" w:color="auto"/>
        <w:left w:val="none" w:sz="0" w:space="0" w:color="auto"/>
        <w:bottom w:val="none" w:sz="0" w:space="0" w:color="auto"/>
        <w:right w:val="none" w:sz="0" w:space="0" w:color="auto"/>
      </w:pBdr>
      <w:shd w:val="clear" w:color="auto" w:fill="auto"/>
      <w:spacing w:before="240" w:beforeAutospacing="0" w:after="0" w:afterAutospacing="0"/>
      <w:outlineLvl w:val="9"/>
    </w:pPr>
    <w:rPr>
      <w:rFonts w:asciiTheme="majorHAnsi" w:eastAsiaTheme="majorEastAsia" w:hAnsiTheme="majorHAnsi" w:cstheme="majorBidi"/>
      <w:b w:val="0"/>
      <w:color w:val="2F5496" w:themeColor="accent1" w:themeShade="BF"/>
      <w:sz w:val="32"/>
      <w:szCs w:val="32"/>
    </w:rPr>
  </w:style>
  <w:style w:type="paragraph" w:customStyle="1" w:styleId="Default">
    <w:name w:val="Default"/>
    <w:rsid w:val="008A1D00"/>
    <w:pPr>
      <w:autoSpaceDE w:val="0"/>
      <w:autoSpaceDN w:val="0"/>
      <w:adjustRightInd w:val="0"/>
      <w:spacing w:after="0" w:line="240" w:lineRule="auto"/>
    </w:pPr>
    <w:rPr>
      <w:rFonts w:ascii="Calibri" w:hAnsi="Calibri" w:cs="Calibri"/>
      <w:color w:val="000000"/>
      <w:sz w:val="24"/>
      <w:szCs w:val="24"/>
      <w14:ligatures w14:val="standardContextual"/>
    </w:rPr>
  </w:style>
  <w:style w:type="character" w:styleId="Marquedecommentaire">
    <w:name w:val="annotation reference"/>
    <w:basedOn w:val="Policepardfaut"/>
    <w:uiPriority w:val="99"/>
    <w:semiHidden/>
    <w:unhideWhenUsed/>
    <w:rsid w:val="00EF6D4B"/>
    <w:rPr>
      <w:sz w:val="16"/>
      <w:szCs w:val="16"/>
    </w:rPr>
  </w:style>
  <w:style w:type="paragraph" w:styleId="Commentaire">
    <w:name w:val="annotation text"/>
    <w:basedOn w:val="Normal"/>
    <w:link w:val="CommentaireCar"/>
    <w:uiPriority w:val="99"/>
    <w:unhideWhenUsed/>
    <w:rsid w:val="00EF6D4B"/>
    <w:rPr>
      <w:sz w:val="20"/>
      <w:szCs w:val="20"/>
    </w:rPr>
  </w:style>
  <w:style w:type="character" w:customStyle="1" w:styleId="CommentaireCar">
    <w:name w:val="Commentaire Car"/>
    <w:basedOn w:val="Policepardfaut"/>
    <w:link w:val="Commentaire"/>
    <w:uiPriority w:val="99"/>
    <w:rsid w:val="00EF6D4B"/>
    <w:rPr>
      <w:rFonts w:ascii="Calibri" w:hAnsi="Calibri" w:cs="Calibri"/>
      <w:sz w:val="20"/>
      <w:szCs w:val="20"/>
    </w:rPr>
  </w:style>
  <w:style w:type="paragraph" w:styleId="Objetducommentaire">
    <w:name w:val="annotation subject"/>
    <w:basedOn w:val="Commentaire"/>
    <w:next w:val="Commentaire"/>
    <w:link w:val="ObjetducommentaireCar"/>
    <w:uiPriority w:val="99"/>
    <w:semiHidden/>
    <w:unhideWhenUsed/>
    <w:rsid w:val="00EF6D4B"/>
    <w:rPr>
      <w:b/>
      <w:bCs/>
    </w:rPr>
  </w:style>
  <w:style w:type="character" w:customStyle="1" w:styleId="ObjetducommentaireCar">
    <w:name w:val="Objet du commentaire Car"/>
    <w:basedOn w:val="CommentaireCar"/>
    <w:link w:val="Objetducommentaire"/>
    <w:uiPriority w:val="99"/>
    <w:semiHidden/>
    <w:rsid w:val="00EF6D4B"/>
    <w:rPr>
      <w:rFonts w:ascii="Calibri" w:hAnsi="Calibri" w:cs="Calibri"/>
      <w:b/>
      <w:bCs/>
      <w:sz w:val="20"/>
      <w:szCs w:val="20"/>
    </w:rPr>
  </w:style>
  <w:style w:type="paragraph" w:styleId="NormalWeb">
    <w:name w:val="Normal (Web)"/>
    <w:basedOn w:val="Normal"/>
    <w:uiPriority w:val="99"/>
    <w:semiHidden/>
    <w:unhideWhenUsed/>
    <w:rsid w:val="00B82144"/>
    <w:pPr>
      <w:spacing w:before="100" w:beforeAutospacing="1" w:after="100" w:afterAutospacing="1"/>
    </w:pPr>
    <w:rPr>
      <w:rFonts w:ascii="Aptos" w:hAnsi="Aptos" w:cs="Aptos"/>
      <w:sz w:val="24"/>
      <w:szCs w:val="24"/>
      <w:lang w:eastAsia="fr-FR"/>
    </w:rPr>
  </w:style>
  <w:style w:type="character" w:styleId="Lienhypertextesuivivisit">
    <w:name w:val="FollowedHyperlink"/>
    <w:basedOn w:val="Policepardfaut"/>
    <w:uiPriority w:val="99"/>
    <w:semiHidden/>
    <w:unhideWhenUsed/>
    <w:rsid w:val="009F0F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0597">
      <w:bodyDiv w:val="1"/>
      <w:marLeft w:val="0"/>
      <w:marRight w:val="0"/>
      <w:marTop w:val="0"/>
      <w:marBottom w:val="0"/>
      <w:divBdr>
        <w:top w:val="none" w:sz="0" w:space="0" w:color="auto"/>
        <w:left w:val="none" w:sz="0" w:space="0" w:color="auto"/>
        <w:bottom w:val="none" w:sz="0" w:space="0" w:color="auto"/>
        <w:right w:val="none" w:sz="0" w:space="0" w:color="auto"/>
      </w:divBdr>
    </w:div>
    <w:div w:id="380909591">
      <w:bodyDiv w:val="1"/>
      <w:marLeft w:val="0"/>
      <w:marRight w:val="0"/>
      <w:marTop w:val="0"/>
      <w:marBottom w:val="0"/>
      <w:divBdr>
        <w:top w:val="none" w:sz="0" w:space="0" w:color="auto"/>
        <w:left w:val="none" w:sz="0" w:space="0" w:color="auto"/>
        <w:bottom w:val="none" w:sz="0" w:space="0" w:color="auto"/>
        <w:right w:val="none" w:sz="0" w:space="0" w:color="auto"/>
      </w:divBdr>
    </w:div>
    <w:div w:id="585699411">
      <w:bodyDiv w:val="1"/>
      <w:marLeft w:val="0"/>
      <w:marRight w:val="0"/>
      <w:marTop w:val="0"/>
      <w:marBottom w:val="0"/>
      <w:divBdr>
        <w:top w:val="none" w:sz="0" w:space="0" w:color="auto"/>
        <w:left w:val="none" w:sz="0" w:space="0" w:color="auto"/>
        <w:bottom w:val="none" w:sz="0" w:space="0" w:color="auto"/>
        <w:right w:val="none" w:sz="0" w:space="0" w:color="auto"/>
      </w:divBdr>
    </w:div>
    <w:div w:id="854271664">
      <w:bodyDiv w:val="1"/>
      <w:marLeft w:val="0"/>
      <w:marRight w:val="0"/>
      <w:marTop w:val="0"/>
      <w:marBottom w:val="0"/>
      <w:divBdr>
        <w:top w:val="none" w:sz="0" w:space="0" w:color="auto"/>
        <w:left w:val="none" w:sz="0" w:space="0" w:color="auto"/>
        <w:bottom w:val="none" w:sz="0" w:space="0" w:color="auto"/>
        <w:right w:val="none" w:sz="0" w:space="0" w:color="auto"/>
      </w:divBdr>
    </w:div>
    <w:div w:id="939800106">
      <w:bodyDiv w:val="1"/>
      <w:marLeft w:val="0"/>
      <w:marRight w:val="0"/>
      <w:marTop w:val="0"/>
      <w:marBottom w:val="0"/>
      <w:divBdr>
        <w:top w:val="none" w:sz="0" w:space="0" w:color="auto"/>
        <w:left w:val="none" w:sz="0" w:space="0" w:color="auto"/>
        <w:bottom w:val="none" w:sz="0" w:space="0" w:color="auto"/>
        <w:right w:val="none" w:sz="0" w:space="0" w:color="auto"/>
      </w:divBdr>
    </w:div>
    <w:div w:id="1312976020">
      <w:bodyDiv w:val="1"/>
      <w:marLeft w:val="0"/>
      <w:marRight w:val="0"/>
      <w:marTop w:val="0"/>
      <w:marBottom w:val="0"/>
      <w:divBdr>
        <w:top w:val="none" w:sz="0" w:space="0" w:color="auto"/>
        <w:left w:val="none" w:sz="0" w:space="0" w:color="auto"/>
        <w:bottom w:val="none" w:sz="0" w:space="0" w:color="auto"/>
        <w:right w:val="none" w:sz="0" w:space="0" w:color="auto"/>
      </w:divBdr>
    </w:div>
    <w:div w:id="1351373440">
      <w:bodyDiv w:val="1"/>
      <w:marLeft w:val="0"/>
      <w:marRight w:val="0"/>
      <w:marTop w:val="0"/>
      <w:marBottom w:val="0"/>
      <w:divBdr>
        <w:top w:val="none" w:sz="0" w:space="0" w:color="auto"/>
        <w:left w:val="none" w:sz="0" w:space="0" w:color="auto"/>
        <w:bottom w:val="none" w:sz="0" w:space="0" w:color="auto"/>
        <w:right w:val="none" w:sz="0" w:space="0" w:color="auto"/>
      </w:divBdr>
    </w:div>
    <w:div w:id="1545363927">
      <w:bodyDiv w:val="1"/>
      <w:marLeft w:val="0"/>
      <w:marRight w:val="0"/>
      <w:marTop w:val="0"/>
      <w:marBottom w:val="0"/>
      <w:divBdr>
        <w:top w:val="none" w:sz="0" w:space="0" w:color="auto"/>
        <w:left w:val="none" w:sz="0" w:space="0" w:color="auto"/>
        <w:bottom w:val="none" w:sz="0" w:space="0" w:color="auto"/>
        <w:right w:val="none" w:sz="0" w:space="0" w:color="auto"/>
      </w:divBdr>
    </w:div>
    <w:div w:id="1645163989">
      <w:bodyDiv w:val="1"/>
      <w:marLeft w:val="0"/>
      <w:marRight w:val="0"/>
      <w:marTop w:val="0"/>
      <w:marBottom w:val="0"/>
      <w:divBdr>
        <w:top w:val="none" w:sz="0" w:space="0" w:color="auto"/>
        <w:left w:val="none" w:sz="0" w:space="0" w:color="auto"/>
        <w:bottom w:val="none" w:sz="0" w:space="0" w:color="auto"/>
        <w:right w:val="none" w:sz="0" w:space="0" w:color="auto"/>
      </w:divBdr>
    </w:div>
    <w:div w:id="1707098896">
      <w:bodyDiv w:val="1"/>
      <w:marLeft w:val="0"/>
      <w:marRight w:val="0"/>
      <w:marTop w:val="0"/>
      <w:marBottom w:val="0"/>
      <w:divBdr>
        <w:top w:val="none" w:sz="0" w:space="0" w:color="auto"/>
        <w:left w:val="none" w:sz="0" w:space="0" w:color="auto"/>
        <w:bottom w:val="none" w:sz="0" w:space="0" w:color="auto"/>
        <w:right w:val="none" w:sz="0" w:space="0" w:color="auto"/>
      </w:divBdr>
    </w:div>
    <w:div w:id="202716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89.90.207.11/konos/login.do?id=bytel" TargetMode="External"/><Relationship Id="rId42" Type="http://schemas.microsoft.com/office/2018/08/relationships/commentsExtensible" Target="commentsExtensible.xml"/><Relationship Id="rId47" Type="http://schemas.openxmlformats.org/officeDocument/2006/relationships/image" Target="media/image26.png"/><Relationship Id="rId63" Type="http://schemas.openxmlformats.org/officeDocument/2006/relationships/hyperlink" Target="mailto:FOMEDIOU@bouyguestelecom.fr" TargetMode="External"/><Relationship Id="rId68" Type="http://schemas.openxmlformats.org/officeDocument/2006/relationships/image" Target="media/image35.emf"/><Relationship Id="rId2" Type="http://schemas.openxmlformats.org/officeDocument/2006/relationships/customXml" Target="../customXml/item2.xml"/><Relationship Id="rId16" Type="http://schemas.openxmlformats.org/officeDocument/2006/relationships/image" Target="media/image2.emf"/><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microsoft.com/office/2011/relationships/commentsExtended" Target="commentsExtended.xml"/><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hyperlink" Target="mailto:alabadie@bouyguestelecom.fr" TargetMode="External"/><Relationship Id="rId66" Type="http://schemas.openxmlformats.org/officeDocument/2006/relationships/hyperlink" Target="mailto:thbianay@bouyguestelecom.fr" TargetMode="External"/><Relationship Id="rId74" Type="http://schemas.microsoft.com/office/2011/relationships/people" Target="people.xml"/><Relationship Id="rId5" Type="http://schemas.openxmlformats.org/officeDocument/2006/relationships/customXml" Target="../customXml/item5.xml"/><Relationship Id="rId61" Type="http://schemas.openxmlformats.org/officeDocument/2006/relationships/hyperlink" Target="mailto:AKHELADI@bouyguestelecom.fr" TargetMode="External"/><Relationship Id="rId19" Type="http://schemas.openxmlformats.org/officeDocument/2006/relationships/image" Target="media/image3.png"/><Relationship Id="rId14" Type="http://schemas.openxmlformats.org/officeDocument/2006/relationships/image" Target="media/image1.emf"/><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yperlink" Target="mailto:gebesnier@bouyguestelecom.fr" TargetMode="External"/><Relationship Id="rId64" Type="http://schemas.openxmlformats.org/officeDocument/2006/relationships/hyperlink" Target="mailto:PASABBAH@bouyguestelecom.fr" TargetMode="External"/><Relationship Id="rId69" Type="http://schemas.openxmlformats.org/officeDocument/2006/relationships/package" Target="embeddings/Microsoft_Excel_Worksheet2.xlsx"/><Relationship Id="rId8" Type="http://schemas.openxmlformats.org/officeDocument/2006/relationships/settings" Target="settings.xml"/><Relationship Id="rId51" Type="http://schemas.openxmlformats.org/officeDocument/2006/relationships/image" Target="media/image30.png"/><Relationship Id="rId72"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hyperlink" Target="mailto:PASABBAH@bouyguestelecom.fr" TargetMode="External"/><Relationship Id="rId17" Type="http://schemas.openxmlformats.org/officeDocument/2006/relationships/package" Target="embeddings/Microsoft_Excel_Worksheet1.xlsx"/><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5.png"/><Relationship Id="rId59" Type="http://schemas.openxmlformats.org/officeDocument/2006/relationships/hyperlink" Target="mailto:shouduss@bouyguestelecom.fr" TargetMode="External"/><Relationship Id="rId67" Type="http://schemas.openxmlformats.org/officeDocument/2006/relationships/hyperlink" Target="mailto:FARENARD@bouyguestlecom.fr" TargetMode="External"/><Relationship Id="rId20" Type="http://schemas.openxmlformats.org/officeDocument/2006/relationships/image" Target="media/image4.png"/><Relationship Id="rId41" Type="http://schemas.microsoft.com/office/2016/09/relationships/commentsIds" Target="commentsIds.xml"/><Relationship Id="rId54" Type="http://schemas.openxmlformats.org/officeDocument/2006/relationships/image" Target="media/image33.png"/><Relationship Id="rId62" Type="http://schemas.openxmlformats.org/officeDocument/2006/relationships/hyperlink" Target="mailto:FCREMER@bouyguestelecom.fr" TargetMode="External"/><Relationship Id="rId70" Type="http://schemas.openxmlformats.org/officeDocument/2006/relationships/header" Target="header1.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package" Target="embeddings/Microsoft_Excel_Worksheet.xlsx"/><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hyperlink" Target="mailto:lzeroual@bouyguestelecom.fr" TargetMode="External"/><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yperlink" Target="mailto:bdassiez@bouyguestelecom.fr" TargetMode="External"/><Relationship Id="rId65" Type="http://schemas.openxmlformats.org/officeDocument/2006/relationships/hyperlink" Target="mailto:vamantch@bouyguestelecom.fr"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89.90.207.11/konos/login.do?id=bytel" TargetMode="External"/><Relationship Id="rId18" Type="http://schemas.openxmlformats.org/officeDocument/2006/relationships/hyperlink" Target="file:///\\bt0d0000.w2k.bouyguestelecom.fr\PARTAGES\551-600\M00581\PARTAGE\DPM-SIIS-FCHEVALIER\00.TREFLE\0_DEPOTS" TargetMode="External"/><Relationship Id="rId39" Type="http://schemas.openxmlformats.org/officeDocument/2006/relationships/comments" Target="comments.xml"/><Relationship Id="rId34" Type="http://schemas.openxmlformats.org/officeDocument/2006/relationships/image" Target="media/image17.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theme" Target="theme/theme1.xml"/><Relationship Id="rId7" Type="http://schemas.openxmlformats.org/officeDocument/2006/relationships/styles" Target="styles.xml"/><Relationship Id="rId71" Type="http://schemas.openxmlformats.org/officeDocument/2006/relationships/footer" Target="footer1.xml"/><Relationship Id="rIdPaprikaDiagram" Type="http://schemas.openxmlformats.org/officeDocument/2006/relationships/image" Target="media/paprika_processus.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469844046E425BAC30FFE271BE41D4"/>
        <w:category>
          <w:name w:val="Général"/>
          <w:gallery w:val="placeholder"/>
        </w:category>
        <w:types>
          <w:type w:val="bbPlcHdr"/>
        </w:types>
        <w:behaviors>
          <w:behavior w:val="content"/>
        </w:behaviors>
        <w:guid w:val="{CEE6A76B-80D8-4395-99C4-BA68D6D28522}"/>
      </w:docPartPr>
      <w:docPartBody>
        <w:p w:rsidR="00DF76B6" w:rsidRDefault="007A3ACE" w:rsidP="007A3ACE">
          <w:pPr>
            <w:pStyle w:val="A5469844046E425BAC30FFE271BE41D4"/>
          </w:pPr>
          <w:r>
            <w:rPr>
              <w:color w:val="0F4761" w:themeColor="accent1" w:themeShade="BF"/>
              <w:sz w:val="24"/>
              <w:szCs w:val="24"/>
            </w:rPr>
            <w:t>[Nom de la société]</w:t>
          </w:r>
        </w:p>
      </w:docPartBody>
    </w:docPart>
    <w:docPart>
      <w:docPartPr>
        <w:name w:val="8188193A0614420E982EABAECDE71DCB"/>
        <w:category>
          <w:name w:val="Général"/>
          <w:gallery w:val="placeholder"/>
        </w:category>
        <w:types>
          <w:type w:val="bbPlcHdr"/>
        </w:types>
        <w:behaviors>
          <w:behavior w:val="content"/>
        </w:behaviors>
        <w:guid w:val="{896C240D-13D1-4271-A0D3-60C588F09296}"/>
      </w:docPartPr>
      <w:docPartBody>
        <w:p w:rsidR="00DF76B6" w:rsidRDefault="007A3ACE" w:rsidP="007A3ACE">
          <w:pPr>
            <w:pStyle w:val="8188193A0614420E982EABAECDE71DCB"/>
          </w:pPr>
          <w:r>
            <w:rPr>
              <w:rFonts w:asciiTheme="majorHAnsi" w:eastAsiaTheme="majorEastAsia" w:hAnsiTheme="majorHAnsi" w:cstheme="majorBidi"/>
              <w:color w:val="156082" w:themeColor="accent1"/>
              <w:sz w:val="88"/>
              <w:szCs w:val="88"/>
            </w:rPr>
            <w:t>[Titre du document]</w:t>
          </w:r>
        </w:p>
      </w:docPartBody>
    </w:docPart>
    <w:docPart>
      <w:docPartPr>
        <w:name w:val="9068803706344EB3915A397767D8CEA5"/>
        <w:category>
          <w:name w:val="Général"/>
          <w:gallery w:val="placeholder"/>
        </w:category>
        <w:types>
          <w:type w:val="bbPlcHdr"/>
        </w:types>
        <w:behaviors>
          <w:behavior w:val="content"/>
        </w:behaviors>
        <w:guid w:val="{90E525D2-ADDE-42BF-82E0-7900F36F4C79}"/>
      </w:docPartPr>
      <w:docPartBody>
        <w:p w:rsidR="00DF76B6" w:rsidRDefault="007A3ACE" w:rsidP="007A3ACE">
          <w:pPr>
            <w:pStyle w:val="9068803706344EB3915A397767D8CEA5"/>
          </w:pPr>
          <w:r>
            <w:rPr>
              <w:color w:val="0F4761" w:themeColor="accent1" w:themeShade="BF"/>
              <w:sz w:val="24"/>
              <w:szCs w:val="24"/>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ACE"/>
    <w:rsid w:val="00004D1B"/>
    <w:rsid w:val="00005A39"/>
    <w:rsid w:val="00031FF7"/>
    <w:rsid w:val="00035C05"/>
    <w:rsid w:val="00060D0D"/>
    <w:rsid w:val="00074CC9"/>
    <w:rsid w:val="000D774C"/>
    <w:rsid w:val="001101B5"/>
    <w:rsid w:val="001223D3"/>
    <w:rsid w:val="001631DF"/>
    <w:rsid w:val="001F4707"/>
    <w:rsid w:val="001F55A8"/>
    <w:rsid w:val="002D7268"/>
    <w:rsid w:val="00341924"/>
    <w:rsid w:val="003D5D33"/>
    <w:rsid w:val="00423B05"/>
    <w:rsid w:val="00472C5C"/>
    <w:rsid w:val="004B0EAB"/>
    <w:rsid w:val="004F0D75"/>
    <w:rsid w:val="0053185B"/>
    <w:rsid w:val="00656C53"/>
    <w:rsid w:val="006861A3"/>
    <w:rsid w:val="00690417"/>
    <w:rsid w:val="00744029"/>
    <w:rsid w:val="00792C9A"/>
    <w:rsid w:val="007A3ACE"/>
    <w:rsid w:val="007C50F7"/>
    <w:rsid w:val="007D3336"/>
    <w:rsid w:val="00830D24"/>
    <w:rsid w:val="00856031"/>
    <w:rsid w:val="00944089"/>
    <w:rsid w:val="009A4DFD"/>
    <w:rsid w:val="009D76FB"/>
    <w:rsid w:val="00B15EAF"/>
    <w:rsid w:val="00B7201D"/>
    <w:rsid w:val="00BB3212"/>
    <w:rsid w:val="00BC4753"/>
    <w:rsid w:val="00C2086A"/>
    <w:rsid w:val="00C23E18"/>
    <w:rsid w:val="00C36964"/>
    <w:rsid w:val="00C73A27"/>
    <w:rsid w:val="00CD0AC5"/>
    <w:rsid w:val="00D23F1F"/>
    <w:rsid w:val="00DC6CF1"/>
    <w:rsid w:val="00DF76B6"/>
    <w:rsid w:val="00E968B1"/>
    <w:rsid w:val="00FE72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5469844046E425BAC30FFE271BE41D4">
    <w:name w:val="A5469844046E425BAC30FFE271BE41D4"/>
    <w:rsid w:val="007A3ACE"/>
  </w:style>
  <w:style w:type="paragraph" w:customStyle="1" w:styleId="8188193A0614420E982EABAECDE71DCB">
    <w:name w:val="8188193A0614420E982EABAECDE71DCB"/>
    <w:rsid w:val="007A3ACE"/>
  </w:style>
  <w:style w:type="paragraph" w:customStyle="1" w:styleId="9068803706344EB3915A397767D8CEA5">
    <w:name w:val="9068803706344EB3915A397767D8CEA5"/>
    <w:rsid w:val="007A3A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2022-08-04T00:00:00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6025725CE0FB4A93C041AB6E46FC6A" ma:contentTypeVersion="12" ma:contentTypeDescription="Crée un document." ma:contentTypeScope="" ma:versionID="31020c4b89475be2f4b291cd3710845c">
  <xsd:schema xmlns:xsd="http://www.w3.org/2001/XMLSchema" xmlns:xs="http://www.w3.org/2001/XMLSchema" xmlns:p="http://schemas.microsoft.com/office/2006/metadata/properties" xmlns:ns2="3532ec40-5d65-4471-8c39-e975ddba7948" xmlns:ns3="ebf52f16-87e2-47f2-bf8b-17af41c372ee" targetNamespace="http://schemas.microsoft.com/office/2006/metadata/properties" ma:root="true" ma:fieldsID="cc52e45fd232518fe2705f6e7addddf5" ns2:_="" ns3:_="">
    <xsd:import namespace="3532ec40-5d65-4471-8c39-e975ddba7948"/>
    <xsd:import namespace="ebf52f16-87e2-47f2-bf8b-17af41c372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2ec40-5d65-4471-8c39-e975ddba79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f52f16-87e2-47f2-bf8b-17af41c372ee"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0DDC49-278B-4757-AE09-543690370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2ec40-5d65-4471-8c39-e975ddba7948"/>
    <ds:schemaRef ds:uri="ebf52f16-87e2-47f2-bf8b-17af41c37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855D33-6B9E-49DB-9E75-06197FDAAA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3843959-A127-40EC-AEA8-5702E71F63D4}">
  <ds:schemaRefs>
    <ds:schemaRef ds:uri="http://schemas.openxmlformats.org/officeDocument/2006/bibliography"/>
  </ds:schemaRefs>
</ds:datastoreItem>
</file>

<file path=customXml/itemProps5.xml><?xml version="1.0" encoding="utf-8"?>
<ds:datastoreItem xmlns:ds="http://schemas.openxmlformats.org/officeDocument/2006/customXml" ds:itemID="{6EB59C12-76E9-4A52-87E0-B20B40BCC06B}">
  <ds:schemaRefs>
    <ds:schemaRef ds:uri="http://schemas.microsoft.com/sharepoint/v3/contenttype/forms"/>
  </ds:schemaRefs>
</ds:datastoreItem>
</file>

<file path=docMetadata/LabelInfo.xml><?xml version="1.0" encoding="utf-8"?>
<clbl:labelList xmlns:clbl="http://schemas.microsoft.com/office/2020/mipLabelMetadata">
  <clbl:label id="{59934039-ae21-42ab-8848-d62b6328cef8}" enabled="1" method="Standard" siteId="{61ed2b68-f880-49d7-bbc9-9a645e9dcf7c}" removed="0"/>
</clbl:labelList>
</file>

<file path=docProps/app.xml><?xml version="1.0" encoding="utf-8"?>
<Properties xmlns="http://schemas.openxmlformats.org/officeDocument/2006/extended-properties" xmlns:vt="http://schemas.openxmlformats.org/officeDocument/2006/docPropsVTypes">
  <Template>Normal</Template>
  <TotalTime>4</TotalTime>
  <Pages>15</Pages>
  <Words>2398</Words>
  <Characters>13189</Characters>
  <Application>Microsoft Office Word</Application>
  <DocSecurity>0</DocSecurity>
  <Lines>109</Lines>
  <Paragraphs>31</Paragraphs>
  <ScaleCrop>false</ScaleCrop>
  <HeadingPairs>
    <vt:vector size="2" baseType="variant">
      <vt:variant>
        <vt:lpstr>Titre</vt:lpstr>
      </vt:variant>
      <vt:variant>
        <vt:i4>1</vt:i4>
      </vt:variant>
    </vt:vector>
  </HeadingPairs>
  <TitlesOfParts>
    <vt:vector size="1" baseType="lpstr">
      <vt:lpstr>VEGA</vt:lpstr>
    </vt:vector>
  </TitlesOfParts>
  <Company>Bouygues Telecom</Company>
  <LinksUpToDate>false</LinksUpToDate>
  <CharactersWithSpaces>15556</CharactersWithSpaces>
  <SharedDoc>false</SharedDoc>
  <HLinks>
    <vt:vector size="144" baseType="variant">
      <vt:variant>
        <vt:i4>2097278</vt:i4>
      </vt:variant>
      <vt:variant>
        <vt:i4>138</vt:i4>
      </vt:variant>
      <vt:variant>
        <vt:i4>0</vt:i4>
      </vt:variant>
      <vt:variant>
        <vt:i4>5</vt:i4>
      </vt:variant>
      <vt:variant>
        <vt:lpwstr>\\bt0d0000.w2k.bouyguestelecom.fr\PARTAGES\551-600\M00581\PARTAGE\DPM-SIIS-FCHEVALIER\00.TREFLE\0_DEPOTS</vt:lpwstr>
      </vt:variant>
      <vt:variant>
        <vt:lpwstr/>
      </vt:variant>
      <vt:variant>
        <vt:i4>2097278</vt:i4>
      </vt:variant>
      <vt:variant>
        <vt:i4>135</vt:i4>
      </vt:variant>
      <vt:variant>
        <vt:i4>0</vt:i4>
      </vt:variant>
      <vt:variant>
        <vt:i4>5</vt:i4>
      </vt:variant>
      <vt:variant>
        <vt:lpwstr>\\bt0d0000.w2k.bouyguestelecom.fr\PARTAGES\551-600\M00581\PARTAGE\DPM-SIIS-FCHEVALIER\00.TREFLE\0_DEPOTS</vt:lpwstr>
      </vt:variant>
      <vt:variant>
        <vt:lpwstr/>
      </vt:variant>
      <vt:variant>
        <vt:i4>1376314</vt:i4>
      </vt:variant>
      <vt:variant>
        <vt:i4>128</vt:i4>
      </vt:variant>
      <vt:variant>
        <vt:i4>0</vt:i4>
      </vt:variant>
      <vt:variant>
        <vt:i4>5</vt:i4>
      </vt:variant>
      <vt:variant>
        <vt:lpwstr/>
      </vt:variant>
      <vt:variant>
        <vt:lpwstr>_Toc188950631</vt:lpwstr>
      </vt:variant>
      <vt:variant>
        <vt:i4>1376314</vt:i4>
      </vt:variant>
      <vt:variant>
        <vt:i4>122</vt:i4>
      </vt:variant>
      <vt:variant>
        <vt:i4>0</vt:i4>
      </vt:variant>
      <vt:variant>
        <vt:i4>5</vt:i4>
      </vt:variant>
      <vt:variant>
        <vt:lpwstr/>
      </vt:variant>
      <vt:variant>
        <vt:lpwstr>_Toc188950630</vt:lpwstr>
      </vt:variant>
      <vt:variant>
        <vt:i4>1310778</vt:i4>
      </vt:variant>
      <vt:variant>
        <vt:i4>116</vt:i4>
      </vt:variant>
      <vt:variant>
        <vt:i4>0</vt:i4>
      </vt:variant>
      <vt:variant>
        <vt:i4>5</vt:i4>
      </vt:variant>
      <vt:variant>
        <vt:lpwstr/>
      </vt:variant>
      <vt:variant>
        <vt:lpwstr>_Toc188950629</vt:lpwstr>
      </vt:variant>
      <vt:variant>
        <vt:i4>1310778</vt:i4>
      </vt:variant>
      <vt:variant>
        <vt:i4>110</vt:i4>
      </vt:variant>
      <vt:variant>
        <vt:i4>0</vt:i4>
      </vt:variant>
      <vt:variant>
        <vt:i4>5</vt:i4>
      </vt:variant>
      <vt:variant>
        <vt:lpwstr/>
      </vt:variant>
      <vt:variant>
        <vt:lpwstr>_Toc188950628</vt:lpwstr>
      </vt:variant>
      <vt:variant>
        <vt:i4>1310778</vt:i4>
      </vt:variant>
      <vt:variant>
        <vt:i4>104</vt:i4>
      </vt:variant>
      <vt:variant>
        <vt:i4>0</vt:i4>
      </vt:variant>
      <vt:variant>
        <vt:i4>5</vt:i4>
      </vt:variant>
      <vt:variant>
        <vt:lpwstr/>
      </vt:variant>
      <vt:variant>
        <vt:lpwstr>_Toc188950627</vt:lpwstr>
      </vt:variant>
      <vt:variant>
        <vt:i4>1310778</vt:i4>
      </vt:variant>
      <vt:variant>
        <vt:i4>98</vt:i4>
      </vt:variant>
      <vt:variant>
        <vt:i4>0</vt:i4>
      </vt:variant>
      <vt:variant>
        <vt:i4>5</vt:i4>
      </vt:variant>
      <vt:variant>
        <vt:lpwstr/>
      </vt:variant>
      <vt:variant>
        <vt:lpwstr>_Toc188950626</vt:lpwstr>
      </vt:variant>
      <vt:variant>
        <vt:i4>1310778</vt:i4>
      </vt:variant>
      <vt:variant>
        <vt:i4>92</vt:i4>
      </vt:variant>
      <vt:variant>
        <vt:i4>0</vt:i4>
      </vt:variant>
      <vt:variant>
        <vt:i4>5</vt:i4>
      </vt:variant>
      <vt:variant>
        <vt:lpwstr/>
      </vt:variant>
      <vt:variant>
        <vt:lpwstr>_Toc188950625</vt:lpwstr>
      </vt:variant>
      <vt:variant>
        <vt:i4>1310778</vt:i4>
      </vt:variant>
      <vt:variant>
        <vt:i4>86</vt:i4>
      </vt:variant>
      <vt:variant>
        <vt:i4>0</vt:i4>
      </vt:variant>
      <vt:variant>
        <vt:i4>5</vt:i4>
      </vt:variant>
      <vt:variant>
        <vt:lpwstr/>
      </vt:variant>
      <vt:variant>
        <vt:lpwstr>_Toc188950624</vt:lpwstr>
      </vt:variant>
      <vt:variant>
        <vt:i4>1310778</vt:i4>
      </vt:variant>
      <vt:variant>
        <vt:i4>80</vt:i4>
      </vt:variant>
      <vt:variant>
        <vt:i4>0</vt:i4>
      </vt:variant>
      <vt:variant>
        <vt:i4>5</vt:i4>
      </vt:variant>
      <vt:variant>
        <vt:lpwstr/>
      </vt:variant>
      <vt:variant>
        <vt:lpwstr>_Toc188950623</vt:lpwstr>
      </vt:variant>
      <vt:variant>
        <vt:i4>1310778</vt:i4>
      </vt:variant>
      <vt:variant>
        <vt:i4>74</vt:i4>
      </vt:variant>
      <vt:variant>
        <vt:i4>0</vt:i4>
      </vt:variant>
      <vt:variant>
        <vt:i4>5</vt:i4>
      </vt:variant>
      <vt:variant>
        <vt:lpwstr/>
      </vt:variant>
      <vt:variant>
        <vt:lpwstr>_Toc188950622</vt:lpwstr>
      </vt:variant>
      <vt:variant>
        <vt:i4>1310778</vt:i4>
      </vt:variant>
      <vt:variant>
        <vt:i4>68</vt:i4>
      </vt:variant>
      <vt:variant>
        <vt:i4>0</vt:i4>
      </vt:variant>
      <vt:variant>
        <vt:i4>5</vt:i4>
      </vt:variant>
      <vt:variant>
        <vt:lpwstr/>
      </vt:variant>
      <vt:variant>
        <vt:lpwstr>_Toc188950621</vt:lpwstr>
      </vt:variant>
      <vt:variant>
        <vt:i4>1310778</vt:i4>
      </vt:variant>
      <vt:variant>
        <vt:i4>62</vt:i4>
      </vt:variant>
      <vt:variant>
        <vt:i4>0</vt:i4>
      </vt:variant>
      <vt:variant>
        <vt:i4>5</vt:i4>
      </vt:variant>
      <vt:variant>
        <vt:lpwstr/>
      </vt:variant>
      <vt:variant>
        <vt:lpwstr>_Toc188950620</vt:lpwstr>
      </vt:variant>
      <vt:variant>
        <vt:i4>1507386</vt:i4>
      </vt:variant>
      <vt:variant>
        <vt:i4>56</vt:i4>
      </vt:variant>
      <vt:variant>
        <vt:i4>0</vt:i4>
      </vt:variant>
      <vt:variant>
        <vt:i4>5</vt:i4>
      </vt:variant>
      <vt:variant>
        <vt:lpwstr/>
      </vt:variant>
      <vt:variant>
        <vt:lpwstr>_Toc188950619</vt:lpwstr>
      </vt:variant>
      <vt:variant>
        <vt:i4>1507386</vt:i4>
      </vt:variant>
      <vt:variant>
        <vt:i4>50</vt:i4>
      </vt:variant>
      <vt:variant>
        <vt:i4>0</vt:i4>
      </vt:variant>
      <vt:variant>
        <vt:i4>5</vt:i4>
      </vt:variant>
      <vt:variant>
        <vt:lpwstr/>
      </vt:variant>
      <vt:variant>
        <vt:lpwstr>_Toc188950618</vt:lpwstr>
      </vt:variant>
      <vt:variant>
        <vt:i4>1507386</vt:i4>
      </vt:variant>
      <vt:variant>
        <vt:i4>44</vt:i4>
      </vt:variant>
      <vt:variant>
        <vt:i4>0</vt:i4>
      </vt:variant>
      <vt:variant>
        <vt:i4>5</vt:i4>
      </vt:variant>
      <vt:variant>
        <vt:lpwstr/>
      </vt:variant>
      <vt:variant>
        <vt:lpwstr>_Toc188950617</vt:lpwstr>
      </vt:variant>
      <vt:variant>
        <vt:i4>1507386</vt:i4>
      </vt:variant>
      <vt:variant>
        <vt:i4>38</vt:i4>
      </vt:variant>
      <vt:variant>
        <vt:i4>0</vt:i4>
      </vt:variant>
      <vt:variant>
        <vt:i4>5</vt:i4>
      </vt:variant>
      <vt:variant>
        <vt:lpwstr/>
      </vt:variant>
      <vt:variant>
        <vt:lpwstr>_Toc188950616</vt:lpwstr>
      </vt:variant>
      <vt:variant>
        <vt:i4>1507386</vt:i4>
      </vt:variant>
      <vt:variant>
        <vt:i4>32</vt:i4>
      </vt:variant>
      <vt:variant>
        <vt:i4>0</vt:i4>
      </vt:variant>
      <vt:variant>
        <vt:i4>5</vt:i4>
      </vt:variant>
      <vt:variant>
        <vt:lpwstr/>
      </vt:variant>
      <vt:variant>
        <vt:lpwstr>_Toc188950615</vt:lpwstr>
      </vt:variant>
      <vt:variant>
        <vt:i4>1507386</vt:i4>
      </vt:variant>
      <vt:variant>
        <vt:i4>26</vt:i4>
      </vt:variant>
      <vt:variant>
        <vt:i4>0</vt:i4>
      </vt:variant>
      <vt:variant>
        <vt:i4>5</vt:i4>
      </vt:variant>
      <vt:variant>
        <vt:lpwstr/>
      </vt:variant>
      <vt:variant>
        <vt:lpwstr>_Toc188950614</vt:lpwstr>
      </vt:variant>
      <vt:variant>
        <vt:i4>1507386</vt:i4>
      </vt:variant>
      <vt:variant>
        <vt:i4>20</vt:i4>
      </vt:variant>
      <vt:variant>
        <vt:i4>0</vt:i4>
      </vt:variant>
      <vt:variant>
        <vt:i4>5</vt:i4>
      </vt:variant>
      <vt:variant>
        <vt:lpwstr/>
      </vt:variant>
      <vt:variant>
        <vt:lpwstr>_Toc188950613</vt:lpwstr>
      </vt:variant>
      <vt:variant>
        <vt:i4>1507386</vt:i4>
      </vt:variant>
      <vt:variant>
        <vt:i4>14</vt:i4>
      </vt:variant>
      <vt:variant>
        <vt:i4>0</vt:i4>
      </vt:variant>
      <vt:variant>
        <vt:i4>5</vt:i4>
      </vt:variant>
      <vt:variant>
        <vt:lpwstr/>
      </vt:variant>
      <vt:variant>
        <vt:lpwstr>_Toc188950612</vt:lpwstr>
      </vt:variant>
      <vt:variant>
        <vt:i4>1507386</vt:i4>
      </vt:variant>
      <vt:variant>
        <vt:i4>8</vt:i4>
      </vt:variant>
      <vt:variant>
        <vt:i4>0</vt:i4>
      </vt:variant>
      <vt:variant>
        <vt:i4>5</vt:i4>
      </vt:variant>
      <vt:variant>
        <vt:lpwstr/>
      </vt:variant>
      <vt:variant>
        <vt:lpwstr>_Toc188950611</vt:lpwstr>
      </vt:variant>
      <vt:variant>
        <vt:i4>1507386</vt:i4>
      </vt:variant>
      <vt:variant>
        <vt:i4>2</vt:i4>
      </vt:variant>
      <vt:variant>
        <vt:i4>0</vt:i4>
      </vt:variant>
      <vt:variant>
        <vt:i4>5</vt:i4>
      </vt:variant>
      <vt:variant>
        <vt:lpwstr/>
      </vt:variant>
      <vt:variant>
        <vt:lpwstr>_Toc188950610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PAPRIKA</dc:title>
  <dc:subject>Expression du besoin — AuditFlow Pro</dc:subject>
  <dc:creator>Porteur IPRF :</dc:creator>
  <cp:keywords/>
  <dc:description/>
  <cp:lastModifiedBy>SOCIETE POUR L'INFORMATIQUE INDUSTR - PALUEL MARMONT, Philippe</cp:lastModifiedBy>
  <cp:revision>4</cp:revision>
  <dcterms:created xsi:type="dcterms:W3CDTF">2026-03-17T16:00:00Z</dcterms:created>
  <dcterms:modified xsi:type="dcterms:W3CDTF">2026-07-23T14:27:00Z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0x010100926025725CE0FB4A93C041AB6E46FC6A</vt:lpwstr>
  </property>
  <property fmtid="{D5CDD505-2E9C-101B-9397-08002B2CF9AE}" pid="3" name="MSIP_Label_59934039-ae21-42ab-8848-d62b6328cef8_Enabled">
    <vt:lpwstr>true</vt:lpwstr>
  </property>
  <property fmtid="{D5CDD505-2E9C-101B-9397-08002B2CF9AE}" pid="4" name="MSIP_Label_59934039-ae21-42ab-8848-d62b6328cef8_SetDate">
    <vt:lpwstr>2021-07-06T13:42:03Z</vt:lpwstr>
  </property>
  <property fmtid="{D5CDD505-2E9C-101B-9397-08002B2CF9AE}" pid="5" name="MSIP_Label_59934039-ae21-42ab-8848-d62b6328cef8_Method">
    <vt:lpwstr>Standard</vt:lpwstr>
  </property>
  <property fmtid="{D5CDD505-2E9C-101B-9397-08002B2CF9AE}" pid="6" name="MSIP_Label_59934039-ae21-42ab-8848-d62b6328cef8_Name">
    <vt:lpwstr>LBL_05</vt:lpwstr>
  </property>
  <property fmtid="{D5CDD505-2E9C-101B-9397-08002B2CF9AE}" pid="7" name="MSIP_Label_59934039-ae21-42ab-8848-d62b6328cef8_SiteId">
    <vt:lpwstr>61ed2b68-f880-49d7-bbc9-9a645e9dcf7c</vt:lpwstr>
  </property>
  <property fmtid="{D5CDD505-2E9C-101B-9397-08002B2CF9AE}" pid="8" name="MSIP_Label_59934039-ae21-42ab-8848-d62b6328cef8_ActionId">
    <vt:lpwstr>fd04a0b3-a84a-4343-89e2-a39728a5f1e3</vt:lpwstr>
  </property>
  <property fmtid="{D5CDD505-2E9C-101B-9397-08002B2CF9AE}" pid="9" name="MSIP_Label_59934039-ae21-42ab-8848-d62b6328cef8_ContentBits">
    <vt:lpwstr>0</vt:lpwstr>
  </property>
</Properties>
</file>