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24"/>
          <w:szCs w:val="24"/>
        </w:rPr>
        <w:t xml:space="preserve">STONIZ</w:t>
      </w:r>
    </w:p>
    <w:p>
      <w:pPr>
        <w:pStyle w:val="Title"/>
      </w:pPr>
      <w:r>
        <w:rPr>
          <w:b/>
          <w:bCs/>
          <w:color w:val="1F3A5F"/>
          <w:sz w:val="40"/>
          <w:szCs w:val="40"/>
        </w:rPr>
        <w:t xml:space="preserve">Rapport QA — Audit complet de l'ERP</w:t>
      </w:r>
    </w:p>
    <w:p>
      <w:pPr>
        <w:spacing w:after="120"/>
      </w:pPr>
      <w:r>
        <w:rPr>
          <w:i/>
          <w:iCs/>
          <w:color w:val="555555"/>
        </w:rPr>
        <w:t xml:space="preserve">Marathon de qualité Stoniz + Propria · 12–13 juin 2026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Destinataire : Othmane (CEO) · Préparé par : l'ingénieur QA</w:t>
      </w:r>
    </w:p>
    <w:p>
      <w:pPr>
        <w:pStyle w:val="Heading1"/>
      </w:pPr>
      <w:r>
        <w:t xml:space="preserve">En une phrase</w:t>
      </w:r>
    </w:p>
    <w:p>
      <w:pPr>
        <w:spacing w:after="120"/>
      </w:pPr>
      <w:r>
        <w:t xml:space="preserve">J'ai passé l'ERP au crible — sécurité, chiffres financiers, droits des 12 rôles, e-mails, Propria — et </w:t>
      </w:r>
      <w:r>
        <w:rPr>
          <w:b/>
          <w:bCs/>
        </w:rPr>
        <w:t xml:space="preserve">trouvé 23 problèmes dont 2 failles de sécurité critiques, déjà fermées en production.</w:t>
      </w:r>
      <w:r>
        <w:t xml:space="preserve"> L'essentiel (ce qui pouvait coûter cher) est corrigé, testé et déployé ; il reste une « longue traîne » à faible risque pour une prochaine session.</w:t>
      </w:r>
    </w:p>
    <w:p>
      <w:pPr>
        <w:pStyle w:val="Heading1"/>
      </w:pPr>
      <w:r>
        <w:t xml:space="preserve">Ce qu'il faut retenir</w:t>
      </w:r>
    </w:p>
    <w:p>
      <w:pPr>
        <w:spacing w:after="120"/>
      </w:pPr>
      <w:r>
        <w:rPr>
          <w:b/>
          <w:bCs/>
          <w:color w:val="B23A3A"/>
        </w:rPr>
        <w:t xml:space="preserve">Le plus grave : deux portes ouvertes sur tes données. </w:t>
      </w:r>
      <w:r>
        <w:t xml:space="preserve">N'importe qui sur internet pouvait créer un compte et devenir CEO ; et tout compte existant (même un client) pouvait s'auto-promouvoir CEO. Dans les deux cas, cela donnait accès à l'ensemble des projets, paiements et clients. Les deux sont colmatées et re-testées en conditions réelles.</w:t>
      </w:r>
    </w:p>
    <w:p>
      <w:pPr>
        <w:spacing w:after="120"/>
      </w:pPr>
      <w:r>
        <w:rPr>
          <w:b/>
          <w:bCs/>
          <w:color w:val="C46A1A"/>
        </w:rPr>
        <w:t xml:space="preserve">Un chiffre faux sur ton tableau de bord. </w:t>
      </w:r>
      <w:r>
        <w:t xml:space="preserve">Le cockpit affichait « 0 € de clients en retard » alors que 28 399 € de paiements étaient réellement dus sur 9 échéances. Corrigé : il affichera désormais le bon montant.</w:t>
      </w:r>
    </w:p>
    <w:p>
      <w:pPr>
        <w:spacing w:after="120"/>
      </w:pPr>
      <w:r>
        <w:rPr>
          <w:b/>
          <w:bCs/>
          <w:color w:val="C46A1A"/>
        </w:rPr>
        <w:t xml:space="preserve">Un rôle inutilisable. </w:t>
      </w:r>
      <w:r>
        <w:t xml:space="preserve">Le rôle « ménage » tombait sur une page blanche à la connexion — l'app lui était inaccessible. Corrigé et vérifié en production.</w:t>
      </w:r>
    </w:p>
    <w:p>
      <w:pPr>
        <w:spacing w:after="120"/>
      </w:pPr>
      <w:r>
        <w:rPr>
          <w:b/>
          <w:bCs/>
          <w:color w:val="2E7D5B"/>
        </w:rPr>
        <w:t xml:space="preserve">Bonne nouvelle de fond : </w:t>
      </w:r>
      <w:r>
        <w:t xml:space="preserve">tes calculs financiers réconcilient au centime, l'isolation entre clients est étanche (un client ne voit jamais le dossier d'un autre), et la règle « un projet perdu ne génère aucune relance » fonctionne. Le socle est sain.</w:t>
      </w:r>
    </w:p>
    <w:p>
      <w:pPr>
        <w:pStyle w:val="Heading1"/>
      </w:pPr>
      <w:r>
        <w:t xml:space="preserve">Les chiffres de la 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problèmes trouvés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corrigés et testés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failles critiques fermées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555555"/>
          <w:sz w:val="18"/>
          <w:szCs w:val="18"/>
        </w:rPr>
        <w:t xml:space="preserve">Suite de tests automatisés : 30/30 au vert (était rouge avant la mission). Tout est déployé en production sauf 2 refactors planifiés (voir plus bas).</w:t>
      </w:r>
    </w:p>
    <w:p>
      <w:pPr>
        <w:pStyle w:val="Heading1"/>
      </w:pPr>
      <w:r>
        <w:t xml:space="preserve">Le détail des 23 problèmes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Gravité : S1 = critique · S2 = majeur · S3 = mineur · S4 = cosmétique.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760"/>
        <w:gridCol w:w="2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Inscription publique → compte CEO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23A3A"/>
                <w:sz w:val="18"/>
                <w:szCs w:val="18"/>
              </w:rPr>
              <w:t xml:space="preserve">S1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Escalade de privilèges client → CEO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23A3A"/>
                <w:sz w:val="18"/>
                <w:szCs w:val="18"/>
              </w:rPr>
              <w:t xml:space="preserve">S1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Cockpit : « clients en retard » 0 € au lieu de 28 399 €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Rôle ménage : application inutilisable (page blanche)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Rôle ménage lisait toute la base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Honoraires liste projets : colonne périmée (402 k€)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Propria comptait les lignes supprimées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 listings fantômes (Performance Propria)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Rôles achats/dev/ménage : suites invisibles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Rôle propria aveugle sur ses alertes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Alerte acte authentique sur projets perdus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biens non idempotent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 d'audit des imports inopérant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Case MFA décorative (non appliquée)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46A1A"/>
                <w:sz w:val="18"/>
                <w:szCs w:val="18"/>
              </w:rPr>
              <w:t xml:space="preserve">S2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Atténué (UI retirée)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Fiche client modifiable par le client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Suppression projet → CEO-only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Caisse Stoniz : projets pause/terminé exclus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financier rouge sur main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Corrigé + vérifié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Cockpit : base facture au lieu du forfait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Statut email « queued » ambigu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Dette TypeScript masquée au build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« Projets actifs » : 46 vs 48 selon l'écran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Prix de bien mal saisi (9 000 €)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Donnée</w:t>
            </w:r>
          </w:p>
        </w:tc>
      </w:tr>
    </w:tbl>
    <w:p>
      <w:pPr>
        <w:pStyle w:val="Heading1"/>
        <w:pageBreakBefore/>
      </w:pPr>
      <w:r>
        <w:t xml:space="preserve">Ce qui demande encore une décision ou une action de ta part</w:t>
      </w:r>
    </w:p>
    <w:p>
      <w:pPr>
        <w:pStyle w:val="Heading2"/>
      </w:pPr>
      <w:r>
        <w:t xml:space="preserve">Décisions déjà prises et appliquées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Inscription publique désactivée (par toi) · case MFA trompeuse retirée · périmètre du rôle ménage verrouillé en base · suppression de projet réservée au CEO · fiche client non modifiable par le client.</w:t>
      </w:r>
    </w:p>
    <w:p>
      <w:pPr>
        <w:pStyle w:val="Heading2"/>
      </w:pPr>
      <w:r>
        <w:t xml:space="preserve">Deux refactors planifiés (à faire en session dédiée, pas dans l'urgence)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Cockpit sur base forfait (réf. 020) : </w:t>
      </w:r>
      <w:r>
        <w:t xml:space="preserve">aligner le calcul du « facturé chantier » sur le forfait vendu. Touche 6 indicateurs en cascade — nécessite une revérification chiffre par chiffre avant déploiement.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Dette technique TypeScript (réf. 005) : </w:t>
      </w:r>
      <w:r>
        <w:t xml:space="preserve">corriger 15 erreurs masquées et réactiver le garde-fou au build. À coordonner avec l'autre chantier en cours.</w:t>
      </w:r>
    </w:p>
    <w:p>
      <w:pPr>
        <w:pStyle w:val="Heading2"/>
      </w:pPr>
      <w:r>
        <w:t xml:space="preserve">Petites actions restantes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Mettre à jour la note interne (CLAUDE.md) : l'import de biens reste ouvert au chef de projet et au sourcing (et non CEO-only).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Corriger une donnée : le bien « 74m2 Mohamed V » a un prix saisi à 9 000 € au lieu d'environ 90 000 €.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Uniformiser le libellé « Projets actifs » (46 sur un écran, 48 sur un autre).</w:t>
      </w:r>
    </w:p>
    <w:p>
      <w:pPr>
        <w:pStyle w:val="Heading1"/>
      </w:pPr>
      <w:r>
        <w:t xml:space="preserve">Périmètre couvert et reste à faire</w:t>
      </w:r>
    </w:p>
    <w:p>
      <w:pPr>
        <w:spacing w:after="120"/>
      </w:pPr>
      <w:r>
        <w:rPr>
          <w:b/>
          <w:bCs/>
        </w:rPr>
        <w:t xml:space="preserve">Couvert en profondeur : </w:t>
      </w:r>
      <w:r>
        <w:t xml:space="preserve">sécurité et droits des 12 rôles, canon financier, exclusion des projets perdus, honoraires, imports, isolation client, e-mails, routage, et les tableaux de bord financiers (cockpit, achats, trésorerie, clients, satisfaction).</w:t>
      </w:r>
    </w:p>
    <w:p>
      <w:pPr>
        <w:spacing w:after="120"/>
      </w:pPr>
      <w:r>
        <w:rPr>
          <w:b/>
          <w:bCs/>
        </w:rPr>
        <w:t xml:space="preserve">Reste pour une prochaine session (faible risque) : </w:t>
      </w:r>
      <w:r>
        <w:t xml:space="preserve">les pages de création/édition des modules sourcing, marketing, artisans, partenaires ; l'admin ; le parcours client de bout en bout ; et l'exécution des tâches automatiques. L'état complet est sauvegardé : la reprise se fera sans rien refaire.</w:t>
      </w:r>
    </w:p>
    <w:p>
      <w:pPr>
        <w:spacing w:before="240"/>
      </w:pPr>
      <w:r>
        <w:rPr>
          <w:i/>
          <w:iCs/>
          <w:color w:val="555555"/>
          <w:sz w:val="18"/>
          <w:szCs w:val="18"/>
        </w:rPr>
        <w:t xml:space="preserve">— Fin du rapport. Détail technique complet de chaque point dans le journal QA-BUGLOG.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2026-06-13T09:25:37.680Z</dcterms:created>
  <dcterms:modified xsi:type="dcterms:W3CDTF">2026-06-13T09:25:37.681Z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