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p>
    <w:p>
      <w:pPr>
        <w:pStyle w:val="Date"/>
      </w:pPr>
      <w:r>
        <w:t xml:space="preserve">Correspondence: alasri@berache.com</w:t>
      </w:r>
    </w:p>
    <w:p>
      <w:pPr>
        <w:pStyle w:val="AbstractTitle"/>
      </w:pPr>
      <w:r>
        <w:t xml:space="preserve">Abstract</w:t>
      </w:r>
    </w:p>
    <w:p>
      <w:pPr>
        <w:pStyle w:val="Abstract"/>
      </w:pPr>
      <w:r>
        <w:t xml:space="preserve">Heritable differences in gene expression decide which cancer cells survive a drug, yet the simulators used to benchmark single-cell methods model neither growth nor division, so cannot generate such states. Here we present Biomodelling.jl 2.0, in which stochastic reaction kinetics run inside growing, dividing, drug-treated cells. Exact, hybrid and adaptive kernels couple to exponential growth, volume-scaled transcription, gene replication, division with binomial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With a built-in optimiser it reproduces the opposite rankings of intermittent dosing reported in a melanoma trial and in xenografts, and shows the ranking to turn on two measurable cell properties: growth under drug and fitness without 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Splatter, SymSim, scDesign3, SERGIO, dyngen, scMultiSim and GRouNdGAN</w:t>
      </w:r>
      <w:r>
        <w:rPr>
          <w:vertAlign w:val="superscript"/>
        </w:rPr>
        <w:t xml:space="preserve">17–23</w:t>
      </w:r>
      <w:r>
        <w:t xml:space="preserve">, model regulation and technical noise but not cell growth, volume-dependent transcription, gene replication or the partitioning of molecules at division; the last of these do place cells on a differentiation trajectory, and lineage simulators such as TedSim and Cassiopeia</w:t>
      </w:r>
      <w:r>
        <w:rPr>
          <w:vertAlign w:val="superscript"/>
        </w:rP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rPr>
          <w:vertAlign w:val="superscript"/>
        </w:rPr>
        <w:t xml:space="preserve">26</w:t>
      </w:r>
      <w:r>
        <w:t xml:space="preserve">. Stochastic simulators of growing and dividing cells do exist, and the most complete of them couples reaction kinetics to growth, division and inference from lineage data</w:t>
      </w:r>
      <w:r>
        <w:rPr>
          <w:vertAlign w:val="superscript"/>
        </w:rP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rPr>
          <w:vertAlign w:val="superscript"/>
        </w:rP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20</w:t>
      </w:r>
      <w:r>
        <w:t xml:space="preserve">, dyngen</w:t>
      </w:r>
      <w:r>
        <w:rPr>
          <w:vertAlign w:val="superscript"/>
        </w:rPr>
        <w:t xml:space="preserve">21</w:t>
      </w:r>
      <w:r>
        <w:t xml:space="preserve">, scMultiSim</w:t>
      </w:r>
      <w:r>
        <w:rPr>
          <w:vertAlign w:val="superscript"/>
        </w:rPr>
        <w:t xml:space="preserve">22</w:t>
      </w:r>
      <w:r>
        <w:t xml:space="preserve">, GRouNdGAN</w:t>
      </w:r>
      <w:r>
        <w:rPr>
          <w:vertAlign w:val="superscript"/>
        </w:rPr>
        <w:t xml:space="preserve">23</w:t>
      </w:r>
      <w:r>
        <w:t xml:space="preserve">, TedSim</w:t>
      </w:r>
      <w:r>
        <w:rPr>
          <w:vertAlign w:val="superscript"/>
        </w:rPr>
        <w:t xml:space="preserve">24</w:t>
      </w:r>
      <w:r>
        <w:t xml:space="preserve">, Cassiopeia</w:t>
      </w:r>
      <w:r>
        <w:rPr>
          <w:vertAlign w:val="superscript"/>
        </w:rPr>
        <w:t xml:space="preserve">25</w:t>
      </w:r>
      <w:r>
        <w:t xml:space="preserve">, ABM.jl (AgentBasedModeling.jl)</w:t>
      </w:r>
      <w:r>
        <w:rPr>
          <w:vertAlign w:val="superscript"/>
        </w:rPr>
        <w:t xml:space="preserve">28</w:t>
      </w:r>
      <w:r>
        <w:t xml:space="preserve">, Biomodelling.jl v1.x</w:t>
      </w:r>
      <w:r>
        <w:rPr>
          <w:vertAlign w:val="superscript"/>
        </w:rP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rPr>
          <w:vertAlign w:val="superscript"/>
        </w:rPr>
        <w:t xml:space="preserve">29</w:t>
      </w:r>
      <w:r>
        <w:t xml:space="preserve">, which the partial marks in an earlier version of this table understated;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Cassio-</w:t>
            </w:r>
            <w:r>
              <w:t xml:space="preserve"> </w:t>
            </w:r>
            <w:r>
              <w:t xml:space="preserve">peia</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rPr>
          <w:vertAlign w:val="superscript"/>
        </w:rP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Every simulated distribution matches the exact law of its own mode. The largest Kolmogorov-Smirnov distance over the 24 samples is 0.0102, and each lies below the 99% critical value for its own sample size (0.0081 to 0.0133). Scored against the exact law of the other mode, the same samples give distances at least 10 times larger, so the comparison has ample power to tell the two settings apart. They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(0.58 s to 6.4 s for the hybrid kernel, a factor of 11 for the same factor of 10 in genes; 1.04 s to 31.4 s for the direct kernel, a factor of 30 for the same factor of 10 in genes), because the direct method draws one event at a time while the hybrid kernel leaps over the non-critical channels in a fixed number of operations.</w:t>
      </w:r>
    </w:p>
    <w:bookmarkEnd w:id="10"/>
    <w:bookmarkStart w:id="11"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1.5 and 2 transcripts per unit volume per allele, against 0.59, 1.89 and 2.4 fitted to the one-copy cells and 0.65, 3.27 and 4.8 pooled). What the panel demonstrates is that a cell-cycle-blind fit is biased, not how large the copy-number effect is.</w:t>
      </w:r>
    </w:p>
    <w:bookmarkEnd w:id="11"/>
    <w:bookmarkStart w:id="12"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 the follow-up method that traces resistant fates back to their drug-naive precursors puts those precursors at an initial frequency of about 1 in 1,000 to 1 in 10,000 cells</w:t>
      </w:r>
      <w:r>
        <w:rPr>
          <w:vertAlign w:val="superscript"/>
        </w:rPr>
        <w:t xml:space="preserve">38</w:t>
      </w:r>
      <w:r>
        <w:t xml:space="preserve">, the regime the pre-resistant fraction of the melanoma case study below is set to.</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
          <w:iCs/>
        </w:rPr>
        <w:t xml:space="preserve">before</w:t>
      </w:r>
      <w:r>
        <w:t xml:space="preserve"> </w:t>
      </w:r>
      <w:r>
        <w:t xml:space="preserve">adding a BRAF inhibitor produced more therapy resistance than giving the two together</w:t>
      </w:r>
      <w:r>
        <w:rPr>
          <w:vertAlign w:val="superscript"/>
        </w:rP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rPr>
          <w:vertAlign w:val="superscript"/>
        </w:rP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rPr>
          <w:vertAlign w:val="superscript"/>
        </w:rP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41</w:t>
      </w:r>
      <w:r>
        <w:t xml:space="preserve">. Finally, scanning release periods and doses of intermittent schedules (Fig. 4h),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(-0.013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previously</w:t>
      </w:r>
      <w:r>
        <w:rPr>
          <w:vertAlign w:val="superscript"/>
        </w:rP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The schedule conclusions are the fragile ones, because the best dose is unchanged in 3 of 3 models, but the best release period is not. With a fitness cost of resistance and with drug-induced tolerance, the holidays that won without the gate collapse to continuous dosing, because a gated hazard kills the reverting cells more slowly on re-exposure (Supplementary Note 13 and Supplementary Fig. 5).</w:t>
      </w:r>
    </w:p>
    <w:bookmarkEnd w:id="12"/>
    <w:bookmarkStart w:id="13"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13"/>
    <w:bookmarkStart w:id="14"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43</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14"/>
    <w:bookmarkStart w:id="15"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here and at the held-out concentration, is the residual of the seed-averaged fate fractions pooled over every fraction of the concentrations named, four seeds per condition. The colour scale of Fig. 7f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(95% confidence interval +0.000 to +0.043 over 3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rPr>
          <w:vertAlign w:val="superscript"/>
        </w:rPr>
        <w:t xml:space="preserve">6</w:t>
      </w:r>
      <w:r>
        <w:t xml:space="preserve">; the comparison is qualitative on both sides, because the source reports these correlations graphically and gives no numeric coefficients or confidence intervals to match. One caveat belongs beside this agreement.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rPr>
          <w:vertAlign w:val="superscript"/>
        </w:rPr>
        <w:t xml:space="preserve">44–46</w:t>
      </w:r>
      <w:r>
        <w:t xml:space="preserve">. Coupled to a cycle-gated hazard, that is a complete alternative explanation for the correlations fitted here, and the model as built cannot produce it.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47</w:t>
      </w:r>
      <w:r>
        <w:t xml:space="preserve">, and adaptive therapy, in which the drug is withdrawn when the population has halved and resumed when it regrows to its initial size</w:t>
      </w:r>
      <w:r>
        <w:rPr>
          <w:vertAlign w:val="superscript"/>
        </w:rPr>
        <w:t xml:space="preserve">48</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49</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and narrows the advantage of holidays from 9 weeks at 2 net doublings of memory to 1.7 weeks at 12 (Supplementary Note 15). That the benefit of holidays should depend on a cost of resistance is established by compartment models of adaptive therapy, which also show that tumour turnover modulates how large that cost must be</w:t>
      </w:r>
      <w:r>
        <w:rPr>
          <w:vertAlign w:val="superscript"/>
        </w:rPr>
        <w:t xml:space="preserve">50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A bacterial-persistence model adapted to colorectal-cancer lines reaches the same conclusion by another route: an intermediate dose with release periods is optimal, because the rate of transition into the persistent state rises with concentration and then saturates</w:t>
      </w:r>
      <w:r>
        <w:rPr>
          <w:vertAlign w:val="superscript"/>
        </w:rPr>
        <w:t xml:space="preserve">42</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51</w:t>
      </w:r>
      <w:r>
        <w:t xml:space="preserve">. We simulated both regimens with one-compartment pharmacokinetics (elimination half-life 2.1 h in the cerebrospinal-fluid population model used here</w:t>
      </w:r>
      <w:r>
        <w:rPr>
          <w:vertAlign w:val="superscript"/>
        </w:rPr>
        <w:t xml:space="preserve">52</w:t>
      </w:r>
      <w:r>
        <w:t xml:space="preserve">; the plasma value is 1.8 h</w:t>
      </w:r>
      <w:r>
        <w:rPr>
          <w:vertAlign w:val="superscript"/>
        </w:rPr>
        <w:t xml:space="preserve">53</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rPr>
          <w:vertAlign w:val="superscript"/>
        </w:rPr>
        <w:t xml:space="preserve">41</w:t>
      </w:r>
      <w:r>
        <w:t xml:space="preserve"> </w:t>
      </w:r>
      <w:r>
        <w:t xml:space="preserve">and either stable or consumed by it stoichiometrically, one molecule per lesion repaired, as a suicide enzyme is, so that the pool follows the cumulative exposure rather than the peak concentration (Fig. 8f,g). Lesions are not tracked as a state variable: they are taken to form in proportion to dose and to be repaired at once, so</w:t>
      </w:r>
      <w:r>
        <w:t xml:space="preserve"> </w:t>
      </w:r>
      <w:r>
        <w:t xml:space="preserve">“one molecule per lesion”</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rPr>
          <w:vertAlign w:val="superscript"/>
        </w:rPr>
        <w:t xml:space="preserve">54</w:t>
      </w:r>
      <w:r>
        <w:t xml:space="preserve">, a compressed 1,000 mg/m² schedule takes it to 18% of initial levels while O⁶-methylguanine accumulates in both blood cells and tumour biopsies</w:t>
      </w:r>
      <w:r>
        <w:rPr>
          <w:vertAlign w:val="superscript"/>
        </w:rPr>
        <w:t xml:space="preserve">55</w:t>
      </w:r>
      <w:r>
        <w:t xml:space="preserve">, and in orthotopic GBM43 xenografts tumour MGMT activity is depleted by day 6 on both the standard and the 21-day schedule and stays suppressed only on the 21-day one</w:t>
      </w:r>
      <w:r>
        <w:rPr>
          <w:vertAlign w:val="superscript"/>
        </w:rPr>
        <w:t xml:space="preserve">56</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rPr>
          <w:vertAlign w:val="superscript"/>
        </w:rPr>
        <w:t xml:space="preserve">27,28,33</w:t>
      </w:r>
      <w:r>
        <w:t xml:space="preserve">, lineage-tracing data have their own simulators</w:t>
      </w:r>
      <w:r>
        <w:rPr>
          <w:vertAlign w:val="superscript"/>
        </w:rPr>
        <w:t xml:space="preserve">24,25</w:t>
      </w:r>
      <w:r>
        <w:t xml:space="preserve">, compartment models of adaptive therapy established that the benefit of treatment holidays depends on a cost of resistance and on turnover</w:t>
      </w:r>
      <w:r>
        <w:rPr>
          <w:vertAlign w:val="superscript"/>
        </w:rPr>
        <w:t xml:space="preserve">48,50</w:t>
      </w:r>
      <w:r>
        <w:t xml:space="preserve">, and phenotypic-switching theory established that perturbing the retention of a resistant state can decide a treatment outcome</w:t>
      </w:r>
      <w:r>
        <w:rPr>
          <w:vertAlign w:val="superscript"/>
        </w:rPr>
        <w:t xml:space="preserve">40</w:t>
      </w:r>
      <w:r>
        <w:t xml:space="preserve">. What is new is that this is the first package to combine these mechanisms with joint inference and schedule optimisation in a single forward model. Version 1 of this framework already simulated stochastic gene networks in growing and dividing cells and generated synthetic scRNA-seq for imputation and network-inference benchmarking</w:t>
      </w:r>
      <w:r>
        <w:rPr>
          <w:vertAlign w:val="superscript"/>
        </w:rP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rPr>
          <w:vertAlign w:val="superscript"/>
        </w:rP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did not carry through to survival after progression, which favoured the intermittent arm</w:t>
      </w:r>
      <w:r>
        <w:rPr>
          <w:vertAlign w:val="superscript"/>
        </w:rPr>
        <w:t xml:space="preserve">47</w:t>
      </w:r>
      <w:r>
        <w:t xml:space="preserve">; and in the xenografts the resistant tumours were drug-addicted, regressing on withdrawal rather than merely growing more slowly</w:t>
      </w:r>
      <w:r>
        <w:rPr>
          <w:vertAlign w:val="superscript"/>
        </w:rPr>
        <w:t xml:space="preserve">49</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rPr>
          <w:vertAlign w:val="superscript"/>
        </w:rP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“one molecule per lesion”</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rPr>
          <w:vertAlign w:val="superscript"/>
        </w:rPr>
        <w:t xml:space="preserve">54–56</w:t>
      </w:r>
      <w:r>
        <w:t xml:space="preserve"> </w:t>
      </w:r>
      <w:r>
        <w:t xml:space="preserve">and bound it loosely, and that is why we name the per-lesion constant as the quantity that separates the regimens.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rPr>
          <w:vertAlign w:val="superscript"/>
        </w:rP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6"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57</w:t>
      </w:r>
      <w:r>
        <w:t xml:space="preserve"> </w:t>
      </w:r>
      <w:r>
        <w:t xml:space="preserve">with propensities updated through a species-reaction dependency graph; fixed-step Poisson tau-leaping</w:t>
      </w:r>
      <w:r>
        <w:rPr>
          <w:vertAlign w:val="superscript"/>
        </w:rPr>
        <w:t xml:space="preserve">58</w:t>
      </w:r>
      <w:r>
        <w:t xml:space="preserve">; a hybrid scheme in which a leap that would drive any species negative is discarded and that interval is simulated exactly instead (the</w:t>
      </w:r>
      <w:r>
        <w:t xml:space="preserve"> </w:t>
      </w:r>
      <w:r>
        <w:t xml:space="preserve">“switching”</w:t>
      </w:r>
      <w:r>
        <w:t xml:space="preserve"> </w:t>
      </w:r>
      <w:r>
        <w:t xml:space="preserve">scheme of version 1, with the discarded interval resolved exactly rather than clipped); and adaptive tau-leaping with the step-size selection of</w:t>
      </w:r>
      <w:r>
        <w:rPr>
          <w:vertAlign w:val="superscript"/>
        </w:rPr>
        <w:t xml:space="preserve">59</w:t>
      </w:r>
      <w:r>
        <w:t xml:space="preserve"> </w:t>
      </w:r>
      <w:r>
        <w:t xml:space="preserve">and the critical-reaction partition of</w:t>
      </w:r>
      <w:r>
        <w:rPr>
          <w:vertAlign w:val="superscript"/>
        </w:rPr>
        <w:t xml:space="preserve">60</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r>
            <m:rPr>
              <m:sty m:val="p"/>
            </m:rPr>
            <m:t>(</m:t>
          </m:r>
          <m:r>
            <m:t>1</m:t>
          </m:r>
          <m:r>
            <m:rPr>
              <m:sty m:val="p"/>
            </m:rPr>
            <m:t>−</m:t>
          </m:r>
          <m:r>
            <m:t>β</m:t>
          </m:r>
          <m:r>
            <m:rPr>
              <m:sty m:val="p"/>
            </m:rPr>
            <m:t>)</m:t>
          </m:r>
          <m:r>
            <m:rPr>
              <m:sty m:val="p"/>
            </m:rPr>
            <m:t>exp</m:t>
          </m:r>
          <m:r>
            <m:t>​</m:t>
          </m:r>
          <m:d>
            <m:dPr>
              <m:begChr m:val="["/>
              <m:sepChr m:val=""/>
              <m:endChr m:val="]"/>
              <m:grow/>
            </m:dPr>
            <m:e>
              <m:r>
                <m:rPr>
                  <m:sty m:val="p"/>
                </m:rPr>
                <m:t>−</m:t>
              </m:r>
              <m:f>
                <m:fPr>
                  <m:type m:val="lin"/>
                </m:fPr>
                <m:num>
                  <m:r>
                    <m:t>1</m:t>
                  </m:r>
                </m:num>
                <m:den>
                  <m:r>
                    <m:t>2</m:t>
                  </m:r>
                </m:den>
              </m:f>
              <m:sSup>
                <m:e>
                  <m:d>
                    <m:dPr>
                      <m:begChr m:val="("/>
                      <m:sepChr m:val=""/>
                      <m:end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61</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62</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43</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48</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63,64</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64</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with a memory of five net doublings (the model’s generation is the net doubling of the tumour, a modelling choice rather than the cell-division-counted memory of memory sequencing</w:t>
      </w:r>
      <w:r>
        <w:rPr>
          <w:vertAlign w:val="superscript"/>
        </w:rPr>
        <w:t xml:space="preserve">61</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49</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52</w:t>
      </w:r>
      <w:r>
        <w:t xml:space="preserve"> </w:t>
      </w:r>
      <w:r>
        <w:t xml:space="preserve">(a plasma value from a three-compartment study; the brain-tumour compartment sees roughly a fifth of the plasma exposure with slower kinetics, so this is a surrogate), the regimens of RTOG 0525</w:t>
      </w:r>
      <w:r>
        <w:rPr>
          <w:vertAlign w:val="superscript"/>
        </w:rPr>
        <w:t xml:space="preserve">51</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the dose-scaled first-order degradation used in an earlier version of this model, which isolates the consequence of letting depletion follow the cumulative exposure instead of the peak concentration; this is the suicide-enzyme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65,66</w:t>
      </w:r>
      <w:r>
        <w:t xml:space="preserve">), by agreement between kernels, and by a two-sample comparison against JumpProcesses.jl</w:t>
      </w:r>
      <w:r>
        <w:rPr>
          <w:vertAlign w:val="superscript"/>
        </w:rPr>
        <w:t xml:space="preserve">67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rPr>
          <w:vertAlign w:val="superscript"/>
        </w:rP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rPr>
          <w:vertAlign w:val="superscript"/>
        </w:rPr>
        <w:t xml:space="preserve">27</w:t>
      </w:r>
      <w:r>
        <w:t xml:space="preserve">, partitioning noise</w:t>
      </w:r>
      <w:r>
        <w:rPr>
          <w:vertAlign w:val="superscript"/>
        </w:rPr>
        <w:t xml:space="preserve">68</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42</w:t>
      </w:r>
      <w:r>
        <w:t xml:space="preserve"> </w:t>
      </w:r>
      <w:r>
        <w:t xml:space="preserve">and</w:t>
      </w:r>
      <w:r>
        <w:rPr>
          <w:vertAlign w:val="superscript"/>
        </w:rPr>
        <w:t xml:space="preserve">9</w:t>
      </w:r>
      <w:r>
        <w:t xml:space="preserve">, and with the phenotypic-selection model of</w:t>
      </w:r>
      <w:r>
        <w:rPr>
          <w:vertAlign w:val="superscript"/>
        </w:rP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30"/>
    <w:bookmarkStart w:id="31"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1"/>
    <w:bookmarkStart w:id="32"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model is not an author, in keeping with journal policy on generative artificial intelligence.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32"/>
    <w:bookmarkStart w:id="33"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3"/>
    <w:bookmarkStart w:id="34"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timings of Supplementary Table 3, are in</w:t>
      </w:r>
      <w:r>
        <w:t xml:space="preserve"> </w:t>
      </w:r>
      <w:r>
        <w:rPr>
          <w:rStyle w:val="VerbatimChar"/>
        </w:rPr>
        <w:t xml:space="preserve">paper/README.md</w:t>
      </w:r>
      <w:r>
        <w:t xml:space="preserve">.</w:t>
      </w:r>
    </w:p>
    <w:bookmarkEnd w:id="34"/>
    <w:bookmarkStart w:id="35"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69</w:t>
      </w:r>
      <w:r>
        <w:t xml:space="preserve">, MAGIC</w:t>
      </w:r>
      <w:r>
        <w:rPr>
          <w:vertAlign w:val="superscript"/>
        </w:rPr>
        <w:t xml:space="preserve">70</w:t>
      </w:r>
      <w:r>
        <w:t xml:space="preserve"> </w:t>
      </w:r>
      <w:r>
        <w:t xml:space="preserve">and kNN-smoothing</w:t>
      </w:r>
      <w:r>
        <w:rPr>
          <w:vertAlign w:val="superscript"/>
        </w:rPr>
        <w:t xml:space="preserve">71</w:t>
      </w:r>
      <w:r>
        <w:t xml:space="preserve">. The test suite (Aqua quality checks and statistical tests) runs under GitHub Actions on Julia 1.10 and the latest release.</w:t>
      </w:r>
    </w:p>
    <w:bookmarkEnd w:id="35"/>
    <w:bookmarkEnd w:id="36"/>
    <w:bookmarkStart w:id="61" w:name="figure-legends"/>
    <w:p>
      <w:pPr>
        <w:pStyle w:val="Heading1"/>
      </w:pPr>
      <w:r>
        <w:t xml:space="preserve">Figure legends</w:t>
      </w:r>
    </w:p>
    <w:p>
      <w:pPr>
        <w:pStyle w:val="FirstParagraph"/>
      </w:pPr>
      <w:r>
        <w:drawing>
          <wp:inline>
            <wp:extent cx="5334000" cy="3630083"/>
            <wp:effectExtent b="0" l="0" r="0" t="0"/>
            <wp:docPr descr="" title="" id="38" name="Picture"/>
            <a:graphic>
              <a:graphicData uri="http://schemas.openxmlformats.org/drawingml/2006/picture">
                <pic:pic>
                  <pic:nvPicPr>
                    <pic:cNvPr descr="fig1_framework.png" id="39" name="Picture"/>
                    <pic:cNvPicPr>
                      <a:picLocks noChangeArrowheads="1" noChangeAspect="1"/>
                    </pic:cNvPicPr>
                  </pic:nvPicPr>
                  <pic:blipFill>
                    <a:blip r:embed="rId37"/>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
          <w:bCs/>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
          <w:bCs/>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
          <w:bCs/>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
          <w:bCs/>
        </w:rPr>
        <w:t xml:space="preserve">e</w:t>
      </w:r>
      <w:r>
        <w:t xml:space="preserve">, A complete experiment in twelve lines of code.</w:t>
      </w:r>
    </w:p>
    <w:p>
      <w:pPr>
        <w:pStyle w:val="BodyText"/>
      </w:pPr>
      <w:r>
        <w:drawing>
          <wp:inline>
            <wp:extent cx="5334000" cy="3389118"/>
            <wp:effectExtent b="0" l="0" r="0" t="0"/>
            <wp:docPr descr="" title="" id="41" name="Picture"/>
            <a:graphic>
              <a:graphicData uri="http://schemas.openxmlformats.org/drawingml/2006/picture">
                <pic:pic>
                  <pic:nvPicPr>
                    <pic:cNvPr descr="fig2_engine.png" id="42" name="Picture"/>
                    <pic:cNvPicPr>
                      <a:picLocks noChangeArrowheads="1" noChangeAspect="1"/>
                    </pic:cNvPicPr>
                  </pic:nvPicPr>
                  <pic:blipFill>
                    <a:blip r:embed="rId40"/>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
          <w:bCs/>
        </w:rPr>
        <w:t xml:space="preserve">Fig. 2 | The engine matches exact laws and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44" name="Picture"/>
            <a:graphic>
              <a:graphicData uri="http://schemas.openxmlformats.org/drawingml/2006/picture">
                <pic:pic>
                  <pic:nvPicPr>
                    <pic:cNvPr descr="fig3_growth.png" id="45" name="Picture"/>
                    <pic:cNvPicPr>
                      <a:picLocks noChangeArrowheads="1" noChangeAspect="1"/>
                    </pic:cNvPicPr>
                  </pic:nvPicPr>
                  <pic:blipFill>
                    <a:blip r:embed="rId43"/>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
          <w:bCs/>
        </w:rPr>
        <w:t xml:space="preserve">d</w:t>
      </w:r>
      <w:r>
        <w:t xml:space="preserve">, Memory timescale against the measured cell-cycle time for two switching rates; dotted lines,</w:t>
      </w:r>
      <w:r>
        <w:t xml:space="preserve"> </w:t>
      </w:r>
      <m:oMath>
        <m:r>
          <m:t>1</m:t>
        </m:r>
        <m:r>
          <m:rPr>
            <m:sty m:val="p"/>
          </m:rPr>
          <m:t>/</m:t>
        </m:r>
        <m:r>
          <m:rPr>
            <m:sty m:val="p"/>
          </m:rPr>
          <m:t>(</m:t>
        </m:r>
        <m:sSub>
          <m:e>
            <m:r>
              <m:t>k</m:t>
            </m:r>
          </m:e>
          <m:sub>
            <m:r>
              <m:rPr>
                <m:sty m:val="p"/>
              </m:rPr>
              <m:t>o</m:t>
            </m:r>
            <m:r>
              <m:rPr>
                <m:sty m:val="p"/>
              </m:rPr>
              <m:t>n</m:t>
            </m:r>
          </m:sub>
        </m:sSub>
        <m:r>
          <m:rPr>
            <m:sty m:val="p"/>
          </m:rPr>
          <m:t>+</m:t>
        </m:r>
        <m:sSub>
          <m:e>
            <m:r>
              <m:t>k</m:t>
            </m:r>
          </m:e>
          <m:sub>
            <m:r>
              <m:rPr>
                <m:sty m:val="p"/>
              </m:rPr>
              <m:t>o</m:t>
            </m:r>
            <m:r>
              <m:rPr>
                <m:sty m:val="p"/>
              </m:rPr>
              <m:t>f</m:t>
            </m:r>
            <m:r>
              <m:rPr>
                <m:sty m:val="p"/>
              </m:rPr>
              <m:t>f</m:t>
            </m:r>
          </m:sub>
        </m:sSub>
        <m:r>
          <m:rPr>
            <m:sty m:val="p"/>
          </m:rPr>
          <m:t>)</m:t>
        </m:r>
      </m:oMath>
      <w:r>
        <w:t xml:space="preserve">.</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fig3f_copynumber.csv</w:t>
      </w:r>
      <w:r>
        <w:t xml:space="preserve">.</w:t>
      </w:r>
    </w:p>
    <w:p>
      <w:pPr>
        <w:pStyle w:val="BodyText"/>
      </w:pPr>
      <w:r>
        <w:drawing>
          <wp:inline>
            <wp:extent cx="5334000" cy="4917531"/>
            <wp:effectExtent b="0" l="0" r="0" t="0"/>
            <wp:docPr descr="" title="" id="47" name="Picture"/>
            <a:graphic>
              <a:graphicData uri="http://schemas.openxmlformats.org/drawingml/2006/picture">
                <pic:pic>
                  <pic:nvPicPr>
                    <pic:cNvPr descr="fig4_persisters.png" id="48" name="Picture"/>
                    <pic:cNvPicPr>
                      <a:picLocks noChangeArrowheads="1" noChangeAspect="1"/>
                    </pic:cNvPicPr>
                  </pic:nvPicPr>
                  <pic:blipFill>
                    <a:blip r:embed="rId46"/>
                    <a:stretch>
                      <a:fillRect/>
                    </a:stretch>
                  </pic:blipFill>
                  <pic:spPr bwMode="auto">
                    <a:xfrm>
                      <a:off x="0" y="0"/>
                      <a:ext cx="5334000" cy="4917531"/>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treatment window).</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most effective schedule.</w:t>
      </w:r>
    </w:p>
    <w:p>
      <w:pPr>
        <w:pStyle w:val="BodyText"/>
      </w:pPr>
      <w:r>
        <w:drawing>
          <wp:inline>
            <wp:extent cx="5334000" cy="3816125"/>
            <wp:effectExtent b="0" l="0" r="0" t="0"/>
            <wp:docPr descr="" title="" id="50" name="Picture"/>
            <a:graphic>
              <a:graphicData uri="http://schemas.openxmlformats.org/drawingml/2006/picture">
                <pic:pic>
                  <pic:nvPicPr>
                    <pic:cNvPr descr="fig5_benchmarks.png" id="51" name="Picture"/>
                    <pic:cNvPicPr>
                      <a:picLocks noChangeArrowheads="1" noChangeAspect="1"/>
                    </pic:cNvPicPr>
                  </pic:nvPicPr>
                  <pic:blipFill>
                    <a:blip r:embed="rId49"/>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53" name="Picture"/>
            <a:graphic>
              <a:graphicData uri="http://schemas.openxmlformats.org/drawingml/2006/picture">
                <pic:pic>
                  <pic:nvPicPr>
                    <pic:cNvPr descr="fig6_inference.png" id="54" name="Picture"/>
                    <pic:cNvPicPr>
                      <a:picLocks noChangeArrowheads="1" noChangeAspect="1"/>
                    </pic:cNvPicPr>
                  </pic:nvPicPr>
                  <pic:blipFill>
                    <a:blip r:embed="rId52"/>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56" name="Picture"/>
            <a:graphic>
              <a:graphicData uri="http://schemas.openxmlformats.org/drawingml/2006/picture">
                <pic:pic>
                  <pic:nvPicPr>
                    <pic:cNvPr descr="fig7_calibration.png" id="57" name="Picture"/>
                    <pic:cNvPicPr>
                      <a:picLocks noChangeArrowheads="1" noChangeAspect="1"/>
                    </pic:cNvPicPr>
                  </pic:nvPicPr>
                  <pic:blipFill>
                    <a:blip r:embed="rId55"/>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is reported graphically in ref.</w:t>
      </w:r>
      <w:r>
        <w:rPr>
          <w:vertAlign w:val="superscript"/>
        </w:rPr>
        <w:t xml:space="preserve">6</w:t>
      </w:r>
      <w:r>
        <w:t xml:space="preserve"> </w:t>
      </w:r>
      <w:r>
        <w:t xml:space="preserve">with no numeric coefficients, so the comparison is of pattern rather than of value.</w:t>
      </w:r>
      <w:r>
        <w:t xml:space="preserve"> </w:t>
      </w:r>
      <w:r>
        <w:rPr>
          <w:b/>
          <w:bCs/>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40370"/>
            <wp:effectExtent b="0" l="0" r="0" t="0"/>
            <wp:docPr descr="" title="" id="59" name="Picture"/>
            <a:graphic>
              <a:graphicData uri="http://schemas.openxmlformats.org/drawingml/2006/picture">
                <pic:pic>
                  <pic:nvPicPr>
                    <pic:cNvPr descr="fig8_schedules.png" id="60" name="Picture"/>
                    <pic:cNvPicPr>
                      <a:picLocks noChangeArrowheads="1" noChangeAspect="1"/>
                    </pic:cNvPicPr>
                  </pic:nvPicPr>
                  <pic:blipFill>
                    <a:blip r:embed="rId58"/>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the value of the cerebrospinal-fluid population model; the plasma value is 1.8 h) and stoichiometric consumption of MGMT by the drug, one molecule per lesion repaired,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
          <w:bCs/>
        </w:rPr>
        <w:t xml:space="preserve">h</w:t>
      </w:r>
      <w:r>
        <w:t xml:space="preserve">, Final population size against the number of dosing days per 28-day cycle at the standard cumulative dose.</w:t>
      </w:r>
    </w:p>
    <w:bookmarkEnd w:id="61"/>
    <w:bookmarkStart w:id="62"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62"/>
    <w:bookmarkStart w:id="63"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63"/>
    <w:bookmarkStart w:id="64" w:name="competing-interests"/>
    <w:p>
      <w:pPr>
        <w:pStyle w:val="Heading1"/>
      </w:pPr>
      <w:r>
        <w:t xml:space="preserve">Competing interests</w:t>
      </w:r>
    </w:p>
    <w:p>
      <w:pPr>
        <w:pStyle w:val="FirstParagraph"/>
      </w:pPr>
      <w:r>
        <w:t xml:space="preserve">The author declares no competing interests.</w:t>
      </w:r>
    </w:p>
    <w:bookmarkEnd w:id="64"/>
    <w:bookmarkStart w:id="65"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5"/>
    <w:bookmarkStart w:id="209" w:name="references"/>
    <w:p>
      <w:pPr>
        <w:pStyle w:val="Heading1"/>
      </w:pPr>
      <w:r>
        <w:t xml:space="preserve">References</w:t>
      </w:r>
    </w:p>
    <w:bookmarkStart w:id="208" w:name="refs"/>
    <w:bookmarkStart w:id="67"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6">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7"/>
    <w:bookmarkStart w:id="69"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8">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9"/>
    <w:bookmarkStart w:id="71"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70">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71"/>
    <w:bookmarkStart w:id="73"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2">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3"/>
    <w:bookmarkStart w:id="75"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4">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5"/>
    <w:bookmarkStart w:id="77" w:name="ref-iyer2025"/>
    <w:p>
      <w:pPr>
        <w:pStyle w:val="Bibliography"/>
      </w:pPr>
      <w:r>
        <w:t xml:space="preserve">6.</w:t>
      </w:r>
      <w:r>
        <w:t xml:space="preserve"> </w:t>
      </w:r>
      <w:r>
        <w:t xml:space="preserve">	</w:t>
      </w:r>
      <w:r>
        <w:t xml:space="preserve">Iyer, A., Alva, A., Granada, A. E. &amp; Chakrabarti, S.</w:t>
      </w:r>
      <w:r>
        <w:t xml:space="preserve"> </w:t>
      </w:r>
      <w:hyperlink r:id="rId76">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7"/>
    <w:bookmarkStart w:id="79" w:name="ref-lin2025memory"/>
    <w:p>
      <w:pPr>
        <w:pStyle w:val="Bibliography"/>
      </w:pPr>
      <w:r>
        <w:t xml:space="preserve">7.</w:t>
      </w:r>
      <w:r>
        <w:t xml:space="preserve"> </w:t>
      </w:r>
      <w:r>
        <w:t xml:space="preserve">	</w:t>
      </w:r>
      <w:r>
        <w:t xml:space="preserve">Lin, Y., Chen, X., Wu, L., Zhou, Y. &amp; Lin, Y.</w:t>
      </w:r>
      <w:r>
        <w:t xml:space="preserve"> </w:t>
      </w:r>
      <w:hyperlink r:id="rId78">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9"/>
    <w:bookmarkStart w:id="81"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80">
        <w:r>
          <w:rPr>
            <w:rStyle w:val="Hyperlink"/>
          </w:rPr>
          <w:t xml:space="preserve">https://doi.org/10.1101/2025.01.15.633183</w:t>
        </w:r>
      </w:hyperlink>
      <w:r>
        <w:t xml:space="preserve"> </w:t>
      </w:r>
      <w:r>
        <w:t xml:space="preserve">(2025) doi:</w:t>
      </w:r>
      <w:hyperlink r:id="rId80">
        <w:r>
          <w:rPr>
            <w:rStyle w:val="Hyperlink"/>
          </w:rPr>
          <w:t xml:space="preserve">10.1101/2025.01.15.633183</w:t>
        </w:r>
      </w:hyperlink>
      <w:r>
        <w:t xml:space="preserve">.</w:t>
      </w:r>
    </w:p>
    <w:bookmarkEnd w:id="81"/>
    <w:bookmarkStart w:id="83"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2">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3"/>
    <w:bookmarkStart w:id="85" w:name="ref-sukys2025"/>
    <w:p>
      <w:pPr>
        <w:pStyle w:val="Bibliography"/>
      </w:pPr>
      <w:r>
        <w:t xml:space="preserve">10.</w:t>
      </w:r>
      <w:r>
        <w:t xml:space="preserve"> </w:t>
      </w:r>
      <w:r>
        <w:t xml:space="preserve">	</w:t>
      </w:r>
      <w:r>
        <w:t xml:space="preserve">Sukys, A. &amp; Grima, R.</w:t>
      </w:r>
      <w:r>
        <w:t xml:space="preserve"> </w:t>
      </w:r>
      <w:hyperlink r:id="rId84">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5"/>
    <w:bookmarkStart w:id="87"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6">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7"/>
    <w:bookmarkStart w:id="89"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8">
        <w:r>
          <w:rPr>
            <w:rStyle w:val="Hyperlink"/>
          </w:rPr>
          <w:t xml:space="preserve">https://doi.org/10.64898/2026.04.14.718485</w:t>
        </w:r>
      </w:hyperlink>
      <w:r>
        <w:t xml:space="preserve"> </w:t>
      </w:r>
      <w:r>
        <w:t xml:space="preserve">(2026) doi:</w:t>
      </w:r>
      <w:hyperlink r:id="rId88">
        <w:r>
          <w:rPr>
            <w:rStyle w:val="Hyperlink"/>
          </w:rPr>
          <w:t xml:space="preserve">10.64898/2026.04.14.718485</w:t>
        </w:r>
      </w:hyperlink>
      <w:r>
        <w:t xml:space="preserve">.</w:t>
      </w:r>
    </w:p>
    <w:bookmarkEnd w:id="89"/>
    <w:bookmarkStart w:id="91" w:name="ref-ahlmanneltze2025"/>
    <w:p>
      <w:pPr>
        <w:pStyle w:val="Bibliography"/>
      </w:pPr>
      <w:r>
        <w:t xml:space="preserve">13.</w:t>
      </w:r>
      <w:r>
        <w:t xml:space="preserve"> </w:t>
      </w:r>
      <w:r>
        <w:t xml:space="preserve">	</w:t>
      </w:r>
      <w:r>
        <w:t xml:space="preserve">Ahlmann-Eltze, C., Huber, W. &amp; Anders, S.</w:t>
      </w:r>
      <w:r>
        <w:t xml:space="preserve"> </w:t>
      </w:r>
      <w:hyperlink r:id="rId90">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91"/>
    <w:bookmarkStart w:id="93"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2">
        <w:r>
          <w:rPr>
            <w:rStyle w:val="Hyperlink"/>
          </w:rPr>
          <w:t xml:space="preserve">https://doi.org/10.64898/2026.04.20.719650</w:t>
        </w:r>
      </w:hyperlink>
      <w:r>
        <w:t xml:space="preserve"> </w:t>
      </w:r>
      <w:r>
        <w:t xml:space="preserve">(2026) doi:</w:t>
      </w:r>
      <w:hyperlink r:id="rId92">
        <w:r>
          <w:rPr>
            <w:rStyle w:val="Hyperlink"/>
          </w:rPr>
          <w:t xml:space="preserve">10.64898/2026.04.20.719650</w:t>
        </w:r>
      </w:hyperlink>
      <w:r>
        <w:t xml:space="preserve">.</w:t>
      </w:r>
    </w:p>
    <w:bookmarkEnd w:id="93"/>
    <w:bookmarkStart w:id="95"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4">
        <w:r>
          <w:rPr>
            <w:rStyle w:val="Hyperlink"/>
          </w:rPr>
          <w:t xml:space="preserve">https://doi.org/10.64898/2026.02.04.703804</w:t>
        </w:r>
      </w:hyperlink>
      <w:r>
        <w:t xml:space="preserve"> </w:t>
      </w:r>
      <w:r>
        <w:t xml:space="preserve">(2026) doi:</w:t>
      </w:r>
      <w:hyperlink r:id="rId94">
        <w:r>
          <w:rPr>
            <w:rStyle w:val="Hyperlink"/>
          </w:rPr>
          <w:t xml:space="preserve">10.64898/2026.02.04.703804</w:t>
        </w:r>
      </w:hyperlink>
      <w:r>
        <w:t xml:space="preserve">.</w:t>
      </w:r>
    </w:p>
    <w:bookmarkEnd w:id="95"/>
    <w:bookmarkStart w:id="97"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6">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7"/>
    <w:bookmarkStart w:id="99" w:name="ref-zappia2017"/>
    <w:p>
      <w:pPr>
        <w:pStyle w:val="Bibliography"/>
      </w:pPr>
      <w:r>
        <w:t xml:space="preserve">17.</w:t>
      </w:r>
      <w:r>
        <w:t xml:space="preserve"> </w:t>
      </w:r>
      <w:r>
        <w:t xml:space="preserve">	</w:t>
      </w:r>
      <w:r>
        <w:t xml:space="preserve">Zappia, L., Phipson, B. &amp; Oshlack, A.</w:t>
      </w:r>
      <w:r>
        <w:t xml:space="preserve"> </w:t>
      </w:r>
      <w:hyperlink r:id="rId98">
        <w:r>
          <w:rPr>
            <w:rStyle w:val="Hyperlink"/>
          </w:rPr>
          <w:t xml:space="preserve">Splatter: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w:t>
        </w:r>
      </w:hyperlink>
      <w:r>
        <w:t xml:space="preserve">.</w:t>
      </w:r>
      <w:r>
        <w:t xml:space="preserve"> </w:t>
      </w:r>
      <w:r>
        <w:rPr>
          <w:i/>
          <w:iCs/>
        </w:rPr>
        <w:t xml:space="preserve">Genome Biology</w:t>
      </w:r>
      <w:r>
        <w:t xml:space="preserve"> </w:t>
      </w:r>
      <w:r>
        <w:rPr>
          <w:b/>
          <w:bCs/>
        </w:rPr>
        <w:t xml:space="preserve">18</w:t>
      </w:r>
      <w:r>
        <w:t xml:space="preserve">, 174 (2017).</w:t>
      </w:r>
    </w:p>
    <w:bookmarkEnd w:id="99"/>
    <w:bookmarkStart w:id="101" w:name="ref-zhang2019symsim"/>
    <w:p>
      <w:pPr>
        <w:pStyle w:val="Bibliography"/>
      </w:pPr>
      <w:r>
        <w:t xml:space="preserve">18.</w:t>
      </w:r>
      <w:r>
        <w:t xml:space="preserve"> </w:t>
      </w:r>
      <w:r>
        <w:t xml:space="preserve">	</w:t>
      </w:r>
      <w:r>
        <w:t xml:space="preserve">Zhang, X., Xu, C. &amp; Yosef, N.</w:t>
      </w:r>
      <w:r>
        <w:t xml:space="preserve"> </w:t>
      </w:r>
      <w:hyperlink r:id="rId100">
        <w:r>
          <w:rPr>
            <w:rStyle w:val="Hyperlink"/>
          </w:rPr>
          <w:t xml:space="preserve">Simulating multiple faceted variability in single cell</w:t>
        </w:r>
        <w:r>
          <w:rPr>
            <w:rStyle w:val="Hyperlink"/>
          </w:rPr>
          <w:t xml:space="preserve"> </w:t>
        </w:r>
        <w:r>
          <w:rPr>
            <w:rStyle w:val="Hyperlink"/>
          </w:rPr>
          <w:t xml:space="preserve">RNA</w:t>
        </w:r>
        <w:r>
          <w:rPr>
            <w:rStyle w:val="Hyperlink"/>
          </w:rPr>
          <w:t xml:space="preserve"> </w:t>
        </w:r>
        <w:r>
          <w:rPr>
            <w:rStyle w:val="Hyperlink"/>
          </w:rPr>
          <w:t xml:space="preserve">sequencing</w:t>
        </w:r>
      </w:hyperlink>
      <w:r>
        <w:t xml:space="preserve">.</w:t>
      </w:r>
      <w:r>
        <w:t xml:space="preserve"> </w:t>
      </w:r>
      <w:r>
        <w:rPr>
          <w:i/>
          <w:iCs/>
        </w:rPr>
        <w:t xml:space="preserve">Nature Communications</w:t>
      </w:r>
      <w:r>
        <w:t xml:space="preserve"> </w:t>
      </w:r>
      <w:r>
        <w:rPr>
          <w:b/>
          <w:bCs/>
        </w:rPr>
        <w:t xml:space="preserve">10</w:t>
      </w:r>
      <w:r>
        <w:t xml:space="preserve">, 2611 (2019).</w:t>
      </w:r>
    </w:p>
    <w:bookmarkEnd w:id="101"/>
    <w:bookmarkStart w:id="103" w:name="ref-song2024scdesign3"/>
    <w:p>
      <w:pPr>
        <w:pStyle w:val="Bibliography"/>
      </w:pPr>
      <w:r>
        <w:t xml:space="preserve">19.</w:t>
      </w:r>
      <w:r>
        <w:t xml:space="preserve"> </w:t>
      </w:r>
      <w:r>
        <w:t xml:space="preserve">	</w:t>
      </w:r>
      <w:r>
        <w:t xml:space="preserve">Song, D.</w:t>
      </w:r>
      <w:r>
        <w:t xml:space="preserve"> </w:t>
      </w:r>
      <w:r>
        <w:rPr>
          <w:i/>
          <w:iCs/>
        </w:rPr>
        <w:t xml:space="preserve">et al.</w:t>
      </w:r>
      <w:r>
        <w:t xml:space="preserve"> </w:t>
      </w:r>
      <w:hyperlink r:id="rId102">
        <w:r>
          <w:rPr>
            <w:rStyle w:val="Hyperlink"/>
          </w:rPr>
          <w:t xml:space="preserve">scDesign3</w:t>
        </w:r>
        <w:r>
          <w:rPr>
            <w:rStyle w:val="Hyperlink"/>
          </w:rPr>
          <w:t xml:space="preserve"> </w:t>
        </w:r>
        <w:r>
          <w:rPr>
            <w:rStyle w:val="Hyperlink"/>
          </w:rPr>
          <w:t xml:space="preserve">generates realistic in silico data for multimodal single-cell and spatial omics</w:t>
        </w:r>
      </w:hyperlink>
      <w:r>
        <w:t xml:space="preserve">.</w:t>
      </w:r>
      <w:r>
        <w:t xml:space="preserve"> </w:t>
      </w:r>
      <w:r>
        <w:rPr>
          <w:i/>
          <w:iCs/>
        </w:rPr>
        <w:t xml:space="preserve">Nature Biotechnology</w:t>
      </w:r>
      <w:r>
        <w:t xml:space="preserve"> </w:t>
      </w:r>
      <w:r>
        <w:rPr>
          <w:b/>
          <w:bCs/>
        </w:rPr>
        <w:t xml:space="preserve">42</w:t>
      </w:r>
      <w:r>
        <w:t xml:space="preserve">, 247–252 (2024).</w:t>
      </w:r>
    </w:p>
    <w:bookmarkEnd w:id="103"/>
    <w:bookmarkStart w:id="105" w:name="ref-dibaeinia2020"/>
    <w:p>
      <w:pPr>
        <w:pStyle w:val="Bibliography"/>
      </w:pPr>
      <w:r>
        <w:t xml:space="preserve">20.</w:t>
      </w:r>
      <w:r>
        <w:t xml:space="preserve"> </w:t>
      </w:r>
      <w:r>
        <w:t xml:space="preserve">	</w:t>
      </w:r>
      <w:r>
        <w:t xml:space="preserve">Dibaeinia, P. &amp; Sinha, S.</w:t>
      </w:r>
      <w:r>
        <w:t xml:space="preserve"> </w:t>
      </w:r>
      <w:hyperlink r:id="rId104">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105"/>
    <w:bookmarkStart w:id="107" w:name="ref-cannoodt2021"/>
    <w:p>
      <w:pPr>
        <w:pStyle w:val="Bibliography"/>
      </w:pPr>
      <w:r>
        <w:t xml:space="preserve">21.</w:t>
      </w:r>
      <w:r>
        <w:t xml:space="preserve"> </w:t>
      </w:r>
      <w:r>
        <w:t xml:space="preserve">	</w:t>
      </w:r>
      <w:r>
        <w:t xml:space="preserve">Cannoodt, R., Saelens, W., Deconinck, L. &amp; Saeys, Y.</w:t>
      </w:r>
      <w:r>
        <w:t xml:space="preserve"> </w:t>
      </w:r>
      <w:hyperlink r:id="rId106">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107"/>
    <w:bookmarkStart w:id="109" w:name="ref-li2025scmultisim"/>
    <w:p>
      <w:pPr>
        <w:pStyle w:val="Bibliography"/>
      </w:pPr>
      <w:r>
        <w:t xml:space="preserve">22.</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8">
        <w:r>
          <w:rPr>
            <w:rStyle w:val="Hyperlink"/>
          </w:rPr>
          <w:t xml:space="preserve">https://doi.org/10.1038/s41592-025-02651-0</w:t>
        </w:r>
      </w:hyperlink>
      <w:r>
        <w:t xml:space="preserve"> </w:t>
      </w:r>
      <w:r>
        <w:t xml:space="preserve">(2025) doi:</w:t>
      </w:r>
      <w:hyperlink r:id="rId108">
        <w:r>
          <w:rPr>
            <w:rStyle w:val="Hyperlink"/>
          </w:rPr>
          <w:t xml:space="preserve">10.1038/s41592-025-02651-0</w:t>
        </w:r>
      </w:hyperlink>
      <w:r>
        <w:t xml:space="preserve">.</w:t>
      </w:r>
    </w:p>
    <w:bookmarkEnd w:id="109"/>
    <w:bookmarkStart w:id="111" w:name="ref-zinati2024groundgan"/>
    <w:p>
      <w:pPr>
        <w:pStyle w:val="Bibliography"/>
      </w:pPr>
      <w:r>
        <w:t xml:space="preserve">23.</w:t>
      </w:r>
      <w:r>
        <w:t xml:space="preserve"> </w:t>
      </w:r>
      <w:r>
        <w:t xml:space="preserve">	</w:t>
      </w:r>
      <w:r>
        <w:t xml:space="preserve">Zinati, Y., Takiddeen, A. &amp; Emad, A.</w:t>
      </w:r>
      <w:r>
        <w:t xml:space="preserve"> </w:t>
      </w:r>
      <w:hyperlink r:id="rId110">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11"/>
    <w:bookmarkStart w:id="113" w:name="ref-pan2022tedsim"/>
    <w:p>
      <w:pPr>
        <w:pStyle w:val="Bibliography"/>
      </w:pPr>
      <w:r>
        <w:t xml:space="preserve">24.</w:t>
      </w:r>
      <w:r>
        <w:t xml:space="preserve"> </w:t>
      </w:r>
      <w:r>
        <w:t xml:space="preserve">	</w:t>
      </w:r>
      <w:r>
        <w:t xml:space="preserve">Pan, X., Li, H. &amp; Zhang, X.</w:t>
      </w:r>
      <w:r>
        <w:t xml:space="preserve"> </w:t>
      </w:r>
      <w:hyperlink r:id="rId112">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13"/>
    <w:bookmarkStart w:id="115" w:name="ref-jones2020cassiopeia"/>
    <w:p>
      <w:pPr>
        <w:pStyle w:val="Bibliography"/>
      </w:pPr>
      <w:r>
        <w:t xml:space="preserve">25.</w:t>
      </w:r>
      <w:r>
        <w:t xml:space="preserve"> </w:t>
      </w:r>
      <w:r>
        <w:t xml:space="preserve">	</w:t>
      </w:r>
      <w:r>
        <w:t xml:space="preserve">Jones, M. G.</w:t>
      </w:r>
      <w:r>
        <w:t xml:space="preserve"> </w:t>
      </w:r>
      <w:r>
        <w:rPr>
          <w:i/>
          <w:iCs/>
        </w:rPr>
        <w:t xml:space="preserve">et al.</w:t>
      </w:r>
      <w:r>
        <w:t xml:space="preserve"> </w:t>
      </w:r>
      <w:hyperlink r:id="rId114">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
          <w:iCs/>
        </w:rPr>
        <w:t xml:space="preserve">Genome Biology</w:t>
      </w:r>
      <w:r>
        <w:t xml:space="preserve"> </w:t>
      </w:r>
      <w:r>
        <w:rPr>
          <w:b/>
          <w:bCs/>
        </w:rPr>
        <w:t xml:space="preserve">21</w:t>
      </w:r>
      <w:r>
        <w:t xml:space="preserve">, 92 (2020).</w:t>
      </w:r>
    </w:p>
    <w:bookmarkEnd w:id="115"/>
    <w:bookmarkStart w:id="117" w:name="ref-pratapa2020"/>
    <w:p>
      <w:pPr>
        <w:pStyle w:val="Bibliography"/>
      </w:pPr>
      <w:r>
        <w:t xml:space="preserve">26.</w:t>
      </w:r>
      <w:r>
        <w:t xml:space="preserve"> </w:t>
      </w:r>
      <w:r>
        <w:t xml:space="preserve">	</w:t>
      </w:r>
      <w:r>
        <w:t xml:space="preserve">Pratapa, A., Jalihal, A. P., Law, J. N., Bharadwaj, A. &amp; Murali, T. M.</w:t>
      </w:r>
      <w:r>
        <w:t xml:space="preserve"> </w:t>
      </w:r>
      <w:hyperlink r:id="rId116">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17"/>
    <w:bookmarkStart w:id="119" w:name="ref-bertaux2018"/>
    <w:p>
      <w:pPr>
        <w:pStyle w:val="Bibliography"/>
      </w:pPr>
      <w:r>
        <w:t xml:space="preserve">27.</w:t>
      </w:r>
      <w:r>
        <w:t xml:space="preserve"> </w:t>
      </w:r>
      <w:r>
        <w:t xml:space="preserve">	</w:t>
      </w:r>
      <w:r>
        <w:t xml:space="preserve">Bertaux, F., Marguerat, S. &amp; Shahrezaei, V.</w:t>
      </w:r>
      <w:r>
        <w:t xml:space="preserve"> </w:t>
      </w:r>
      <w:hyperlink r:id="rId118">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19"/>
    <w:bookmarkStart w:id="121" w:name="ref-piho2025abm"/>
    <w:p>
      <w:pPr>
        <w:pStyle w:val="Bibliography"/>
      </w:pPr>
      <w:r>
        <w:t xml:space="preserve">28.</w:t>
      </w:r>
      <w:r>
        <w:t xml:space="preserve"> </w:t>
      </w:r>
      <w:r>
        <w:t xml:space="preserve">	</w:t>
      </w:r>
      <w:r>
        <w:t xml:space="preserve">Piho, P. &amp; Thomas, P.</w:t>
      </w:r>
      <w:r>
        <w:t xml:space="preserve"> </w:t>
      </w:r>
      <w:hyperlink r:id="rId120">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21"/>
    <w:bookmarkStart w:id="123" w:name="ref-piho2024feedback"/>
    <w:p>
      <w:pPr>
        <w:pStyle w:val="Bibliography"/>
      </w:pPr>
      <w:r>
        <w:t xml:space="preserve">29.</w:t>
      </w:r>
      <w:r>
        <w:t xml:space="preserve"> </w:t>
      </w:r>
      <w:r>
        <w:t xml:space="preserve">	</w:t>
      </w:r>
      <w:r>
        <w:t xml:space="preserve">Piho, P. &amp; Thomas, P.</w:t>
      </w:r>
      <w:r>
        <w:t xml:space="preserve"> </w:t>
      </w:r>
      <w:hyperlink r:id="rId122">
        <w:r>
          <w:rPr>
            <w:rStyle w:val="Hyperlink"/>
          </w:rPr>
          <w:t xml:space="preserve">Feedback between stochastic gene networks and population dynamics enables cellular decision-making</w:t>
        </w:r>
      </w:hyperlink>
      <w:r>
        <w:t xml:space="preserve">.</w:t>
      </w:r>
      <w:r>
        <w:t xml:space="preserve"> </w:t>
      </w:r>
      <w:r>
        <w:rPr>
          <w:i/>
          <w:iCs/>
        </w:rPr>
        <w:t xml:space="preserve">Science Advances</w:t>
      </w:r>
      <w:r>
        <w:t xml:space="preserve"> </w:t>
      </w:r>
      <w:r>
        <w:rPr>
          <w:b/>
          <w:bCs/>
        </w:rPr>
        <w:t xml:space="preserve">10</w:t>
      </w:r>
      <w:r>
        <w:t xml:space="preserve">, eadl4895 (2024).</w:t>
      </w:r>
    </w:p>
    <w:bookmarkEnd w:id="123"/>
    <w:bookmarkStart w:id="125" w:name="ref-thomas2021"/>
    <w:p>
      <w:pPr>
        <w:pStyle w:val="Bibliography"/>
      </w:pPr>
      <w:r>
        <w:t xml:space="preserve">30.</w:t>
      </w:r>
      <w:r>
        <w:t xml:space="preserve"> </w:t>
      </w:r>
      <w:r>
        <w:t xml:space="preserve">	</w:t>
      </w:r>
      <w:r>
        <w:t xml:space="preserve">Thomas, P. &amp; Shahrezaei, V.</w:t>
      </w:r>
      <w:r>
        <w:t xml:space="preserve"> </w:t>
      </w:r>
      <w:hyperlink r:id="rId124">
        <w:r>
          <w:rPr>
            <w:rStyle w:val="Hyperlink"/>
          </w:rPr>
          <w:t xml:space="preserve">Coordination of gene expression noise with cell size: Analytical results for agent-based models of growing cell populations</w:t>
        </w:r>
      </w:hyperlink>
      <w:r>
        <w:t xml:space="preserve">.</w:t>
      </w:r>
      <w:r>
        <w:t xml:space="preserve"> </w:t>
      </w:r>
      <w:r>
        <w:rPr>
          <w:i/>
          <w:iCs/>
        </w:rPr>
        <w:t xml:space="preserve">Journal of the Royal Society Interface</w:t>
      </w:r>
      <w:r>
        <w:t xml:space="preserve"> </w:t>
      </w:r>
      <w:r>
        <w:rPr>
          <w:b/>
          <w:bCs/>
        </w:rPr>
        <w:t xml:space="preserve">18</w:t>
      </w:r>
      <w:r>
        <w:t xml:space="preserve">, 20210274 (2021).</w:t>
      </w:r>
    </w:p>
    <w:bookmarkEnd w:id="125"/>
    <w:bookmarkStart w:id="127" w:name="ref-ghaffarizadeh2018"/>
    <w:p>
      <w:pPr>
        <w:pStyle w:val="Bibliography"/>
      </w:pPr>
      <w:r>
        <w:t xml:space="preserve">31.</w:t>
      </w:r>
      <w:r>
        <w:t xml:space="preserve"> </w:t>
      </w:r>
      <w:r>
        <w:t xml:space="preserve">	</w:t>
      </w:r>
      <w:r>
        <w:t xml:space="preserve">Ghaffarizadeh, A., Heiland, R., Friedman, S. H., Mumenthaler, S. M. &amp; Macklin, P.</w:t>
      </w:r>
      <w:r>
        <w:t xml:space="preserve"> </w:t>
      </w:r>
      <w:hyperlink r:id="rId126">
        <w:r>
          <w:rPr>
            <w:rStyle w:val="Hyperlink"/>
          </w:rPr>
          <w:t xml:space="preserve">PhysiCell</w:t>
        </w:r>
        <w:r>
          <w:rPr>
            <w:rStyle w:val="Hyperlink"/>
          </w:rPr>
          <w:t xml:space="preserve">: An open source physics-based cell simulator for 3-</w:t>
        </w:r>
        <w:r>
          <w:rPr>
            <w:rStyle w:val="Hyperlink"/>
          </w:rPr>
          <w:t xml:space="preserve">D</w:t>
        </w:r>
        <w:r>
          <w:rPr>
            <w:rStyle w:val="Hyperlink"/>
          </w:rPr>
          <w:t xml:space="preserve"> </w:t>
        </w:r>
        <w:r>
          <w:rPr>
            <w:rStyle w:val="Hyperlink"/>
          </w:rPr>
          <w:t xml:space="preserve">multicellular systems</w:t>
        </w:r>
      </w:hyperlink>
      <w:r>
        <w:t xml:space="preserve">.</w:t>
      </w:r>
      <w:r>
        <w:t xml:space="preserve"> </w:t>
      </w:r>
      <w:r>
        <w:rPr>
          <w:i/>
          <w:iCs/>
        </w:rPr>
        <w:t xml:space="preserve">PLoS Computational Biology</w:t>
      </w:r>
      <w:r>
        <w:t xml:space="preserve"> </w:t>
      </w:r>
      <w:r>
        <w:rPr>
          <w:b/>
          <w:bCs/>
        </w:rPr>
        <w:t xml:space="preserve">14</w:t>
      </w:r>
      <w:r>
        <w:t xml:space="preserve">, e1005991 (2018).</w:t>
      </w:r>
    </w:p>
    <w:bookmarkEnd w:id="127"/>
    <w:bookmarkStart w:id="129" w:name="ref-poncedeleon2023"/>
    <w:p>
      <w:pPr>
        <w:pStyle w:val="Bibliography"/>
      </w:pPr>
      <w:r>
        <w:t xml:space="preserve">32.</w:t>
      </w:r>
      <w:r>
        <w:t xml:space="preserve"> </w:t>
      </w:r>
      <w:r>
        <w:t xml:space="preserve">	</w:t>
      </w:r>
      <w:r>
        <w:t xml:space="preserve">Ponce-de-Leon, M.</w:t>
      </w:r>
      <w:r>
        <w:t xml:space="preserve"> </w:t>
      </w:r>
      <w:r>
        <w:rPr>
          <w:i/>
          <w:iCs/>
        </w:rPr>
        <w:t xml:space="preserve">et al.</w:t>
      </w:r>
      <w:r>
        <w:t xml:space="preserve"> </w:t>
      </w:r>
      <w:hyperlink r:id="rId128">
        <w:r>
          <w:rPr>
            <w:rStyle w:val="Hyperlink"/>
          </w:rPr>
          <w:t xml:space="preserve">PhysiBoSS</w:t>
        </w:r>
        <w:r>
          <w:rPr>
            <w:rStyle w:val="Hyperlink"/>
          </w:rPr>
          <w:t xml:space="preserve"> </w:t>
        </w:r>
        <w:r>
          <w:rPr>
            <w:rStyle w:val="Hyperlink"/>
          </w:rPr>
          <w:t xml:space="preserve">2.0: A sustainable integration of stochastic</w:t>
        </w:r>
        <w:r>
          <w:rPr>
            <w:rStyle w:val="Hyperlink"/>
          </w:rPr>
          <w:t xml:space="preserve"> </w:t>
        </w:r>
        <w:r>
          <w:rPr>
            <w:rStyle w:val="Hyperlink"/>
          </w:rPr>
          <w:t xml:space="preserve">Boolean</w:t>
        </w:r>
        <w:r>
          <w:rPr>
            <w:rStyle w:val="Hyperlink"/>
          </w:rPr>
          <w:t xml:space="preserve"> </w:t>
        </w:r>
        <w:r>
          <w:rPr>
            <w:rStyle w:val="Hyperlink"/>
          </w:rPr>
          <w:t xml:space="preserve">and agent-based modelling frameworks</w:t>
        </w:r>
      </w:hyperlink>
      <w:r>
        <w:t xml:space="preserve">.</w:t>
      </w:r>
      <w:r>
        <w:t xml:space="preserve"> </w:t>
      </w:r>
      <w:r>
        <w:rPr>
          <w:i/>
          <w:iCs/>
        </w:rPr>
        <w:t xml:space="preserve">npj Systems Biology and Applications</w:t>
      </w:r>
      <w:r>
        <w:t xml:space="preserve"> </w:t>
      </w:r>
      <w:r>
        <w:rPr>
          <w:b/>
          <w:bCs/>
        </w:rPr>
        <w:t xml:space="preserve">9</w:t>
      </w:r>
      <w:r>
        <w:t xml:space="preserve">, 54 (2023).</w:t>
      </w:r>
    </w:p>
    <w:bookmarkEnd w:id="129"/>
    <w:bookmarkStart w:id="131" w:name="ref-lasri2022"/>
    <w:p>
      <w:pPr>
        <w:pStyle w:val="Bibliography"/>
      </w:pPr>
      <w:r>
        <w:t xml:space="preserve">33.</w:t>
      </w:r>
      <w:r>
        <w:t xml:space="preserve"> </w:t>
      </w:r>
      <w:r>
        <w:t xml:space="preserve">	</w:t>
      </w:r>
      <w:r>
        <w:t xml:space="preserve">Lasri, A., Shahrezaei, V. &amp; Sturrock, M.</w:t>
      </w:r>
      <w:r>
        <w:t xml:space="preserve"> </w:t>
      </w:r>
      <w:hyperlink r:id="rId130">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31"/>
    <w:bookmarkStart w:id="133" w:name="ref-peccoud1995"/>
    <w:p>
      <w:pPr>
        <w:pStyle w:val="Bibliography"/>
      </w:pPr>
      <w:r>
        <w:t xml:space="preserve">34.</w:t>
      </w:r>
      <w:r>
        <w:t xml:space="preserve"> </w:t>
      </w:r>
      <w:r>
        <w:t xml:space="preserve">	</w:t>
      </w:r>
      <w:r>
        <w:t xml:space="preserve">Peccoud, J. &amp; Ycart, B.</w:t>
      </w:r>
      <w:r>
        <w:t xml:space="preserve"> </w:t>
      </w:r>
      <w:hyperlink r:id="rId132">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33"/>
    <w:bookmarkStart w:id="135" w:name="ref-beentjes2020"/>
    <w:p>
      <w:pPr>
        <w:pStyle w:val="Bibliography"/>
      </w:pPr>
      <w:r>
        <w:t xml:space="preserve">35.</w:t>
      </w:r>
      <w:r>
        <w:t xml:space="preserve"> </w:t>
      </w:r>
      <w:r>
        <w:t xml:space="preserve">	</w:t>
      </w:r>
      <w:r>
        <w:t xml:space="preserve">Beentjes, C. H. L., Perez-Carrasco, R. &amp; Grima, R.</w:t>
      </w:r>
      <w:r>
        <w:t xml:space="preserve"> </w:t>
      </w:r>
      <w:hyperlink r:id="rId134">
        <w:r>
          <w:rPr>
            <w:rStyle w:val="Hyperlink"/>
          </w:rPr>
          <w:t xml:space="preserve">Exact solution of stochastic gene expression models with bursting, cell cycle and replication dynamics</w:t>
        </w:r>
      </w:hyperlink>
      <w:r>
        <w:t xml:space="preserve">.</w:t>
      </w:r>
      <w:r>
        <w:t xml:space="preserve"> </w:t>
      </w:r>
      <w:r>
        <w:rPr>
          <w:i/>
          <w:iCs/>
        </w:rPr>
        <w:t xml:space="preserve">Physical Review E</w:t>
      </w:r>
      <w:r>
        <w:t xml:space="preserve"> </w:t>
      </w:r>
      <w:r>
        <w:rPr>
          <w:b/>
          <w:bCs/>
        </w:rPr>
        <w:t xml:space="preserve">101</w:t>
      </w:r>
      <w:r>
        <w:t xml:space="preserve">, 032403 (2020).</w:t>
      </w:r>
    </w:p>
    <w:bookmarkEnd w:id="135"/>
    <w:bookmarkStart w:id="137" w:name="ref-jia2023"/>
    <w:p>
      <w:pPr>
        <w:pStyle w:val="Bibliography"/>
      </w:pPr>
      <w:r>
        <w:t xml:space="preserve">36.</w:t>
      </w:r>
      <w:r>
        <w:t xml:space="preserve"> </w:t>
      </w:r>
      <w:r>
        <w:t xml:space="preserve">	</w:t>
      </w:r>
      <w:r>
        <w:t xml:space="preserve">Jia, C. &amp; Grima, R.</w:t>
      </w:r>
      <w:r>
        <w:t xml:space="preserve"> </w:t>
      </w:r>
      <w:hyperlink r:id="rId136">
        <w:r>
          <w:rPr>
            <w:rStyle w:val="Hyperlink"/>
          </w:rPr>
          <w:t xml:space="preserve">Coupling gene expression dynamics to cell size dynamics and cell cycle events: Exact and approximate solutions of the extended telegraph model</w:t>
        </w:r>
      </w:hyperlink>
      <w:r>
        <w:t xml:space="preserve">.</w:t>
      </w:r>
      <w:r>
        <w:t xml:space="preserve"> </w:t>
      </w:r>
      <w:r>
        <w:rPr>
          <w:i/>
          <w:iCs/>
        </w:rPr>
        <w:t xml:space="preserve">iScience</w:t>
      </w:r>
      <w:r>
        <w:t xml:space="preserve"> </w:t>
      </w:r>
      <w:r>
        <w:rPr>
          <w:b/>
          <w:bCs/>
        </w:rPr>
        <w:t xml:space="preserve">26</w:t>
      </w:r>
      <w:r>
        <w:t xml:space="preserve">, 105746 (2023).</w:t>
      </w:r>
    </w:p>
    <w:bookmarkEnd w:id="137"/>
    <w:bookmarkStart w:id="139" w:name="ref-thomas2017"/>
    <w:p>
      <w:pPr>
        <w:pStyle w:val="Bibliography"/>
      </w:pPr>
      <w:r>
        <w:t xml:space="preserve">37.</w:t>
      </w:r>
      <w:r>
        <w:t xml:space="preserve"> </w:t>
      </w:r>
      <w:r>
        <w:t xml:space="preserve">	</w:t>
      </w:r>
      <w:r>
        <w:t xml:space="preserve">Thomas, P.</w:t>
      </w:r>
      <w:r>
        <w:t xml:space="preserve"> </w:t>
      </w:r>
      <w:hyperlink r:id="rId138">
        <w:r>
          <w:rPr>
            <w:rStyle w:val="Hyperlink"/>
          </w:rPr>
          <w:t xml:space="preserve">Making sense of snapshot data: Ergodic principle for clonal cell populations</w:t>
        </w:r>
      </w:hyperlink>
      <w:r>
        <w:t xml:space="preserve">.</w:t>
      </w:r>
      <w:r>
        <w:t xml:space="preserve"> </w:t>
      </w:r>
      <w:r>
        <w:rPr>
          <w:i/>
          <w:iCs/>
        </w:rPr>
        <w:t xml:space="preserve">Journal of the Royal Society Interface</w:t>
      </w:r>
      <w:r>
        <w:t xml:space="preserve"> </w:t>
      </w:r>
      <w:r>
        <w:rPr>
          <w:b/>
          <w:bCs/>
        </w:rPr>
        <w:t xml:space="preserve">14</w:t>
      </w:r>
      <w:r>
        <w:t xml:space="preserve">, 20170467 (2017).</w:t>
      </w:r>
    </w:p>
    <w:bookmarkEnd w:id="139"/>
    <w:bookmarkStart w:id="141" w:name="ref-emert2021"/>
    <w:p>
      <w:pPr>
        <w:pStyle w:val="Bibliography"/>
      </w:pPr>
      <w:r>
        <w:t xml:space="preserve">38.</w:t>
      </w:r>
      <w:r>
        <w:t xml:space="preserve"> </w:t>
      </w:r>
      <w:r>
        <w:t xml:space="preserve">	</w:t>
      </w:r>
      <w:r>
        <w:t xml:space="preserve">Emert, B. L.</w:t>
      </w:r>
      <w:r>
        <w:t xml:space="preserve"> </w:t>
      </w:r>
      <w:r>
        <w:rPr>
          <w:i/>
          <w:iCs/>
        </w:rPr>
        <w:t xml:space="preserve">et al.</w:t>
      </w:r>
      <w:r>
        <w:t xml:space="preserve"> </w:t>
      </w:r>
      <w:hyperlink r:id="rId140">
        <w:r>
          <w:rPr>
            <w:rStyle w:val="Hyperlink"/>
          </w:rPr>
          <w:t xml:space="preserve">Variability within rare cell states enables multiple paths toward drug resistance</w:t>
        </w:r>
      </w:hyperlink>
      <w:r>
        <w:t xml:space="preserve">.</w:t>
      </w:r>
      <w:r>
        <w:t xml:space="preserve"> </w:t>
      </w:r>
      <w:r>
        <w:rPr>
          <w:i/>
          <w:iCs/>
        </w:rPr>
        <w:t xml:space="preserve">Nature Biotechnology</w:t>
      </w:r>
      <w:r>
        <w:t xml:space="preserve"> </w:t>
      </w:r>
      <w:r>
        <w:rPr>
          <w:b/>
          <w:bCs/>
        </w:rPr>
        <w:t xml:space="preserve">39</w:t>
      </w:r>
      <w:r>
        <w:t xml:space="preserve">, 865–876 (2021).</w:t>
      </w:r>
    </w:p>
    <w:bookmarkEnd w:id="141"/>
    <w:bookmarkStart w:id="143" w:name="ref-torre2021"/>
    <w:p>
      <w:pPr>
        <w:pStyle w:val="Bibliography"/>
      </w:pPr>
      <w:r>
        <w:t xml:space="preserve">39.</w:t>
      </w:r>
      <w:r>
        <w:t xml:space="preserve"> </w:t>
      </w:r>
      <w:r>
        <w:t xml:space="preserve">	</w:t>
      </w:r>
      <w:r>
        <w:t xml:space="preserve">Torre, E. A.</w:t>
      </w:r>
      <w:r>
        <w:t xml:space="preserve"> </w:t>
      </w:r>
      <w:r>
        <w:rPr>
          <w:i/>
          <w:iCs/>
        </w:rPr>
        <w:t xml:space="preserve">et al.</w:t>
      </w:r>
      <w:r>
        <w:t xml:space="preserve"> </w:t>
      </w:r>
      <w:hyperlink r:id="rId142">
        <w:r>
          <w:rPr>
            <w:rStyle w:val="Hyperlink"/>
          </w:rPr>
          <w:t xml:space="preserve">Genetic screening for single-cell variability modulators driving therapy resistance</w:t>
        </w:r>
      </w:hyperlink>
      <w:r>
        <w:t xml:space="preserve">.</w:t>
      </w:r>
      <w:r>
        <w:t xml:space="preserve"> </w:t>
      </w:r>
      <w:r>
        <w:rPr>
          <w:i/>
          <w:iCs/>
        </w:rPr>
        <w:t xml:space="preserve">Nature Genetics</w:t>
      </w:r>
      <w:r>
        <w:t xml:space="preserve"> </w:t>
      </w:r>
      <w:r>
        <w:rPr>
          <w:b/>
          <w:bCs/>
        </w:rPr>
        <w:t xml:space="preserve">53</w:t>
      </w:r>
      <w:r>
        <w:t xml:space="preserve">, 76–85 (2021).</w:t>
      </w:r>
    </w:p>
    <w:bookmarkEnd w:id="143"/>
    <w:bookmarkStart w:id="145" w:name="ref-gunnarsson2020"/>
    <w:p>
      <w:pPr>
        <w:pStyle w:val="Bibliography"/>
      </w:pPr>
      <w:r>
        <w:t xml:space="preserve">40.</w:t>
      </w:r>
      <w:r>
        <w:t xml:space="preserve"> </w:t>
      </w:r>
      <w:r>
        <w:t xml:space="preserve">	</w:t>
      </w:r>
      <w:r>
        <w:t xml:space="preserve">Gunnarsson, E. B., De, S., Leder, K. &amp; Foo, J.</w:t>
      </w:r>
      <w:r>
        <w:t xml:space="preserve"> </w:t>
      </w:r>
      <w:hyperlink r:id="rId144">
        <w:r>
          <w:rPr>
            <w:rStyle w:val="Hyperlink"/>
          </w:rPr>
          <w:t xml:space="preserve">Understanding the role of phenotypic switching in cancer drug resistance</w:t>
        </w:r>
      </w:hyperlink>
      <w:r>
        <w:t xml:space="preserve">.</w:t>
      </w:r>
      <w:r>
        <w:t xml:space="preserve"> </w:t>
      </w:r>
      <w:r>
        <w:rPr>
          <w:i/>
          <w:iCs/>
        </w:rPr>
        <w:t xml:space="preserve">Journal of Theoretical Biology</w:t>
      </w:r>
      <w:r>
        <w:t xml:space="preserve"> </w:t>
      </w:r>
      <w:r>
        <w:rPr>
          <w:b/>
          <w:bCs/>
        </w:rPr>
        <w:t xml:space="preserve">490</w:t>
      </w:r>
      <w:r>
        <w:t xml:space="preserve">, 110162 (2020).</w:t>
      </w:r>
    </w:p>
    <w:bookmarkEnd w:id="145"/>
    <w:bookmarkStart w:id="147" w:name="ref-lasri2020"/>
    <w:p>
      <w:pPr>
        <w:pStyle w:val="Bibliography"/>
      </w:pPr>
      <w:r>
        <w:t xml:space="preserve">41.</w:t>
      </w:r>
      <w:r>
        <w:t xml:space="preserve"> </w:t>
      </w:r>
      <w:r>
        <w:t xml:space="preserve">	</w:t>
      </w:r>
      <w:r>
        <w:t xml:space="preserve">Lasri, A.</w:t>
      </w:r>
      <w:r>
        <w:t xml:space="preserve"> </w:t>
      </w:r>
      <w:r>
        <w:rPr>
          <w:i/>
          <w:iCs/>
        </w:rPr>
        <w:t xml:space="preserve">et al.</w:t>
      </w:r>
      <w:r>
        <w:t xml:space="preserve"> </w:t>
      </w:r>
      <w:hyperlink r:id="rId146">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47"/>
    <w:bookmarkStart w:id="149" w:name="ref-corigliano2025"/>
    <w:p>
      <w:pPr>
        <w:pStyle w:val="Bibliography"/>
      </w:pPr>
      <w:r>
        <w:t xml:space="preserve">42.</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48">
        <w:r>
          <w:rPr>
            <w:rStyle w:val="Hyperlink"/>
          </w:rPr>
          <w:t xml:space="preserve">https://doi.org/10.1103/mh5v-lcyw</w:t>
        </w:r>
      </w:hyperlink>
      <w:r>
        <w:t xml:space="preserve"> </w:t>
      </w:r>
      <w:r>
        <w:t xml:space="preserve">(2025) doi:</w:t>
      </w:r>
      <w:hyperlink r:id="rId148">
        <w:r>
          <w:rPr>
            <w:rStyle w:val="Hyperlink"/>
          </w:rPr>
          <w:t xml:space="preserve">10.1103/mh5v-lcyw</w:t>
        </w:r>
      </w:hyperlink>
      <w:r>
        <w:t xml:space="preserve">.</w:t>
      </w:r>
    </w:p>
    <w:bookmarkEnd w:id="149"/>
    <w:bookmarkStart w:id="151" w:name="ref-bernton2019"/>
    <w:p>
      <w:pPr>
        <w:pStyle w:val="Bibliography"/>
      </w:pPr>
      <w:r>
        <w:t xml:space="preserve">43.</w:t>
      </w:r>
      <w:r>
        <w:t xml:space="preserve"> </w:t>
      </w:r>
      <w:r>
        <w:t xml:space="preserve">	</w:t>
      </w:r>
      <w:r>
        <w:t xml:space="preserve">Bernton, E., Jacob, P. E., Gerber, M. &amp; Robert, C. P.</w:t>
      </w:r>
      <w:r>
        <w:t xml:space="preserve"> </w:t>
      </w:r>
      <w:hyperlink r:id="rId150">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51"/>
    <w:bookmarkStart w:id="153" w:name="ref-sandler2015"/>
    <w:p>
      <w:pPr>
        <w:pStyle w:val="Bibliography"/>
      </w:pPr>
      <w:r>
        <w:t xml:space="preserve">44.</w:t>
      </w:r>
      <w:r>
        <w:t xml:space="preserve"> </w:t>
      </w:r>
      <w:r>
        <w:t xml:space="preserve">	</w:t>
      </w:r>
      <w:r>
        <w:t xml:space="preserve">Sandler, O.</w:t>
      </w:r>
      <w:r>
        <w:t xml:space="preserve"> </w:t>
      </w:r>
      <w:r>
        <w:rPr>
          <w:i/>
          <w:iCs/>
        </w:rPr>
        <w:t xml:space="preserve">et al.</w:t>
      </w:r>
      <w:r>
        <w:t xml:space="preserve"> </w:t>
      </w:r>
      <w:hyperlink r:id="rId152">
        <w:r>
          <w:rPr>
            <w:rStyle w:val="Hyperlink"/>
          </w:rPr>
          <w:t xml:space="preserve">Lineage correlations of single cell division time as a probe of cell-cycle dynamics</w:t>
        </w:r>
      </w:hyperlink>
      <w:r>
        <w:t xml:space="preserve">.</w:t>
      </w:r>
      <w:r>
        <w:t xml:space="preserve"> </w:t>
      </w:r>
      <w:r>
        <w:rPr>
          <w:i/>
          <w:iCs/>
        </w:rPr>
        <w:t xml:space="preserve">Nature</w:t>
      </w:r>
      <w:r>
        <w:t xml:space="preserve"> </w:t>
      </w:r>
      <w:r>
        <w:rPr>
          <w:b/>
          <w:bCs/>
        </w:rPr>
        <w:t xml:space="preserve">519</w:t>
      </w:r>
      <w:r>
        <w:t xml:space="preserve">, 468–471 (2015).</w:t>
      </w:r>
    </w:p>
    <w:bookmarkEnd w:id="153"/>
    <w:bookmarkStart w:id="155" w:name="ref-kuchen2020"/>
    <w:p>
      <w:pPr>
        <w:pStyle w:val="Bibliography"/>
      </w:pPr>
      <w:r>
        <w:t xml:space="preserve">45.</w:t>
      </w:r>
      <w:r>
        <w:t xml:space="preserve"> </w:t>
      </w:r>
      <w:r>
        <w:t xml:space="preserve">	</w:t>
      </w:r>
      <w:r>
        <w:t xml:space="preserve">Kuchen, E. E., Becker, N. B., Claudino, N. &amp; Höfer, T.</w:t>
      </w:r>
      <w:r>
        <w:t xml:space="preserve"> </w:t>
      </w:r>
      <w:hyperlink r:id="rId154">
        <w:r>
          <w:rPr>
            <w:rStyle w:val="Hyperlink"/>
          </w:rPr>
          <w:t xml:space="preserve">Hidden long-range memories of growth and cycle speed correlate cell cycles in lineage trees</w:t>
        </w:r>
      </w:hyperlink>
      <w:r>
        <w:t xml:space="preserve">.</w:t>
      </w:r>
      <w:r>
        <w:t xml:space="preserve"> </w:t>
      </w:r>
      <w:r>
        <w:rPr>
          <w:i/>
          <w:iCs/>
        </w:rPr>
        <w:t xml:space="preserve">eLife</w:t>
      </w:r>
      <w:r>
        <w:t xml:space="preserve"> </w:t>
      </w:r>
      <w:r>
        <w:rPr>
          <w:b/>
          <w:bCs/>
        </w:rPr>
        <w:t xml:space="preserve">9</w:t>
      </w:r>
      <w:r>
        <w:t xml:space="preserve">, e51002 (2020).</w:t>
      </w:r>
    </w:p>
    <w:bookmarkEnd w:id="155"/>
    <w:bookmarkStart w:id="157" w:name="ref-chakrabarti2018"/>
    <w:p>
      <w:pPr>
        <w:pStyle w:val="Bibliography"/>
      </w:pPr>
      <w:r>
        <w:t xml:space="preserve">46.</w:t>
      </w:r>
      <w:r>
        <w:t xml:space="preserve"> </w:t>
      </w:r>
      <w:r>
        <w:t xml:space="preserve">	</w:t>
      </w:r>
      <w:r>
        <w:t xml:space="preserve">Chakrabarti, S.</w:t>
      </w:r>
      <w:r>
        <w:t xml:space="preserve"> </w:t>
      </w:r>
      <w:r>
        <w:rPr>
          <w:i/>
          <w:iCs/>
        </w:rPr>
        <w:t xml:space="preserve">et al.</w:t>
      </w:r>
      <w:r>
        <w:t xml:space="preserve"> </w:t>
      </w:r>
      <w:hyperlink r:id="rId156">
        <w:r>
          <w:rPr>
            <w:rStyle w:val="Hyperlink"/>
          </w:rPr>
          <w:t xml:space="preserve">Hidden heterogeneity and circadian-controlled cell fate inferred from single cell lineages</w:t>
        </w:r>
      </w:hyperlink>
      <w:r>
        <w:t xml:space="preserve">.</w:t>
      </w:r>
      <w:r>
        <w:t xml:space="preserve"> </w:t>
      </w:r>
      <w:r>
        <w:rPr>
          <w:i/>
          <w:iCs/>
        </w:rPr>
        <w:t xml:space="preserve">Nature Communications</w:t>
      </w:r>
      <w:r>
        <w:t xml:space="preserve"> </w:t>
      </w:r>
      <w:r>
        <w:rPr>
          <w:b/>
          <w:bCs/>
        </w:rPr>
        <w:t xml:space="preserve">9</w:t>
      </w:r>
      <w:r>
        <w:t xml:space="preserve">, 5372 (2018).</w:t>
      </w:r>
    </w:p>
    <w:bookmarkEnd w:id="157"/>
    <w:bookmarkStart w:id="159" w:name="ref-algazi2020"/>
    <w:p>
      <w:pPr>
        <w:pStyle w:val="Bibliography"/>
      </w:pPr>
      <w:r>
        <w:t xml:space="preserve">47.</w:t>
      </w:r>
      <w:r>
        <w:t xml:space="preserve"> </w:t>
      </w:r>
      <w:r>
        <w:t xml:space="preserve">	</w:t>
      </w:r>
      <w:r>
        <w:t xml:space="preserve">Algazi, A. P.</w:t>
      </w:r>
      <w:r>
        <w:t xml:space="preserve"> </w:t>
      </w:r>
      <w:r>
        <w:rPr>
          <w:i/>
          <w:iCs/>
        </w:rPr>
        <w:t xml:space="preserve">et al.</w:t>
      </w:r>
      <w:r>
        <w:t xml:space="preserve"> </w:t>
      </w:r>
      <w:hyperlink r:id="rId158">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59"/>
    <w:bookmarkStart w:id="161" w:name="ref-zhang2017adaptive"/>
    <w:p>
      <w:pPr>
        <w:pStyle w:val="Bibliography"/>
      </w:pPr>
      <w:r>
        <w:t xml:space="preserve">48.</w:t>
      </w:r>
      <w:r>
        <w:t xml:space="preserve"> </w:t>
      </w:r>
      <w:r>
        <w:t xml:space="preserve">	</w:t>
      </w:r>
      <w:r>
        <w:t xml:space="preserve">Zhang, J., Cunningham, J. J., Brown, J. S. &amp; Gatenby, R. A.</w:t>
      </w:r>
      <w:r>
        <w:t xml:space="preserve"> </w:t>
      </w:r>
      <w:hyperlink r:id="rId160">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61"/>
    <w:bookmarkStart w:id="163" w:name="ref-dasthakur2013"/>
    <w:p>
      <w:pPr>
        <w:pStyle w:val="Bibliography"/>
      </w:pPr>
      <w:r>
        <w:t xml:space="preserve">49.</w:t>
      </w:r>
      <w:r>
        <w:t xml:space="preserve"> </w:t>
      </w:r>
      <w:r>
        <w:t xml:space="preserve">	</w:t>
      </w:r>
      <w:r>
        <w:t xml:space="preserve">Das Thakur, M.</w:t>
      </w:r>
      <w:r>
        <w:t xml:space="preserve"> </w:t>
      </w:r>
      <w:r>
        <w:rPr>
          <w:i/>
          <w:iCs/>
        </w:rPr>
        <w:t xml:space="preserve">et al.</w:t>
      </w:r>
      <w:r>
        <w:t xml:space="preserve"> </w:t>
      </w:r>
      <w:hyperlink r:id="rId162">
        <w:r>
          <w:rPr>
            <w:rStyle w:val="Hyperlink"/>
          </w:rPr>
          <w:t xml:space="preserve">Modelling vemurafenib resistance in melanoma reveals a strategy to forestall drug resistance</w:t>
        </w:r>
      </w:hyperlink>
      <w:r>
        <w:t xml:space="preserve">.</w:t>
      </w:r>
      <w:r>
        <w:t xml:space="preserve"> </w:t>
      </w:r>
      <w:r>
        <w:rPr>
          <w:i/>
          <w:iCs/>
        </w:rPr>
        <w:t xml:space="preserve">Nature</w:t>
      </w:r>
      <w:r>
        <w:t xml:space="preserve"> </w:t>
      </w:r>
      <w:r>
        <w:rPr>
          <w:b/>
          <w:bCs/>
        </w:rPr>
        <w:t xml:space="preserve">494</w:t>
      </w:r>
      <w:r>
        <w:t xml:space="preserve">, 251–255 (2013).</w:t>
      </w:r>
    </w:p>
    <w:bookmarkEnd w:id="163"/>
    <w:bookmarkStart w:id="165" w:name="ref-strobl2021"/>
    <w:p>
      <w:pPr>
        <w:pStyle w:val="Bibliography"/>
      </w:pPr>
      <w:r>
        <w:t xml:space="preserve">50.</w:t>
      </w:r>
      <w:r>
        <w:t xml:space="preserve"> </w:t>
      </w:r>
      <w:r>
        <w:t xml:space="preserve">	</w:t>
      </w:r>
      <w:r>
        <w:t xml:space="preserve">Strobl, M. A. R.</w:t>
      </w:r>
      <w:r>
        <w:t xml:space="preserve"> </w:t>
      </w:r>
      <w:r>
        <w:rPr>
          <w:i/>
          <w:iCs/>
        </w:rPr>
        <w:t xml:space="preserve">et al.</w:t>
      </w:r>
      <w:r>
        <w:t xml:space="preserve"> </w:t>
      </w:r>
      <w:hyperlink r:id="rId164">
        <w:r>
          <w:rPr>
            <w:rStyle w:val="Hyperlink"/>
          </w:rPr>
          <w:t xml:space="preserve">Turnover modulates the need for a cost of resistance in adaptive therapy</w:t>
        </w:r>
      </w:hyperlink>
      <w:r>
        <w:t xml:space="preserve">.</w:t>
      </w:r>
      <w:r>
        <w:t xml:space="preserve"> </w:t>
      </w:r>
      <w:r>
        <w:rPr>
          <w:i/>
          <w:iCs/>
        </w:rPr>
        <w:t xml:space="preserve">Cancer Research</w:t>
      </w:r>
      <w:r>
        <w:t xml:space="preserve"> </w:t>
      </w:r>
      <w:r>
        <w:rPr>
          <w:b/>
          <w:bCs/>
        </w:rPr>
        <w:t xml:space="preserve">81</w:t>
      </w:r>
      <w:r>
        <w:t xml:space="preserve">, 1135–1147 (2021).</w:t>
      </w:r>
    </w:p>
    <w:bookmarkEnd w:id="165"/>
    <w:bookmarkStart w:id="167" w:name="ref-gilbert2013"/>
    <w:p>
      <w:pPr>
        <w:pStyle w:val="Bibliography"/>
      </w:pPr>
      <w:r>
        <w:t xml:space="preserve">51.</w:t>
      </w:r>
      <w:r>
        <w:t xml:space="preserve"> </w:t>
      </w:r>
      <w:r>
        <w:t xml:space="preserve">	</w:t>
      </w:r>
      <w:r>
        <w:t xml:space="preserve">Gilbert, M. R.</w:t>
      </w:r>
      <w:r>
        <w:t xml:space="preserve"> </w:t>
      </w:r>
      <w:r>
        <w:rPr>
          <w:i/>
          <w:iCs/>
        </w:rPr>
        <w:t xml:space="preserve">et al.</w:t>
      </w:r>
      <w:r>
        <w:t xml:space="preserve"> </w:t>
      </w:r>
      <w:hyperlink r:id="rId166">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67"/>
    <w:bookmarkStart w:id="169" w:name="ref-ostermann2004"/>
    <w:p>
      <w:pPr>
        <w:pStyle w:val="Bibliography"/>
      </w:pPr>
      <w:r>
        <w:t xml:space="preserve">52.</w:t>
      </w:r>
      <w:r>
        <w:t xml:space="preserve"> </w:t>
      </w:r>
      <w:r>
        <w:t xml:space="preserve">	</w:t>
      </w:r>
      <w:r>
        <w:t xml:space="preserve">Ostermann, S.</w:t>
      </w:r>
      <w:r>
        <w:t xml:space="preserve"> </w:t>
      </w:r>
      <w:r>
        <w:rPr>
          <w:i/>
          <w:iCs/>
        </w:rPr>
        <w:t xml:space="preserve">et al.</w:t>
      </w:r>
      <w:r>
        <w:t xml:space="preserve"> </w:t>
      </w:r>
      <w:hyperlink r:id="rId168">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69"/>
    <w:bookmarkStart w:id="171" w:name="ref-rudek2004"/>
    <w:p>
      <w:pPr>
        <w:pStyle w:val="Bibliography"/>
      </w:pPr>
      <w:r>
        <w:t xml:space="preserve">53.</w:t>
      </w:r>
      <w:r>
        <w:t xml:space="preserve"> </w:t>
      </w:r>
      <w:r>
        <w:t xml:space="preserve">	</w:t>
      </w:r>
      <w:r>
        <w:t xml:space="preserve">Rudek, M. A.</w:t>
      </w:r>
      <w:r>
        <w:t xml:space="preserve"> </w:t>
      </w:r>
      <w:r>
        <w:rPr>
          <w:i/>
          <w:iCs/>
        </w:rPr>
        <w:t xml:space="preserve">et al.</w:t>
      </w:r>
      <w:r>
        <w:t xml:space="preserve"> </w:t>
      </w:r>
      <w:hyperlink r:id="rId170">
        <w:r>
          <w:rPr>
            <w:rStyle w:val="Hyperlink"/>
          </w:rPr>
          <w:t xml:space="preserve">Temozolomide in patients with advanced cancer: Phase</w:t>
        </w:r>
        <w:r>
          <w:rPr>
            <w:rStyle w:val="Hyperlink"/>
          </w:rPr>
          <w:t xml:space="preserve"> </w:t>
        </w:r>
        <w:r>
          <w:rPr>
            <w:rStyle w:val="Hyperlink"/>
          </w:rPr>
          <w:t xml:space="preserve">I</w:t>
        </w:r>
        <w:r>
          <w:rPr>
            <w:rStyle w:val="Hyperlink"/>
          </w:rPr>
          <w:t xml:space="preserve"> </w:t>
        </w:r>
        <w:r>
          <w:rPr>
            <w:rStyle w:val="Hyperlink"/>
          </w:rPr>
          <w:t xml:space="preserve">and pharmacokinetic study</w:t>
        </w:r>
      </w:hyperlink>
      <w:r>
        <w:t xml:space="preserve">.</w:t>
      </w:r>
      <w:r>
        <w:t xml:space="preserve"> </w:t>
      </w:r>
      <w:r>
        <w:rPr>
          <w:i/>
          <w:iCs/>
        </w:rPr>
        <w:t xml:space="preserve">Pharmacotherapy</w:t>
      </w:r>
      <w:r>
        <w:t xml:space="preserve"> </w:t>
      </w:r>
      <w:r>
        <w:rPr>
          <w:b/>
          <w:bCs/>
        </w:rPr>
        <w:t xml:space="preserve">24</w:t>
      </w:r>
      <w:r>
        <w:t xml:space="preserve">, 16–25 (2004).</w:t>
      </w:r>
    </w:p>
    <w:bookmarkEnd w:id="171"/>
    <w:bookmarkStart w:id="173" w:name="ref-tolcher2003"/>
    <w:p>
      <w:pPr>
        <w:pStyle w:val="Bibliography"/>
      </w:pPr>
      <w:r>
        <w:t xml:space="preserve">54.</w:t>
      </w:r>
      <w:r>
        <w:t xml:space="preserve"> </w:t>
      </w:r>
      <w:r>
        <w:t xml:space="preserve">	</w:t>
      </w:r>
      <w:r>
        <w:t xml:space="preserve">Tolcher, A. W.</w:t>
      </w:r>
      <w:r>
        <w:t xml:space="preserve"> </w:t>
      </w:r>
      <w:r>
        <w:rPr>
          <w:i/>
          <w:iCs/>
        </w:rPr>
        <w:t xml:space="preserve">et al.</w:t>
      </w:r>
      <w:r>
        <w:t xml:space="preserve"> </w:t>
      </w:r>
      <w:hyperlink r:id="rId172">
        <w:r>
          <w:rPr>
            <w:rStyle w:val="Hyperlink"/>
          </w:rPr>
          <w:t xml:space="preserve">Marked inactivation of</w:t>
        </w:r>
        <w:r>
          <w:rPr>
            <w:rStyle w:val="Hyperlink"/>
          </w:rPr>
          <w:t xml:space="preserve"> </w:t>
        </w:r>
        <w:r>
          <w:rPr>
            <w:rStyle w:val="Hyperlink"/>
          </w:rPr>
          <w:t xml:space="preserve">O6-alkylguanine-DNA</w:t>
        </w:r>
        <w:r>
          <w:rPr>
            <w:rStyle w:val="Hyperlink"/>
          </w:rPr>
          <w:t xml:space="preserve"> </w:t>
        </w:r>
        <w:r>
          <w:rPr>
            <w:rStyle w:val="Hyperlink"/>
          </w:rPr>
          <w:t xml:space="preserve">alkyltransferase activity with protracted temozolomide schedules</w:t>
        </w:r>
      </w:hyperlink>
      <w:r>
        <w:t xml:space="preserve">.</w:t>
      </w:r>
      <w:r>
        <w:t xml:space="preserve"> </w:t>
      </w:r>
      <w:r>
        <w:rPr>
          <w:i/>
          <w:iCs/>
        </w:rPr>
        <w:t xml:space="preserve">British Journal of Cancer</w:t>
      </w:r>
      <w:r>
        <w:t xml:space="preserve"> </w:t>
      </w:r>
      <w:r>
        <w:rPr>
          <w:b/>
          <w:bCs/>
        </w:rPr>
        <w:t xml:space="preserve">88</w:t>
      </w:r>
      <w:r>
        <w:t xml:space="preserve">, 1004–1011 (2003).</w:t>
      </w:r>
    </w:p>
    <w:bookmarkEnd w:id="173"/>
    <w:bookmarkStart w:id="175" w:name="ref-middleton2000"/>
    <w:p>
      <w:pPr>
        <w:pStyle w:val="Bibliography"/>
      </w:pPr>
      <w:r>
        <w:t xml:space="preserve">55.</w:t>
      </w:r>
      <w:r>
        <w:t xml:space="preserve"> </w:t>
      </w:r>
      <w:r>
        <w:t xml:space="preserve">	</w:t>
      </w:r>
      <w:r>
        <w:t xml:space="preserve">Middleton, M. R.</w:t>
      </w:r>
      <w:r>
        <w:t xml:space="preserve"> </w:t>
      </w:r>
      <w:r>
        <w:rPr>
          <w:i/>
          <w:iCs/>
        </w:rPr>
        <w:t xml:space="preserve">et al.</w:t>
      </w:r>
      <w:r>
        <w:t xml:space="preserve"> </w:t>
      </w:r>
      <w:hyperlink r:id="rId174">
        <w:r>
          <w:rPr>
            <w:rStyle w:val="Hyperlink"/>
          </w:rPr>
          <w:t xml:space="preserve">O6-methylguanine</w:t>
        </w:r>
        <w:r>
          <w:rPr>
            <w:rStyle w:val="Hyperlink"/>
          </w:rPr>
          <w:t xml:space="preserve"> </w:t>
        </w:r>
        <w:r>
          <w:rPr>
            <w:rStyle w:val="Hyperlink"/>
          </w:rPr>
          <w:t xml:space="preserve">formation, repair protein depletion and clinical outcome with a 4 hr schedule of temozolomide in the treatment of advanced melanoma: Results of a phase</w:t>
        </w:r>
        <w:r>
          <w:rPr>
            <w:rStyle w:val="Hyperlink"/>
          </w:rPr>
          <w:t xml:space="preserve"> </w:t>
        </w:r>
        <w:r>
          <w:rPr>
            <w:rStyle w:val="Hyperlink"/>
          </w:rPr>
          <w:t xml:space="preserve">II</w:t>
        </w:r>
        <w:r>
          <w:rPr>
            <w:rStyle w:val="Hyperlink"/>
          </w:rPr>
          <w:t xml:space="preserve"> </w:t>
        </w:r>
        <w:r>
          <w:rPr>
            <w:rStyle w:val="Hyperlink"/>
          </w:rPr>
          <w:t xml:space="preserve">study</w:t>
        </w:r>
      </w:hyperlink>
      <w:r>
        <w:t xml:space="preserve">.</w:t>
      </w:r>
      <w:r>
        <w:t xml:space="preserve"> </w:t>
      </w:r>
      <w:r>
        <w:rPr>
          <w:i/>
          <w:iCs/>
        </w:rPr>
        <w:t xml:space="preserve">International Journal of Cancer</w:t>
      </w:r>
      <w:r>
        <w:t xml:space="preserve"> </w:t>
      </w:r>
      <w:r>
        <w:rPr>
          <w:b/>
          <w:bCs/>
        </w:rPr>
        <w:t xml:space="preserve">88</w:t>
      </w:r>
      <w:r>
        <w:t xml:space="preserve">, 469–473 (2000).</w:t>
      </w:r>
    </w:p>
    <w:bookmarkEnd w:id="175"/>
    <w:bookmarkStart w:id="177" w:name="ref-robinson2010"/>
    <w:p>
      <w:pPr>
        <w:pStyle w:val="Bibliography"/>
      </w:pPr>
      <w:r>
        <w:t xml:space="preserve">56.</w:t>
      </w:r>
      <w:r>
        <w:t xml:space="preserve"> </w:t>
      </w:r>
      <w:r>
        <w:t xml:space="preserve">	</w:t>
      </w:r>
      <w:r>
        <w:t xml:space="preserve">Robinson, C. G.</w:t>
      </w:r>
      <w:r>
        <w:t xml:space="preserve"> </w:t>
      </w:r>
      <w:r>
        <w:rPr>
          <w:i/>
          <w:iCs/>
        </w:rPr>
        <w:t xml:space="preserve">et al.</w:t>
      </w:r>
      <w:r>
        <w:t xml:space="preserve"> </w:t>
      </w:r>
      <w:hyperlink r:id="rId176">
        <w:r>
          <w:rPr>
            <w:rStyle w:val="Hyperlink"/>
          </w:rPr>
          <w:t xml:space="preserve">Effect of alternative temozolomide schedules on glioblastoma</w:t>
        </w:r>
        <w:r>
          <w:rPr>
            <w:rStyle w:val="Hyperlink"/>
          </w:rPr>
          <w:t xml:space="preserve"> </w:t>
        </w:r>
        <w:r>
          <w:rPr>
            <w:rStyle w:val="Hyperlink"/>
          </w:rPr>
          <w:t xml:space="preserve">O6-methylguanine-DNA</w:t>
        </w:r>
        <w:r>
          <w:rPr>
            <w:rStyle w:val="Hyperlink"/>
          </w:rPr>
          <w:t xml:space="preserve"> </w:t>
        </w:r>
        <w:r>
          <w:rPr>
            <w:rStyle w:val="Hyperlink"/>
          </w:rPr>
          <w:t xml:space="preserve">methyltransferase activity and survival</w:t>
        </w:r>
      </w:hyperlink>
      <w:r>
        <w:t xml:space="preserve">.</w:t>
      </w:r>
      <w:r>
        <w:t xml:space="preserve"> </w:t>
      </w:r>
      <w:r>
        <w:rPr>
          <w:i/>
          <w:iCs/>
        </w:rPr>
        <w:t xml:space="preserve">British Journal of Cancer</w:t>
      </w:r>
      <w:r>
        <w:t xml:space="preserve"> </w:t>
      </w:r>
      <w:r>
        <w:rPr>
          <w:b/>
          <w:bCs/>
        </w:rPr>
        <w:t xml:space="preserve">103</w:t>
      </w:r>
      <w:r>
        <w:t xml:space="preserve">, 498–504 (2010).</w:t>
      </w:r>
    </w:p>
    <w:bookmarkEnd w:id="177"/>
    <w:bookmarkStart w:id="179" w:name="ref-gillespie1977"/>
    <w:p>
      <w:pPr>
        <w:pStyle w:val="Bibliography"/>
      </w:pPr>
      <w:r>
        <w:t xml:space="preserve">57.</w:t>
      </w:r>
      <w:r>
        <w:t xml:space="preserve"> </w:t>
      </w:r>
      <w:r>
        <w:t xml:space="preserve">	</w:t>
      </w:r>
      <w:r>
        <w:t xml:space="preserve">Gillespie, D. T.</w:t>
      </w:r>
      <w:r>
        <w:t xml:space="preserve"> </w:t>
      </w:r>
      <w:hyperlink r:id="rId178">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79"/>
    <w:bookmarkStart w:id="181" w:name="ref-gillespie2001"/>
    <w:p>
      <w:pPr>
        <w:pStyle w:val="Bibliography"/>
      </w:pPr>
      <w:r>
        <w:t xml:space="preserve">58.</w:t>
      </w:r>
      <w:r>
        <w:t xml:space="preserve"> </w:t>
      </w:r>
      <w:r>
        <w:t xml:space="preserve">	</w:t>
      </w:r>
      <w:r>
        <w:t xml:space="preserve">Gillespie, D. T.</w:t>
      </w:r>
      <w:r>
        <w:t xml:space="preserve"> </w:t>
      </w:r>
      <w:hyperlink r:id="rId180">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81"/>
    <w:bookmarkStart w:id="183" w:name="ref-cao2006"/>
    <w:p>
      <w:pPr>
        <w:pStyle w:val="Bibliography"/>
      </w:pPr>
      <w:r>
        <w:t xml:space="preserve">59.</w:t>
      </w:r>
      <w:r>
        <w:t xml:space="preserve"> </w:t>
      </w:r>
      <w:r>
        <w:t xml:space="preserve">	</w:t>
      </w:r>
      <w:r>
        <w:t xml:space="preserve">Cao, Y., Gillespie, D. T. &amp; Petzold, L. R.</w:t>
      </w:r>
      <w:r>
        <w:t xml:space="preserve"> </w:t>
      </w:r>
      <w:hyperlink r:id="rId182">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83"/>
    <w:bookmarkStart w:id="185" w:name="ref-cao2005"/>
    <w:p>
      <w:pPr>
        <w:pStyle w:val="Bibliography"/>
      </w:pPr>
      <w:r>
        <w:t xml:space="preserve">60.</w:t>
      </w:r>
      <w:r>
        <w:t xml:space="preserve"> </w:t>
      </w:r>
      <w:r>
        <w:t xml:space="preserve">	</w:t>
      </w:r>
      <w:r>
        <w:t xml:space="preserve">Cao, Y., Gillespie, D. T. &amp; Petzold, L. R.</w:t>
      </w:r>
      <w:r>
        <w:t xml:space="preserve"> </w:t>
      </w:r>
      <w:hyperlink r:id="rId184">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85"/>
    <w:bookmarkStart w:id="187" w:name="ref-shaffer2020"/>
    <w:p>
      <w:pPr>
        <w:pStyle w:val="Bibliography"/>
      </w:pPr>
      <w:r>
        <w:t xml:space="preserve">61.</w:t>
      </w:r>
      <w:r>
        <w:t xml:space="preserve"> </w:t>
      </w:r>
      <w:r>
        <w:t xml:space="preserve">	</w:t>
      </w:r>
      <w:r>
        <w:t xml:space="preserve">Shaffer, S. M.</w:t>
      </w:r>
      <w:r>
        <w:t xml:space="preserve"> </w:t>
      </w:r>
      <w:r>
        <w:rPr>
          <w:i/>
          <w:iCs/>
        </w:rPr>
        <w:t xml:space="preserve">et al.</w:t>
      </w:r>
      <w:r>
        <w:t xml:space="preserve"> </w:t>
      </w:r>
      <w:hyperlink r:id="rId186">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87"/>
    <w:bookmarkStart w:id="189" w:name="ref-toni2009"/>
    <w:p>
      <w:pPr>
        <w:pStyle w:val="Bibliography"/>
      </w:pPr>
      <w:r>
        <w:t xml:space="preserve">62.</w:t>
      </w:r>
      <w:r>
        <w:t xml:space="preserve"> </w:t>
      </w:r>
      <w:r>
        <w:t xml:space="preserve">	</w:t>
      </w:r>
      <w:r>
        <w:t xml:space="preserve">Toni, T., Welch, D., Strelkowa, N., Ipsen, A. &amp; Stumpf, M. P. H.</w:t>
      </w:r>
      <w:r>
        <w:t xml:space="preserve"> </w:t>
      </w:r>
      <w:hyperlink r:id="rId188">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89"/>
    <w:bookmarkStart w:id="191" w:name="ref-ellingson2016"/>
    <w:p>
      <w:pPr>
        <w:pStyle w:val="Bibliography"/>
      </w:pPr>
      <w:r>
        <w:t xml:space="preserve">63.</w:t>
      </w:r>
      <w:r>
        <w:t xml:space="preserve"> </w:t>
      </w:r>
      <w:r>
        <w:t xml:space="preserve">	</w:t>
      </w:r>
      <w:r>
        <w:t xml:space="preserve">Ellingson, B. M.</w:t>
      </w:r>
      <w:r>
        <w:t xml:space="preserve"> </w:t>
      </w:r>
      <w:r>
        <w:rPr>
          <w:i/>
          <w:iCs/>
        </w:rPr>
        <w:t xml:space="preserve">et al.</w:t>
      </w:r>
      <w:r>
        <w:t xml:space="preserve"> </w:t>
      </w:r>
      <w:hyperlink r:id="rId190">
        <w:r>
          <w:rPr>
            <w:rStyle w:val="Hyperlink"/>
          </w:rPr>
          <w:t xml:space="preserve">Contrast-enhancing tumor growth dynamics of preoperative, treatment-naive human glioblastoma</w:t>
        </w:r>
      </w:hyperlink>
      <w:r>
        <w:t xml:space="preserve">.</w:t>
      </w:r>
      <w:r>
        <w:t xml:space="preserve"> </w:t>
      </w:r>
      <w:r>
        <w:rPr>
          <w:i/>
          <w:iCs/>
        </w:rPr>
        <w:t xml:space="preserve">Cancer</w:t>
      </w:r>
      <w:r>
        <w:t xml:space="preserve"> </w:t>
      </w:r>
      <w:r>
        <w:rPr>
          <w:b/>
          <w:bCs/>
        </w:rPr>
        <w:t xml:space="preserve">122</w:t>
      </w:r>
      <w:r>
        <w:t xml:space="preserve">, 1718–1727 (2016).</w:t>
      </w:r>
    </w:p>
    <w:bookmarkEnd w:id="191"/>
    <w:bookmarkStart w:id="193" w:name="ref-stensjoen2015"/>
    <w:p>
      <w:pPr>
        <w:pStyle w:val="Bibliography"/>
      </w:pPr>
      <w:r>
        <w:t xml:space="preserve">64.</w:t>
      </w:r>
      <w:r>
        <w:t xml:space="preserve"> </w:t>
      </w:r>
      <w:r>
        <w:t xml:space="preserve">	</w:t>
      </w:r>
      <w:r>
        <w:t xml:space="preserve">Stensjøen, A. L.</w:t>
      </w:r>
      <w:r>
        <w:t xml:space="preserve"> </w:t>
      </w:r>
      <w:r>
        <w:rPr>
          <w:i/>
          <w:iCs/>
        </w:rPr>
        <w:t xml:space="preserve">et al.</w:t>
      </w:r>
      <w:r>
        <w:t xml:space="preserve"> </w:t>
      </w:r>
      <w:hyperlink r:id="rId192">
        <w:r>
          <w:rPr>
            <w:rStyle w:val="Hyperlink"/>
          </w:rPr>
          <w:t xml:space="preserve">Growth dynamics of untreated glioblastomas in vivo</w:t>
        </w:r>
      </w:hyperlink>
      <w:r>
        <w:t xml:space="preserve">.</w:t>
      </w:r>
      <w:r>
        <w:t xml:space="preserve"> </w:t>
      </w:r>
      <w:r>
        <w:rPr>
          <w:i/>
          <w:iCs/>
        </w:rPr>
        <w:t xml:space="preserve">Neuro-Oncology</w:t>
      </w:r>
      <w:r>
        <w:t xml:space="preserve"> </w:t>
      </w:r>
      <w:r>
        <w:rPr>
          <w:b/>
          <w:bCs/>
        </w:rPr>
        <w:t xml:space="preserve">17</w:t>
      </w:r>
      <w:r>
        <w:t xml:space="preserve">, 1402–1411 (2015).</w:t>
      </w:r>
    </w:p>
    <w:bookmarkEnd w:id="193"/>
    <w:bookmarkStart w:id="195" w:name="ref-friedman2006"/>
    <w:p>
      <w:pPr>
        <w:pStyle w:val="Bibliography"/>
      </w:pPr>
      <w:r>
        <w:t xml:space="preserve">65.</w:t>
      </w:r>
      <w:r>
        <w:t xml:space="preserve"> </w:t>
      </w:r>
      <w:r>
        <w:t xml:space="preserve">	</w:t>
      </w:r>
      <w:r>
        <w:t xml:space="preserve">Friedman, N., Cai, L. &amp; Xie, X. S.</w:t>
      </w:r>
      <w:r>
        <w:t xml:space="preserve"> </w:t>
      </w:r>
      <w:hyperlink r:id="rId194">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95"/>
    <w:bookmarkStart w:id="197" w:name="ref-shahrezaei2008"/>
    <w:p>
      <w:pPr>
        <w:pStyle w:val="Bibliography"/>
      </w:pPr>
      <w:r>
        <w:t xml:space="preserve">66.</w:t>
      </w:r>
      <w:r>
        <w:t xml:space="preserve"> </w:t>
      </w:r>
      <w:r>
        <w:t xml:space="preserve">	</w:t>
      </w:r>
      <w:r>
        <w:t xml:space="preserve">Shahrezaei, V. &amp; Swain, P. S.</w:t>
      </w:r>
      <w:r>
        <w:t xml:space="preserve"> </w:t>
      </w:r>
      <w:hyperlink r:id="rId196">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97"/>
    <w:bookmarkStart w:id="199" w:name="ref-sciml"/>
    <w:p>
      <w:pPr>
        <w:pStyle w:val="Bibliography"/>
      </w:pPr>
      <w:r>
        <w:t xml:space="preserve">67.</w:t>
      </w:r>
      <w:r>
        <w:t xml:space="preserve"> </w:t>
      </w:r>
      <w:r>
        <w:t xml:space="preserve">	</w:t>
      </w:r>
      <w:r>
        <w:t xml:space="preserve">Rackauckas, C. &amp; Nie, Q.</w:t>
      </w:r>
      <w:r>
        <w:t xml:space="preserve"> </w:t>
      </w:r>
      <w:hyperlink r:id="rId198">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99"/>
    <w:bookmarkStart w:id="201" w:name="ref-huh2011"/>
    <w:p>
      <w:pPr>
        <w:pStyle w:val="Bibliography"/>
      </w:pPr>
      <w:r>
        <w:t xml:space="preserve">68.</w:t>
      </w:r>
      <w:r>
        <w:t xml:space="preserve"> </w:t>
      </w:r>
      <w:r>
        <w:t xml:space="preserve">	</w:t>
      </w:r>
      <w:r>
        <w:t xml:space="preserve">Huh, D. &amp; Paulsson, J.</w:t>
      </w:r>
      <w:r>
        <w:t xml:space="preserve"> </w:t>
      </w:r>
      <w:hyperlink r:id="rId200">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201"/>
    <w:bookmarkStart w:id="203" w:name="ref-huynhthu2010"/>
    <w:p>
      <w:pPr>
        <w:pStyle w:val="Bibliography"/>
      </w:pPr>
      <w:r>
        <w:t xml:space="preserve">69.</w:t>
      </w:r>
      <w:r>
        <w:t xml:space="preserve"> </w:t>
      </w:r>
      <w:r>
        <w:t xml:space="preserve">	</w:t>
      </w:r>
      <w:r>
        <w:t xml:space="preserve">Huynh-Thu, V. A., Irrthum, A., Wehenkel, L. &amp; Geurts, P.</w:t>
      </w:r>
      <w:r>
        <w:t xml:space="preserve"> </w:t>
      </w:r>
      <w:hyperlink r:id="rId202">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203"/>
    <w:bookmarkStart w:id="205" w:name="ref-vandijk2018"/>
    <w:p>
      <w:pPr>
        <w:pStyle w:val="Bibliography"/>
      </w:pPr>
      <w:r>
        <w:t xml:space="preserve">70.</w:t>
      </w:r>
      <w:r>
        <w:t xml:space="preserve"> </w:t>
      </w:r>
      <w:r>
        <w:t xml:space="preserve">	</w:t>
      </w:r>
      <w:r>
        <w:t xml:space="preserve">Dijk, D. van</w:t>
      </w:r>
      <w:r>
        <w:t xml:space="preserve"> </w:t>
      </w:r>
      <w:r>
        <w:rPr>
          <w:i/>
          <w:iCs/>
        </w:rPr>
        <w:t xml:space="preserve">et al.</w:t>
      </w:r>
      <w:r>
        <w:t xml:space="preserve"> </w:t>
      </w:r>
      <w:hyperlink r:id="rId204">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205"/>
    <w:bookmarkStart w:id="207" w:name="ref-wagner2018"/>
    <w:p>
      <w:pPr>
        <w:pStyle w:val="Bibliography"/>
      </w:pPr>
      <w:r>
        <w:t xml:space="preserve">71.</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206">
        <w:r>
          <w:rPr>
            <w:rStyle w:val="Hyperlink"/>
          </w:rPr>
          <w:t xml:space="preserve">https://doi.org/10.1101/217737</w:t>
        </w:r>
      </w:hyperlink>
      <w:r>
        <w:t xml:space="preserve"> </w:t>
      </w:r>
      <w:r>
        <w:t xml:space="preserve">(2018) doi:</w:t>
      </w:r>
      <w:hyperlink r:id="rId206">
        <w:r>
          <w:rPr>
            <w:rStyle w:val="Hyperlink"/>
          </w:rPr>
          <w:t xml:space="preserve">10.1101/217737</w:t>
        </w:r>
      </w:hyperlink>
      <w:r>
        <w:t xml:space="preserve">.</w:t>
      </w:r>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174" Target="https://doi.org/10.1002/1097-0215(20001101)88:3&lt;469::AID-IJC21&gt;3.0.CO;2-7" TargetMode="External" /><Relationship Type="http://schemas.openxmlformats.org/officeDocument/2006/relationships/hyperlink" Id="rId190" Target="https://doi.org/10.1002/cncr.29957" TargetMode="External" /><Relationship Type="http://schemas.openxmlformats.org/officeDocument/2006/relationships/hyperlink" Id="rId132" Target="https://doi.org/10.1006/tpbi.1995.1027" TargetMode="External" /><Relationship Type="http://schemas.openxmlformats.org/officeDocument/2006/relationships/hyperlink" Id="rId66" Target="https://doi.org/10.1016/j.cell.2010.02.027" TargetMode="External" /><Relationship Type="http://schemas.openxmlformats.org/officeDocument/2006/relationships/hyperlink" Id="rId204" Target="https://doi.org/10.1016/j.cell.2018.05.061" TargetMode="External" /><Relationship Type="http://schemas.openxmlformats.org/officeDocument/2006/relationships/hyperlink" Id="rId186" Target="https://doi.org/10.1016/j.cell.2020.07.003" TargetMode="External" /><Relationship Type="http://schemas.openxmlformats.org/officeDocument/2006/relationships/hyperlink" Id="rId96" Target="https://doi.org/10.1016/j.cell.2024.11.015" TargetMode="External" /><Relationship Type="http://schemas.openxmlformats.org/officeDocument/2006/relationships/hyperlink" Id="rId104" Target="https://doi.org/10.1016/j.cels.2020.08.003" TargetMode="External" /><Relationship Type="http://schemas.openxmlformats.org/officeDocument/2006/relationships/hyperlink" Id="rId78" Target="https://doi.org/10.1016/j.cels.2026.101621" TargetMode="External" /><Relationship Type="http://schemas.openxmlformats.org/officeDocument/2006/relationships/hyperlink" Id="rId136" Target="https://doi.org/10.1016/j.isci.2022.105746" TargetMode="External" /><Relationship Type="http://schemas.openxmlformats.org/officeDocument/2006/relationships/hyperlink" Id="rId144" Target="https://doi.org/10.1016/j.jtbi.2020.110162" TargetMode="External" /><Relationship Type="http://schemas.openxmlformats.org/officeDocument/2006/relationships/hyperlink" Id="rId178" Target="https://doi.org/10.1021/j100540a008" TargetMode="External" /><Relationship Type="http://schemas.openxmlformats.org/officeDocument/2006/relationships/hyperlink" Id="rId162" Target="https://doi.org/10.1038/nature11814" TargetMode="External" /><Relationship Type="http://schemas.openxmlformats.org/officeDocument/2006/relationships/hyperlink" Id="rId152" Target="https://doi.org/10.1038/nature14318" TargetMode="External" /><Relationship Type="http://schemas.openxmlformats.org/officeDocument/2006/relationships/hyperlink" Id="rId68" Target="https://doi.org/10.1038/nature22794" TargetMode="External" /><Relationship Type="http://schemas.openxmlformats.org/officeDocument/2006/relationships/hyperlink" Id="rId200" Target="https://doi.org/10.1038/ng.729" TargetMode="External" /><Relationship Type="http://schemas.openxmlformats.org/officeDocument/2006/relationships/hyperlink" Id="rId70" Target="https://doi.org/10.1038/nm.4040" TargetMode="External" /><Relationship Type="http://schemas.openxmlformats.org/officeDocument/2006/relationships/hyperlink" Id="rId160" Target="https://doi.org/10.1038/s41467-017-01968-5" TargetMode="External" /><Relationship Type="http://schemas.openxmlformats.org/officeDocument/2006/relationships/hyperlink" Id="rId156" Target="https://doi.org/10.1038/s41467-018-07788-5" TargetMode="External" /><Relationship Type="http://schemas.openxmlformats.org/officeDocument/2006/relationships/hyperlink" Id="rId100" Target="https://doi.org/10.1038/s41467-019-10500-w" TargetMode="External" /><Relationship Type="http://schemas.openxmlformats.org/officeDocument/2006/relationships/hyperlink" Id="rId106" Target="https://doi.org/10.1038/s41467-021-24152-2" TargetMode="External" /><Relationship Type="http://schemas.openxmlformats.org/officeDocument/2006/relationships/hyperlink" Id="rId82" Target="https://doi.org/10.1038/s41467-023-41811-8" TargetMode="External" /><Relationship Type="http://schemas.openxmlformats.org/officeDocument/2006/relationships/hyperlink" Id="rId110" Target="https://doi.org/10.1038/s41467-024-48516-6" TargetMode="External" /><Relationship Type="http://schemas.openxmlformats.org/officeDocument/2006/relationships/hyperlink" Id="rId128" Target="https://doi.org/10.1038/s41540-023-00314-4" TargetMode="External" /><Relationship Type="http://schemas.openxmlformats.org/officeDocument/2006/relationships/hyperlink" Id="rId72" Target="https://doi.org/10.1038/s41586-021-03796-6" TargetMode="External" /><Relationship Type="http://schemas.openxmlformats.org/officeDocument/2006/relationships/hyperlink" Id="rId74" Target="https://doi.org/10.1038/s41586-024-07690-9" TargetMode="External" /><Relationship Type="http://schemas.openxmlformats.org/officeDocument/2006/relationships/hyperlink" Id="rId140" Target="https://doi.org/10.1038/s41587-021-00837-3" TargetMode="External" /><Relationship Type="http://schemas.openxmlformats.org/officeDocument/2006/relationships/hyperlink" Id="rId102" Target="https://doi.org/10.1038/s41587-023-01772-1" TargetMode="External" /><Relationship Type="http://schemas.openxmlformats.org/officeDocument/2006/relationships/hyperlink" Id="rId142" Target="https://doi.org/10.1038/s41588-020-00749-z" TargetMode="External" /><Relationship Type="http://schemas.openxmlformats.org/officeDocument/2006/relationships/hyperlink" Id="rId158" Target="https://doi.org/10.1038/s41591-020-1060-8" TargetMode="External" /><Relationship Type="http://schemas.openxmlformats.org/officeDocument/2006/relationships/hyperlink" Id="rId116" Target="https://doi.org/10.1038/s41592-019-0690-6" TargetMode="External" /><Relationship Type="http://schemas.openxmlformats.org/officeDocument/2006/relationships/hyperlink" Id="rId108" Target="https://doi.org/10.1038/s41592-025-02651-0" TargetMode="External" /><Relationship Type="http://schemas.openxmlformats.org/officeDocument/2006/relationships/hyperlink" Id="rId90" Target="https://doi.org/10.1038/s41592-025-02772-6" TargetMode="External" /><Relationship Type="http://schemas.openxmlformats.org/officeDocument/2006/relationships/hyperlink" Id="rId172" Target="https://doi.org/10.1038/sj.bjc.6600827" TargetMode="External" /><Relationship Type="http://schemas.openxmlformats.org/officeDocument/2006/relationships/hyperlink" Id="rId176" Target="https://doi.org/10.1038/sj.bjc.6605792" TargetMode="External" /><Relationship Type="http://schemas.openxmlformats.org/officeDocument/2006/relationships/hyperlink" Id="rId180" Target="https://doi.org/10.1063/1.1378322" TargetMode="External" /><Relationship Type="http://schemas.openxmlformats.org/officeDocument/2006/relationships/hyperlink" Id="rId184" Target="https://doi.org/10.1063/1.1992473" TargetMode="External" /><Relationship Type="http://schemas.openxmlformats.org/officeDocument/2006/relationships/hyperlink" Id="rId182" Target="https://doi.org/10.1063/1.2159468" TargetMode="External" /><Relationship Type="http://schemas.openxmlformats.org/officeDocument/2006/relationships/hyperlink" Id="rId196" Target="https://doi.org/10.1073/pnas.0803850105" TargetMode="External" /><Relationship Type="http://schemas.openxmlformats.org/officeDocument/2006/relationships/hyperlink" Id="rId112" Target="https://doi.org/10.1093/nar/gkac235" TargetMode="External" /><Relationship Type="http://schemas.openxmlformats.org/officeDocument/2006/relationships/hyperlink" Id="rId84" Target="https://doi.org/10.1093/nar/gkaf295" TargetMode="External" /><Relationship Type="http://schemas.openxmlformats.org/officeDocument/2006/relationships/hyperlink" Id="rId192" Target="https://doi.org/10.1093/neuonc/nov029" TargetMode="External" /><Relationship Type="http://schemas.openxmlformats.org/officeDocument/2006/relationships/hyperlink" Id="rId188" Target="https://doi.org/10.1098/rsif.2008.0172" TargetMode="External" /><Relationship Type="http://schemas.openxmlformats.org/officeDocument/2006/relationships/hyperlink" Id="rId138" Target="https://doi.org/10.1098/rsif.2017.0467" TargetMode="External" /><Relationship Type="http://schemas.openxmlformats.org/officeDocument/2006/relationships/hyperlink" Id="rId124" Target="https://doi.org/10.1098/rsif.2021.0274" TargetMode="External" /><Relationship Type="http://schemas.openxmlformats.org/officeDocument/2006/relationships/hyperlink" Id="rId118" Target="https://doi.org/10.1098/rsos.172234" TargetMode="External" /><Relationship Type="http://schemas.openxmlformats.org/officeDocument/2006/relationships/hyperlink" Id="rId146" Target="https://doi.org/10.1098/rsos.191243" TargetMode="External" /><Relationship Type="http://schemas.openxmlformats.org/officeDocument/2006/relationships/hyperlink" Id="rId80" Target="https://doi.org/10.1101/2025.01.15.633183" TargetMode="External" /><Relationship Type="http://schemas.openxmlformats.org/officeDocument/2006/relationships/hyperlink" Id="rId206" Target="https://doi.org/10.1101/217737" TargetMode="External" /><Relationship Type="http://schemas.openxmlformats.org/officeDocument/2006/relationships/hyperlink" Id="rId134" Target="https://doi.org/10.1103/PhysRevE.101.032403" TargetMode="External" /><Relationship Type="http://schemas.openxmlformats.org/officeDocument/2006/relationships/hyperlink" Id="rId194" Target="https://doi.org/10.1103/PhysRevLett.97.168302" TargetMode="External" /><Relationship Type="http://schemas.openxmlformats.org/officeDocument/2006/relationships/hyperlink" Id="rId148" Target="https://doi.org/10.1103/mh5v-lcyw" TargetMode="External" /><Relationship Type="http://schemas.openxmlformats.org/officeDocument/2006/relationships/hyperlink" Id="rId150" Target="https://doi.org/10.1111/rssb.12312" TargetMode="External" /><Relationship Type="http://schemas.openxmlformats.org/officeDocument/2006/relationships/hyperlink" Id="rId122" Target="https://doi.org/10.1126/sciadv.adl4895" TargetMode="External" /><Relationship Type="http://schemas.openxmlformats.org/officeDocument/2006/relationships/hyperlink" Id="rId164" Target="https://doi.org/10.1158/0008-5472.CAN-20-0806" TargetMode="External" /><Relationship Type="http://schemas.openxmlformats.org/officeDocument/2006/relationships/hyperlink" Id="rId168" Target="https://doi.org/10.1158/1078-0432.CCR-03-0807" TargetMode="External" /><Relationship Type="http://schemas.openxmlformats.org/officeDocument/2006/relationships/hyperlink" Id="rId130" Target="https://doi.org/10.1186/s12859-022-04778-9" TargetMode="External" /><Relationship Type="http://schemas.openxmlformats.org/officeDocument/2006/relationships/hyperlink" Id="rId98" Target="https://doi.org/10.1186/s13059-017-1305-0" TargetMode="External" /><Relationship Type="http://schemas.openxmlformats.org/officeDocument/2006/relationships/hyperlink" Id="rId114" Target="https://doi.org/10.1186/s13059-020-02000-8" TargetMode="External" /><Relationship Type="http://schemas.openxmlformats.org/officeDocument/2006/relationships/hyperlink" Id="rId166" Target="https://doi.org/10.1200/JCO.2013.49.6968" TargetMode="External" /><Relationship Type="http://schemas.openxmlformats.org/officeDocument/2006/relationships/hyperlink" Id="rId126" Target="https://doi.org/10.1371/journal.pcbi.1005991" TargetMode="External" /><Relationship Type="http://schemas.openxmlformats.org/officeDocument/2006/relationships/hyperlink" Id="rId86" Target="https://doi.org/10.1371/journal.pcbi.1013014" TargetMode="External" /><Relationship Type="http://schemas.openxmlformats.org/officeDocument/2006/relationships/hyperlink" Id="rId76" Target="https://doi.org/10.1371/journal.pcbi.1013446" TargetMode="External" /><Relationship Type="http://schemas.openxmlformats.org/officeDocument/2006/relationships/hyperlink" Id="rId120" Target="https://doi.org/10.1371/journal.pcbi.1014366" TargetMode="External" /><Relationship Type="http://schemas.openxmlformats.org/officeDocument/2006/relationships/hyperlink" Id="rId202" Target="https://doi.org/10.1371/journal.pone.0012776" TargetMode="External" /><Relationship Type="http://schemas.openxmlformats.org/officeDocument/2006/relationships/hyperlink" Id="rId170" Target="https://doi.org/10.1592/phco.24.1.16.34800" TargetMode="External" /><Relationship Type="http://schemas.openxmlformats.org/officeDocument/2006/relationships/hyperlink" Id="rId198" Target="https://doi.org/10.5334/jors.151" TargetMode="External" /><Relationship Type="http://schemas.openxmlformats.org/officeDocument/2006/relationships/hyperlink" Id="rId94" Target="https://doi.org/10.64898/2026.02.04.703804" TargetMode="External" /><Relationship Type="http://schemas.openxmlformats.org/officeDocument/2006/relationships/hyperlink" Id="rId88" Target="https://doi.org/10.64898/2026.04.14.718485" TargetMode="External" /><Relationship Type="http://schemas.openxmlformats.org/officeDocument/2006/relationships/hyperlink" Id="rId92" Target="https://doi.org/10.64898/2026.04.20.719650" TargetMode="External" /><Relationship Type="http://schemas.openxmlformats.org/officeDocument/2006/relationships/hyperlink" Id="rId154" Target="https://doi.org/10.7554/eLife.51002"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1097-0215(20001101)88:3&lt;469::AID-IJC21&gt;3.0.CO;2-7" TargetMode="External" /><Relationship Type="http://schemas.openxmlformats.org/officeDocument/2006/relationships/hyperlink" Id="rId190" Target="https://doi.org/10.1002/cncr.29957" TargetMode="External" /><Relationship Type="http://schemas.openxmlformats.org/officeDocument/2006/relationships/hyperlink" Id="rId132" Target="https://doi.org/10.1006/tpbi.1995.1027" TargetMode="External" /><Relationship Type="http://schemas.openxmlformats.org/officeDocument/2006/relationships/hyperlink" Id="rId66" Target="https://doi.org/10.1016/j.cell.2010.02.027" TargetMode="External" /><Relationship Type="http://schemas.openxmlformats.org/officeDocument/2006/relationships/hyperlink" Id="rId204" Target="https://doi.org/10.1016/j.cell.2018.05.061" TargetMode="External" /><Relationship Type="http://schemas.openxmlformats.org/officeDocument/2006/relationships/hyperlink" Id="rId186" Target="https://doi.org/10.1016/j.cell.2020.07.003" TargetMode="External" /><Relationship Type="http://schemas.openxmlformats.org/officeDocument/2006/relationships/hyperlink" Id="rId96" Target="https://doi.org/10.1016/j.cell.2024.11.015" TargetMode="External" /><Relationship Type="http://schemas.openxmlformats.org/officeDocument/2006/relationships/hyperlink" Id="rId104" Target="https://doi.org/10.1016/j.cels.2020.08.003" TargetMode="External" /><Relationship Type="http://schemas.openxmlformats.org/officeDocument/2006/relationships/hyperlink" Id="rId78" Target="https://doi.org/10.1016/j.cels.2026.101621" TargetMode="External" /><Relationship Type="http://schemas.openxmlformats.org/officeDocument/2006/relationships/hyperlink" Id="rId136" Target="https://doi.org/10.1016/j.isci.2022.105746" TargetMode="External" /><Relationship Type="http://schemas.openxmlformats.org/officeDocument/2006/relationships/hyperlink" Id="rId144" Target="https://doi.org/10.1016/j.jtbi.2020.110162" TargetMode="External" /><Relationship Type="http://schemas.openxmlformats.org/officeDocument/2006/relationships/hyperlink" Id="rId178" Target="https://doi.org/10.1021/j100540a008" TargetMode="External" /><Relationship Type="http://schemas.openxmlformats.org/officeDocument/2006/relationships/hyperlink" Id="rId162" Target="https://doi.org/10.1038/nature11814" TargetMode="External" /><Relationship Type="http://schemas.openxmlformats.org/officeDocument/2006/relationships/hyperlink" Id="rId152" Target="https://doi.org/10.1038/nature14318" TargetMode="External" /><Relationship Type="http://schemas.openxmlformats.org/officeDocument/2006/relationships/hyperlink" Id="rId68" Target="https://doi.org/10.1038/nature22794" TargetMode="External" /><Relationship Type="http://schemas.openxmlformats.org/officeDocument/2006/relationships/hyperlink" Id="rId200" Target="https://doi.org/10.1038/ng.729" TargetMode="External" /><Relationship Type="http://schemas.openxmlformats.org/officeDocument/2006/relationships/hyperlink" Id="rId70" Target="https://doi.org/10.1038/nm.4040" TargetMode="External" /><Relationship Type="http://schemas.openxmlformats.org/officeDocument/2006/relationships/hyperlink" Id="rId160" Target="https://doi.org/10.1038/s41467-017-01968-5" TargetMode="External" /><Relationship Type="http://schemas.openxmlformats.org/officeDocument/2006/relationships/hyperlink" Id="rId156" Target="https://doi.org/10.1038/s41467-018-07788-5" TargetMode="External" /><Relationship Type="http://schemas.openxmlformats.org/officeDocument/2006/relationships/hyperlink" Id="rId100" Target="https://doi.org/10.1038/s41467-019-10500-w" TargetMode="External" /><Relationship Type="http://schemas.openxmlformats.org/officeDocument/2006/relationships/hyperlink" Id="rId106" Target="https://doi.org/10.1038/s41467-021-24152-2" TargetMode="External" /><Relationship Type="http://schemas.openxmlformats.org/officeDocument/2006/relationships/hyperlink" Id="rId82" Target="https://doi.org/10.1038/s41467-023-41811-8" TargetMode="External" /><Relationship Type="http://schemas.openxmlformats.org/officeDocument/2006/relationships/hyperlink" Id="rId110" Target="https://doi.org/10.1038/s41467-024-48516-6" TargetMode="External" /><Relationship Type="http://schemas.openxmlformats.org/officeDocument/2006/relationships/hyperlink" Id="rId128" Target="https://doi.org/10.1038/s41540-023-00314-4" TargetMode="External" /><Relationship Type="http://schemas.openxmlformats.org/officeDocument/2006/relationships/hyperlink" Id="rId72" Target="https://doi.org/10.1038/s41586-021-03796-6" TargetMode="External" /><Relationship Type="http://schemas.openxmlformats.org/officeDocument/2006/relationships/hyperlink" Id="rId74" Target="https://doi.org/10.1038/s41586-024-07690-9" TargetMode="External" /><Relationship Type="http://schemas.openxmlformats.org/officeDocument/2006/relationships/hyperlink" Id="rId140" Target="https://doi.org/10.1038/s41587-021-00837-3" TargetMode="External" /><Relationship Type="http://schemas.openxmlformats.org/officeDocument/2006/relationships/hyperlink" Id="rId102" Target="https://doi.org/10.1038/s41587-023-01772-1" TargetMode="External" /><Relationship Type="http://schemas.openxmlformats.org/officeDocument/2006/relationships/hyperlink" Id="rId142" Target="https://doi.org/10.1038/s41588-020-00749-z" TargetMode="External" /><Relationship Type="http://schemas.openxmlformats.org/officeDocument/2006/relationships/hyperlink" Id="rId158" Target="https://doi.org/10.1038/s41591-020-1060-8" TargetMode="External" /><Relationship Type="http://schemas.openxmlformats.org/officeDocument/2006/relationships/hyperlink" Id="rId116" Target="https://doi.org/10.1038/s41592-019-0690-6" TargetMode="External" /><Relationship Type="http://schemas.openxmlformats.org/officeDocument/2006/relationships/hyperlink" Id="rId108" Target="https://doi.org/10.1038/s41592-025-02651-0" TargetMode="External" /><Relationship Type="http://schemas.openxmlformats.org/officeDocument/2006/relationships/hyperlink" Id="rId90" Target="https://doi.org/10.1038/s41592-025-02772-6" TargetMode="External" /><Relationship Type="http://schemas.openxmlformats.org/officeDocument/2006/relationships/hyperlink" Id="rId172" Target="https://doi.org/10.1038/sj.bjc.6600827" TargetMode="External" /><Relationship Type="http://schemas.openxmlformats.org/officeDocument/2006/relationships/hyperlink" Id="rId176" Target="https://doi.org/10.1038/sj.bjc.6605792" TargetMode="External" /><Relationship Type="http://schemas.openxmlformats.org/officeDocument/2006/relationships/hyperlink" Id="rId180" Target="https://doi.org/10.1063/1.1378322" TargetMode="External" /><Relationship Type="http://schemas.openxmlformats.org/officeDocument/2006/relationships/hyperlink" Id="rId184" Target="https://doi.org/10.1063/1.1992473" TargetMode="External" /><Relationship Type="http://schemas.openxmlformats.org/officeDocument/2006/relationships/hyperlink" Id="rId182" Target="https://doi.org/10.1063/1.2159468" TargetMode="External" /><Relationship Type="http://schemas.openxmlformats.org/officeDocument/2006/relationships/hyperlink" Id="rId196" Target="https://doi.org/10.1073/pnas.0803850105" TargetMode="External" /><Relationship Type="http://schemas.openxmlformats.org/officeDocument/2006/relationships/hyperlink" Id="rId112" Target="https://doi.org/10.1093/nar/gkac235" TargetMode="External" /><Relationship Type="http://schemas.openxmlformats.org/officeDocument/2006/relationships/hyperlink" Id="rId84" Target="https://doi.org/10.1093/nar/gkaf295" TargetMode="External" /><Relationship Type="http://schemas.openxmlformats.org/officeDocument/2006/relationships/hyperlink" Id="rId192" Target="https://doi.org/10.1093/neuonc/nov029" TargetMode="External" /><Relationship Type="http://schemas.openxmlformats.org/officeDocument/2006/relationships/hyperlink" Id="rId188" Target="https://doi.org/10.1098/rsif.2008.0172" TargetMode="External" /><Relationship Type="http://schemas.openxmlformats.org/officeDocument/2006/relationships/hyperlink" Id="rId138" Target="https://doi.org/10.1098/rsif.2017.0467" TargetMode="External" /><Relationship Type="http://schemas.openxmlformats.org/officeDocument/2006/relationships/hyperlink" Id="rId124" Target="https://doi.org/10.1098/rsif.2021.0274" TargetMode="External" /><Relationship Type="http://schemas.openxmlformats.org/officeDocument/2006/relationships/hyperlink" Id="rId118" Target="https://doi.org/10.1098/rsos.172234" TargetMode="External" /><Relationship Type="http://schemas.openxmlformats.org/officeDocument/2006/relationships/hyperlink" Id="rId146" Target="https://doi.org/10.1098/rsos.191243" TargetMode="External" /><Relationship Type="http://schemas.openxmlformats.org/officeDocument/2006/relationships/hyperlink" Id="rId80" Target="https://doi.org/10.1101/2025.01.15.633183" TargetMode="External" /><Relationship Type="http://schemas.openxmlformats.org/officeDocument/2006/relationships/hyperlink" Id="rId206" Target="https://doi.org/10.1101/217737" TargetMode="External" /><Relationship Type="http://schemas.openxmlformats.org/officeDocument/2006/relationships/hyperlink" Id="rId134" Target="https://doi.org/10.1103/PhysRevE.101.032403" TargetMode="External" /><Relationship Type="http://schemas.openxmlformats.org/officeDocument/2006/relationships/hyperlink" Id="rId194" Target="https://doi.org/10.1103/PhysRevLett.97.168302" TargetMode="External" /><Relationship Type="http://schemas.openxmlformats.org/officeDocument/2006/relationships/hyperlink" Id="rId148" Target="https://doi.org/10.1103/mh5v-lcyw" TargetMode="External" /><Relationship Type="http://schemas.openxmlformats.org/officeDocument/2006/relationships/hyperlink" Id="rId150" Target="https://doi.org/10.1111/rssb.12312" TargetMode="External" /><Relationship Type="http://schemas.openxmlformats.org/officeDocument/2006/relationships/hyperlink" Id="rId122" Target="https://doi.org/10.1126/sciadv.adl4895" TargetMode="External" /><Relationship Type="http://schemas.openxmlformats.org/officeDocument/2006/relationships/hyperlink" Id="rId164" Target="https://doi.org/10.1158/0008-5472.CAN-20-0806" TargetMode="External" /><Relationship Type="http://schemas.openxmlformats.org/officeDocument/2006/relationships/hyperlink" Id="rId168" Target="https://doi.org/10.1158/1078-0432.CCR-03-0807" TargetMode="External" /><Relationship Type="http://schemas.openxmlformats.org/officeDocument/2006/relationships/hyperlink" Id="rId130" Target="https://doi.org/10.1186/s12859-022-04778-9" TargetMode="External" /><Relationship Type="http://schemas.openxmlformats.org/officeDocument/2006/relationships/hyperlink" Id="rId98" Target="https://doi.org/10.1186/s13059-017-1305-0" TargetMode="External" /><Relationship Type="http://schemas.openxmlformats.org/officeDocument/2006/relationships/hyperlink" Id="rId114" Target="https://doi.org/10.1186/s13059-020-02000-8" TargetMode="External" /><Relationship Type="http://schemas.openxmlformats.org/officeDocument/2006/relationships/hyperlink" Id="rId166" Target="https://doi.org/10.1200/JCO.2013.49.6968" TargetMode="External" /><Relationship Type="http://schemas.openxmlformats.org/officeDocument/2006/relationships/hyperlink" Id="rId126" Target="https://doi.org/10.1371/journal.pcbi.1005991" TargetMode="External" /><Relationship Type="http://schemas.openxmlformats.org/officeDocument/2006/relationships/hyperlink" Id="rId86" Target="https://doi.org/10.1371/journal.pcbi.1013014" TargetMode="External" /><Relationship Type="http://schemas.openxmlformats.org/officeDocument/2006/relationships/hyperlink" Id="rId76" Target="https://doi.org/10.1371/journal.pcbi.1013446" TargetMode="External" /><Relationship Type="http://schemas.openxmlformats.org/officeDocument/2006/relationships/hyperlink" Id="rId120" Target="https://doi.org/10.1371/journal.pcbi.1014366" TargetMode="External" /><Relationship Type="http://schemas.openxmlformats.org/officeDocument/2006/relationships/hyperlink" Id="rId202" Target="https://doi.org/10.1371/journal.pone.0012776" TargetMode="External" /><Relationship Type="http://schemas.openxmlformats.org/officeDocument/2006/relationships/hyperlink" Id="rId170" Target="https://doi.org/10.1592/phco.24.1.16.34800" TargetMode="External" /><Relationship Type="http://schemas.openxmlformats.org/officeDocument/2006/relationships/hyperlink" Id="rId198" Target="https://doi.org/10.5334/jors.151" TargetMode="External" /><Relationship Type="http://schemas.openxmlformats.org/officeDocument/2006/relationships/hyperlink" Id="rId94" Target="https://doi.org/10.64898/2026.02.04.703804" TargetMode="External" /><Relationship Type="http://schemas.openxmlformats.org/officeDocument/2006/relationships/hyperlink" Id="rId88" Target="https://doi.org/10.64898/2026.04.14.718485" TargetMode="External" /><Relationship Type="http://schemas.openxmlformats.org/officeDocument/2006/relationships/hyperlink" Id="rId92" Target="https://doi.org/10.64898/2026.04.20.719650" TargetMode="External" /><Relationship Type="http://schemas.openxmlformats.org/officeDocument/2006/relationships/hyperlink" Id="rId154" Target="https://doi.org/10.7554/eLife.510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2026-09-20T12:48:05Z</dcterms:created>
  <dcterms:modified xsi:type="dcterms:W3CDTF">2026-09-20T12:48:05Z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so cannot generate such states. Here we present Biomodelling.jl 2.0, in which stochastic reaction kinetics run inside growing, dividing, drug-treated cells. Exact, hybrid and adaptive kernels couple to exponential growth, volume-scaled transcription, gene replication, division with binomial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With a built-in optimiser it reproduces the opposite rankings of intermittent dosing reported in a melanoma trial and in xenografts, and shows the ranking to turn on two measurable cell properties: growth under drug and fitness without it.</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Correspondence: alasri@berache.com</vt:lpwstr>
  </property>
</Properties>
</file>