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w:t>
      </w:r>
      <w:r>
        <w:t xml:space="preserve"> </w:t>
      </w:r>
      <w:r>
        <w:t xml:space="preserve">simulation</w:t>
      </w:r>
      <w:r>
        <w:t xml:space="preserve"> </w:t>
      </w:r>
      <w:r>
        <w:t xml:space="preserve">of</w:t>
      </w:r>
      <w:r>
        <w:t xml:space="preserve"> </w:t>
      </w:r>
      <w:r>
        <w:t xml:space="preserve">heritable</w:t>
      </w:r>
      <w:r>
        <w:t xml:space="preserve"> </w:t>
      </w:r>
      <w:r>
        <w:t xml:space="preserve">expression</w:t>
      </w:r>
      <w:r>
        <w:t xml:space="preserve"> </w:t>
      </w:r>
      <w:r>
        <w:t xml:space="preserve">states,</w:t>
      </w:r>
      <w:r>
        <w:t xml:space="preserve"> </w:t>
      </w:r>
      <w:r>
        <w:t xml:space="preserve">cell</w:t>
      </w:r>
      <w:r>
        <w:t xml:space="preserve"> </w:t>
      </w:r>
      <w:r>
        <w:t xml:space="preserve">division</w:t>
      </w:r>
      <w:r>
        <w:t xml:space="preserve"> </w:t>
      </w:r>
      <w:r>
        <w:t xml:space="preserve">and</w:t>
      </w:r>
      <w:r>
        <w:t xml:space="preserve"> </w:t>
      </w:r>
      <w:r>
        <w:t xml:space="preserve">drug</w:t>
      </w:r>
      <w:r>
        <w:t xml:space="preserve"> </w:t>
      </w:r>
      <w:r>
        <w:t xml:space="preserve">response</w:t>
      </w:r>
      <w:r>
        <w:t xml:space="preserve"> </w:t>
      </w:r>
      <w:r>
        <w:t xml:space="preserve">in</w:t>
      </w:r>
      <w:r>
        <w:t xml:space="preserve"> </w:t>
      </w:r>
      <w:r>
        <w:t xml:space="preserve">single-cell</w:t>
      </w:r>
      <w:r>
        <w:t xml:space="preserve"> </w:t>
      </w:r>
      <w:r>
        <w:t xml:space="preserve">populations</w:t>
      </w:r>
    </w:p>
    <w:p>
      <w:pPr>
        <w:pStyle w:val="Author"/>
      </w:pPr>
      <w:r>
        <w:t xml:space="preserve">Ayoub</w:t>
      </w:r>
      <w:r>
        <w:t xml:space="preserve"> </w:t>
      </w:r>
      <w:r>
        <w:t xml:space="preserve">Lasri</w:t>
      </w:r>
    </w:p>
    <w:p>
      <w:pPr>
        <w:pStyle w:val="Date"/>
      </w:pPr>
      <w:r>
        <w:t xml:space="preserve">Independent</w:t>
      </w:r>
      <w:r>
        <w:t xml:space="preserve"> </w:t>
      </w:r>
      <w:r>
        <w:t xml:space="preserve">researcher,</w:t>
      </w:r>
      <w:r>
        <w:t xml:space="preserve"> </w:t>
      </w:r>
      <w:r>
        <w:t xml:space="preserve">Dublin,</w:t>
      </w:r>
      <w:r>
        <w:t xml:space="preserve"> </w:t>
      </w:r>
      <w:r>
        <w:t xml:space="preserve">Ireland.</w:t>
      </w:r>
      <w:r>
        <w:t xml:space="preserve"> </w:t>
      </w:r>
      <w:r>
        <w:t xml:space="preserve">Correspondence:</w:t>
      </w:r>
      <w:r>
        <w:t xml:space="preserve"> </w:t>
      </w:r>
      <w:r>
        <w:t xml:space="preserve">alasri@berache.com</w:t>
      </w:r>
    </w:p>
    <w:p>
      <w:pPr>
        <w:pStyle w:val="AbstractTitle"/>
      </w:pPr>
      <w:r>
        <w:t xml:space="preserve">Abstract</w:t>
      </w:r>
    </w:p>
    <w:p>
      <w:pPr>
        <w:pStyle w:val="Abstract"/>
      </w:pPr>
      <w:r>
        <w:t xml:space="preserve">Heritable</w:t>
      </w:r>
      <w:r>
        <w:t xml:space="preserve"> </w:t>
      </w:r>
      <w:r>
        <w:t xml:space="preserve">differences</w:t>
      </w:r>
      <w:r>
        <w:t xml:space="preserve"> </w:t>
      </w:r>
      <w:r>
        <w:t xml:space="preserve">in</w:t>
      </w:r>
      <w:r>
        <w:t xml:space="preserve"> </w:t>
      </w:r>
      <w:r>
        <w:t xml:space="preserve">gene</w:t>
      </w:r>
      <w:r>
        <w:t xml:space="preserve"> </w:t>
      </w:r>
      <w:r>
        <w:t xml:space="preserve">expression</w:t>
      </w:r>
      <w:r>
        <w:t xml:space="preserve"> </w:t>
      </w:r>
      <w:r>
        <w:t xml:space="preserve">decide</w:t>
      </w:r>
      <w:r>
        <w:t xml:space="preserve"> </w:t>
      </w:r>
      <w:r>
        <w:t xml:space="preserve">which</w:t>
      </w:r>
      <w:r>
        <w:t xml:space="preserve"> </w:t>
      </w:r>
      <w:r>
        <w:t xml:space="preserve">cancer</w:t>
      </w:r>
      <w:r>
        <w:t xml:space="preserve"> </w:t>
      </w:r>
      <w:r>
        <w:t xml:space="preserve">cells</w:t>
      </w:r>
      <w:r>
        <w:t xml:space="preserve"> </w:t>
      </w:r>
      <w:r>
        <w:t xml:space="preserve">survive</w:t>
      </w:r>
      <w:r>
        <w:t xml:space="preserve"> </w:t>
      </w:r>
      <w:r>
        <w:t xml:space="preserve">a</w:t>
      </w:r>
      <w:r>
        <w:t xml:space="preserve"> </w:t>
      </w:r>
      <w:r>
        <w:t xml:space="preserve">drug,</w:t>
      </w:r>
      <w:r>
        <w:t xml:space="preserve"> </w:t>
      </w:r>
      <w:r>
        <w:t xml:space="preserve">yet</w:t>
      </w:r>
      <w:r>
        <w:t xml:space="preserve"> </w:t>
      </w:r>
      <w:r>
        <w:t xml:space="preserve">the</w:t>
      </w:r>
      <w:r>
        <w:t xml:space="preserve"> </w:t>
      </w:r>
      <w:r>
        <w:t xml:space="preserve">simulators</w:t>
      </w:r>
      <w:r>
        <w:t xml:space="preserve"> </w:t>
      </w:r>
      <w:r>
        <w:t xml:space="preserve">used</w:t>
      </w:r>
      <w:r>
        <w:t xml:space="preserve"> </w:t>
      </w:r>
      <w:r>
        <w:t xml:space="preserve">to</w:t>
      </w:r>
      <w:r>
        <w:t xml:space="preserve"> </w:t>
      </w:r>
      <w:r>
        <w:t xml:space="preserve">benchmark</w:t>
      </w:r>
      <w:r>
        <w:t xml:space="preserve"> </w:t>
      </w:r>
      <w:r>
        <w:t xml:space="preserve">single-cell</w:t>
      </w:r>
      <w:r>
        <w:t xml:space="preserve"> </w:t>
      </w:r>
      <w:r>
        <w:t xml:space="preserve">methods</w:t>
      </w:r>
      <w:r>
        <w:t xml:space="preserve"> </w:t>
      </w:r>
      <w:r>
        <w:t xml:space="preserve">model</w:t>
      </w:r>
      <w:r>
        <w:t xml:space="preserve"> </w:t>
      </w:r>
      <w:r>
        <w:t xml:space="preserve">neither</w:t>
      </w:r>
      <w:r>
        <w:t xml:space="preserve"> </w:t>
      </w:r>
      <w:r>
        <w:t xml:space="preserve">growth</w:t>
      </w:r>
      <w:r>
        <w:t xml:space="preserve"> </w:t>
      </w:r>
      <w:r>
        <w:t xml:space="preserve">nor</w:t>
      </w:r>
      <w:r>
        <w:t xml:space="preserve"> </w:t>
      </w:r>
      <w:r>
        <w:t xml:space="preserve">division,</w:t>
      </w:r>
      <w:r>
        <w:t xml:space="preserve"> </w:t>
      </w:r>
      <w:r>
        <w:t xml:space="preserve">and</w:t>
      </w:r>
      <w:r>
        <w:t xml:space="preserve"> </w:t>
      </w:r>
      <w:r>
        <w:t xml:space="preserve">stochastic</w:t>
      </w:r>
      <w:r>
        <w:t xml:space="preserve"> </w:t>
      </w:r>
      <w:r>
        <w:t xml:space="preserve">simulators</w:t>
      </w:r>
      <w:r>
        <w:t xml:space="preserve"> </w:t>
      </w:r>
      <w:r>
        <w:t xml:space="preserve">of</w:t>
      </w:r>
      <w:r>
        <w:t xml:space="preserve"> </w:t>
      </w:r>
      <w:r>
        <w:t xml:space="preserve">dividing</w:t>
      </w:r>
      <w:r>
        <w:t xml:space="preserve"> </w:t>
      </w:r>
      <w:r>
        <w:t xml:space="preserve">cells</w:t>
      </w:r>
      <w:r>
        <w:t xml:space="preserve"> </w:t>
      </w:r>
      <w:r>
        <w:t xml:space="preserve">carry</w:t>
      </w:r>
      <w:r>
        <w:t xml:space="preserve"> </w:t>
      </w:r>
      <w:r>
        <w:t xml:space="preserve">no</w:t>
      </w:r>
      <w:r>
        <w:t xml:space="preserve"> </w:t>
      </w:r>
      <w:r>
        <w:t xml:space="preserve">drug</w:t>
      </w:r>
      <w:r>
        <w:t xml:space="preserve"> </w:t>
      </w:r>
      <w:r>
        <w:t xml:space="preserve">layer.</w:t>
      </w:r>
      <w:r>
        <w:t xml:space="preserve"> </w:t>
      </w:r>
      <w:r>
        <w:t xml:space="preserve">Here</w:t>
      </w:r>
      <w:r>
        <w:t xml:space="preserve"> </w:t>
      </w:r>
      <w:r>
        <w:t xml:space="preserve">we</w:t>
      </w:r>
      <w:r>
        <w:t xml:space="preserve"> </w:t>
      </w:r>
      <w:r>
        <w:t xml:space="preserve">present</w:t>
      </w:r>
      <w:r>
        <w:t xml:space="preserve"> </w:t>
      </w:r>
      <w:r>
        <w:t xml:space="preserve">Biomodelling.jl</w:t>
      </w:r>
      <w:r>
        <w:t xml:space="preserve"> </w:t>
      </w:r>
      <w:r>
        <w:t xml:space="preserve">2.0,</w:t>
      </w:r>
      <w:r>
        <w:t xml:space="preserve"> </w:t>
      </w:r>
      <w:r>
        <w:t xml:space="preserve">in</w:t>
      </w:r>
      <w:r>
        <w:t xml:space="preserve"> </w:t>
      </w:r>
      <w:r>
        <w:t xml:space="preserve">which</w:t>
      </w:r>
      <w:r>
        <w:t xml:space="preserve"> </w:t>
      </w:r>
      <w:r>
        <w:t xml:space="preserve">stochastic</w:t>
      </w:r>
      <w:r>
        <w:t xml:space="preserve"> </w:t>
      </w:r>
      <w:r>
        <w:t xml:space="preserve">reaction</w:t>
      </w:r>
      <w:r>
        <w:t xml:space="preserve"> </w:t>
      </w:r>
      <w:r>
        <w:t xml:space="preserve">kinetics</w:t>
      </w:r>
      <w:r>
        <w:t xml:space="preserve"> </w:t>
      </w:r>
      <w:r>
        <w:t xml:space="preserve">run</w:t>
      </w:r>
      <w:r>
        <w:t xml:space="preserve"> </w:t>
      </w:r>
      <w:r>
        <w:t xml:space="preserve">inside</w:t>
      </w:r>
      <w:r>
        <w:t xml:space="preserve"> </w:t>
      </w:r>
      <w:r>
        <w:t xml:space="preserve">growing,</w:t>
      </w:r>
      <w:r>
        <w:t xml:space="preserve"> </w:t>
      </w:r>
      <w:r>
        <w:t xml:space="preserve">dividing,</w:t>
      </w:r>
      <w:r>
        <w:t xml:space="preserve"> </w:t>
      </w:r>
      <w:r>
        <w:t xml:space="preserve">drug-treated</w:t>
      </w:r>
      <w:r>
        <w:t xml:space="preserve"> </w:t>
      </w:r>
      <w:r>
        <w:t xml:space="preserve">cells.</w:t>
      </w:r>
      <w:r>
        <w:t xml:space="preserve"> </w:t>
      </w:r>
      <w:r>
        <w:t xml:space="preserve">Exact,</w:t>
      </w:r>
      <w:r>
        <w:t xml:space="preserve"> </w:t>
      </w:r>
      <w:r>
        <w:t xml:space="preserve">hybrid</w:t>
      </w:r>
      <w:r>
        <w:t xml:space="preserve"> </w:t>
      </w:r>
      <w:r>
        <w:t xml:space="preserve">and</w:t>
      </w:r>
      <w:r>
        <w:t xml:space="preserve"> </w:t>
      </w:r>
      <w:r>
        <w:t xml:space="preserve">adaptive</w:t>
      </w:r>
      <w:r>
        <w:t xml:space="preserve"> </w:t>
      </w:r>
      <w:r>
        <w:t xml:space="preserve">kernels</w:t>
      </w:r>
      <w:r>
        <w:t xml:space="preserve"> </w:t>
      </w:r>
      <w:r>
        <w:t xml:space="preserve">couple</w:t>
      </w:r>
      <w:r>
        <w:t xml:space="preserve"> </w:t>
      </w:r>
      <w:r>
        <w:t xml:space="preserve">to</w:t>
      </w:r>
      <w:r>
        <w:t xml:space="preserve"> </w:t>
      </w:r>
      <w:r>
        <w:t xml:space="preserve">exponential</w:t>
      </w:r>
      <w:r>
        <w:t xml:space="preserve"> </w:t>
      </w:r>
      <w:r>
        <w:t xml:space="preserve">growth,</w:t>
      </w:r>
      <w:r>
        <w:t xml:space="preserve"> </w:t>
      </w:r>
      <w:r>
        <w:t xml:space="preserve">volume-scaled</w:t>
      </w:r>
      <w:r>
        <w:t xml:space="preserve"> </w:t>
      </w:r>
      <w:r>
        <w:t xml:space="preserve">transcription,</w:t>
      </w:r>
      <w:r>
        <w:t xml:space="preserve"> </w:t>
      </w:r>
      <w:r>
        <w:t xml:space="preserve">gene</w:t>
      </w:r>
      <w:r>
        <w:t xml:space="preserve"> </w:t>
      </w:r>
      <w:r>
        <w:t xml:space="preserve">replication,</w:t>
      </w:r>
      <w:r>
        <w:t xml:space="preserve"> </w:t>
      </w:r>
      <w:r>
        <w:t xml:space="preserve">division</w:t>
      </w:r>
      <w:r>
        <w:t xml:space="preserve"> </w:t>
      </w:r>
      <w:r>
        <w:t xml:space="preserve">with</w:t>
      </w:r>
      <w:r>
        <w:t xml:space="preserve"> </w:t>
      </w:r>
      <w:r>
        <w:t xml:space="preserve">partitioning,</w:t>
      </w:r>
      <w:r>
        <w:t xml:space="preserve"> </w:t>
      </w:r>
      <w:r>
        <w:t xml:space="preserve">dose</w:t>
      </w:r>
      <w:r>
        <w:t xml:space="preserve"> </w:t>
      </w:r>
      <w:r>
        <w:t xml:space="preserve">schedules</w:t>
      </w:r>
      <w:r>
        <w:t xml:space="preserve"> </w:t>
      </w:r>
      <w:r>
        <w:t xml:space="preserve">with</w:t>
      </w:r>
      <w:r>
        <w:t xml:space="preserve"> </w:t>
      </w:r>
      <w:r>
        <w:t xml:space="preserve">state-dependent</w:t>
      </w:r>
      <w:r>
        <w:t xml:space="preserve"> </w:t>
      </w:r>
      <w:r>
        <w:t xml:space="preserve">killing,</w:t>
      </w:r>
      <w:r>
        <w:t xml:space="preserve"> </w:t>
      </w:r>
      <w:r>
        <w:t xml:space="preserve">a</w:t>
      </w:r>
      <w:r>
        <w:t xml:space="preserve"> </w:t>
      </w:r>
      <w:r>
        <w:t xml:space="preserve">lineage</w:t>
      </w:r>
      <w:r>
        <w:t xml:space="preserve"> </w:t>
      </w:r>
      <w:r>
        <w:t xml:space="preserve">record,</w:t>
      </w:r>
      <w:r>
        <w:t xml:space="preserve"> </w:t>
      </w:r>
      <w:r>
        <w:t xml:space="preserve">observation</w:t>
      </w:r>
      <w:r>
        <w:t xml:space="preserve"> </w:t>
      </w:r>
      <w:r>
        <w:t xml:space="preserve">models</w:t>
      </w:r>
      <w:r>
        <w:t xml:space="preserve"> </w:t>
      </w:r>
      <w:r>
        <w:t xml:space="preserve">and</w:t>
      </w:r>
      <w:r>
        <w:t xml:space="preserve"> </w:t>
      </w:r>
      <w:r>
        <w:t xml:space="preserve">likelihood-free</w:t>
      </w:r>
      <w:r>
        <w:t xml:space="preserve"> </w:t>
      </w:r>
      <w:r>
        <w:t xml:space="preserve">inference.</w:t>
      </w:r>
      <w:r>
        <w:t xml:space="preserve"> </w:t>
      </w:r>
      <w:r>
        <w:t xml:space="preserve">Expression</w:t>
      </w:r>
      <w:r>
        <w:t xml:space="preserve"> </w:t>
      </w:r>
      <w:r>
        <w:t xml:space="preserve">memory,</w:t>
      </w:r>
      <w:r>
        <w:t xml:space="preserve"> </w:t>
      </w:r>
      <w:r>
        <w:t xml:space="preserve">cell-size</w:t>
      </w:r>
      <w:r>
        <w:t xml:space="preserve"> </w:t>
      </w:r>
      <w:r>
        <w:t xml:space="preserve">scaling</w:t>
      </w:r>
      <w:r>
        <w:t xml:space="preserve"> </w:t>
      </w:r>
      <w:r>
        <w:t xml:space="preserve">and</w:t>
      </w:r>
      <w:r>
        <w:t xml:space="preserve"> </w:t>
      </w:r>
      <w:r>
        <w:t xml:space="preserve">cell-cycle-dependent</w:t>
      </w:r>
      <w:r>
        <w:t xml:space="preserve"> </w:t>
      </w:r>
      <w:r>
        <w:t xml:space="preserve">bursting</w:t>
      </w:r>
      <w:r>
        <w:t xml:space="preserve"> </w:t>
      </w:r>
      <w:r>
        <w:t xml:space="preserve">emerge</w:t>
      </w:r>
      <w:r>
        <w:t xml:space="preserve"> </w:t>
      </w:r>
      <w:r>
        <w:t xml:space="preserve">from</w:t>
      </w:r>
      <w:r>
        <w:t xml:space="preserve"> </w:t>
      </w:r>
      <w:r>
        <w:t xml:space="preserve">this</w:t>
      </w:r>
      <w:r>
        <w:t xml:space="preserve"> </w:t>
      </w:r>
      <w:r>
        <w:t xml:space="preserve">physiology</w:t>
      </w:r>
      <w:r>
        <w:t xml:space="preserve"> </w:t>
      </w:r>
      <w:r>
        <w:t xml:space="preserve">rather</w:t>
      </w:r>
      <w:r>
        <w:t xml:space="preserve"> </w:t>
      </w:r>
      <w:r>
        <w:t xml:space="preserve">than</w:t>
      </w:r>
      <w:r>
        <w:t xml:space="preserve"> </w:t>
      </w:r>
      <w:r>
        <w:t xml:space="preserve">imposed.</w:t>
      </w:r>
      <w:r>
        <w:t xml:space="preserve"> </w:t>
      </w:r>
      <w:r>
        <w:t xml:space="preserve">One</w:t>
      </w:r>
      <w:r>
        <w:t xml:space="preserve"> </w:t>
      </w:r>
      <w:r>
        <w:t xml:space="preserve">resistance</w:t>
      </w:r>
      <w:r>
        <w:t xml:space="preserve"> </w:t>
      </w:r>
      <w:r>
        <w:t xml:space="preserve">gene</w:t>
      </w:r>
      <w:r>
        <w:t xml:space="preserve"> </w:t>
      </w:r>
      <w:r>
        <w:t xml:space="preserve">with</w:t>
      </w:r>
      <w:r>
        <w:t xml:space="preserve"> </w:t>
      </w:r>
      <w:r>
        <w:t xml:space="preserve">slow</w:t>
      </w:r>
      <w:r>
        <w:t xml:space="preserve"> </w:t>
      </w:r>
      <w:r>
        <w:t xml:space="preserve">promoter</w:t>
      </w:r>
      <w:r>
        <w:t xml:space="preserve"> </w:t>
      </w:r>
      <w:r>
        <w:t xml:space="preserve">switching</w:t>
      </w:r>
      <w:r>
        <w:t xml:space="preserve"> </w:t>
      </w:r>
      <w:r>
        <w:t xml:space="preserve">reproduces</w:t>
      </w:r>
      <w:r>
        <w:t xml:space="preserve"> </w:t>
      </w:r>
      <w:r>
        <w:t xml:space="preserve">the</w:t>
      </w:r>
      <w:r>
        <w:t xml:space="preserve"> </w:t>
      </w:r>
      <w:r>
        <w:t xml:space="preserve">lineage</w:t>
      </w:r>
      <w:r>
        <w:t xml:space="preserve"> </w:t>
      </w:r>
      <w:r>
        <w:t xml:space="preserve">and</w:t>
      </w:r>
      <w:r>
        <w:t xml:space="preserve"> </w:t>
      </w:r>
      <w:r>
        <w:t xml:space="preserve">memory</w:t>
      </w:r>
      <w:r>
        <w:t xml:space="preserve"> </w:t>
      </w:r>
      <w:r>
        <w:t xml:space="preserve">signatures</w:t>
      </w:r>
      <w:r>
        <w:t xml:space="preserve"> </w:t>
      </w:r>
      <w:r>
        <w:t xml:space="preserve">of</w:t>
      </w:r>
      <w:r>
        <w:t xml:space="preserve"> </w:t>
      </w:r>
      <w:r>
        <w:t xml:space="preserve">drug</w:t>
      </w:r>
      <w:r>
        <w:t xml:space="preserve"> </w:t>
      </w:r>
      <w:r>
        <w:t xml:space="preserve">tolerance,</w:t>
      </w:r>
      <w:r>
        <w:t xml:space="preserve"> </w:t>
      </w:r>
      <w:r>
        <w:t xml:space="preserve">and</w:t>
      </w:r>
      <w:r>
        <w:t xml:space="preserve"> </w:t>
      </w:r>
      <w:r>
        <w:t xml:space="preserve">supplies</w:t>
      </w:r>
      <w:r>
        <w:t xml:space="preserve"> </w:t>
      </w:r>
      <w:r>
        <w:t xml:space="preserve">ground</w:t>
      </w:r>
      <w:r>
        <w:t xml:space="preserve"> </w:t>
      </w:r>
      <w:r>
        <w:t xml:space="preserve">truth</w:t>
      </w:r>
      <w:r>
        <w:t xml:space="preserve"> </w:t>
      </w:r>
      <w:r>
        <w:t xml:space="preserve">that</w:t>
      </w:r>
      <w:r>
        <w:t xml:space="preserve"> </w:t>
      </w:r>
      <w:r>
        <w:t xml:space="preserve">benchmarks</w:t>
      </w:r>
      <w:r>
        <w:t xml:space="preserve"> </w:t>
      </w:r>
      <w:r>
        <w:t xml:space="preserve">of</w:t>
      </w:r>
      <w:r>
        <w:t xml:space="preserve"> </w:t>
      </w:r>
      <w:r>
        <w:t xml:space="preserve">memory</w:t>
      </w:r>
      <w:r>
        <w:t xml:space="preserve"> </w:t>
      </w:r>
      <w:r>
        <w:t xml:space="preserve">genes,</w:t>
      </w:r>
      <w:r>
        <w:t xml:space="preserve"> </w:t>
      </w:r>
      <w:r>
        <w:t xml:space="preserve">network</w:t>
      </w:r>
      <w:r>
        <w:t xml:space="preserve"> </w:t>
      </w:r>
      <w:r>
        <w:t xml:space="preserve">inference</w:t>
      </w:r>
      <w:r>
        <w:t xml:space="preserve"> </w:t>
      </w:r>
      <w:r>
        <w:t xml:space="preserve">and</w:t>
      </w:r>
      <w:r>
        <w:t xml:space="preserve"> </w:t>
      </w:r>
      <w:r>
        <w:t xml:space="preserve">perturbation</w:t>
      </w:r>
      <w:r>
        <w:t xml:space="preserve"> </w:t>
      </w:r>
      <w:r>
        <w:t xml:space="preserve">prediction</w:t>
      </w:r>
      <w:r>
        <w:t xml:space="preserve"> </w:t>
      </w:r>
      <w:r>
        <w:t xml:space="preserve">lack.</w:t>
      </w:r>
      <w:r>
        <w:t xml:space="preserve"> </w:t>
      </w:r>
      <w:r>
        <w:t xml:space="preserve">Calibrated</w:t>
      </w:r>
      <w:r>
        <w:t xml:space="preserve"> </w:t>
      </w:r>
      <w:r>
        <w:t xml:space="preserve">to</w:t>
      </w:r>
      <w:r>
        <w:t xml:space="preserve"> </w:t>
      </w:r>
      <w:r>
        <w:t xml:space="preserve">time-lapse</w:t>
      </w:r>
      <w:r>
        <w:t xml:space="preserve"> </w:t>
      </w:r>
      <w:r>
        <w:t xml:space="preserve">measurements</w:t>
      </w:r>
      <w:r>
        <w:t xml:space="preserve"> </w:t>
      </w:r>
      <w:r>
        <w:t xml:space="preserve">of</w:t>
      </w:r>
      <w:r>
        <w:t xml:space="preserve"> </w:t>
      </w:r>
      <w:r>
        <w:t xml:space="preserve">cisplatin-treated</w:t>
      </w:r>
      <w:r>
        <w:t xml:space="preserve"> </w:t>
      </w:r>
      <w:r>
        <w:t xml:space="preserve">cells,</w:t>
      </w:r>
      <w:r>
        <w:t xml:space="preserve"> </w:t>
      </w:r>
      <w:r>
        <w:t xml:space="preserve">it</w:t>
      </w:r>
      <w:r>
        <w:t xml:space="preserve"> </w:t>
      </w:r>
      <w:r>
        <w:t xml:space="preserve">reproduces</w:t>
      </w:r>
      <w:r>
        <w:t xml:space="preserve"> </w:t>
      </w:r>
      <w:r>
        <w:t xml:space="preserve">the</w:t>
      </w:r>
      <w:r>
        <w:t xml:space="preserve"> </w:t>
      </w:r>
      <w:r>
        <w:t xml:space="preserve">dose-invariance</w:t>
      </w:r>
      <w:r>
        <w:t xml:space="preserve"> </w:t>
      </w:r>
      <w:r>
        <w:t xml:space="preserve">of</w:t>
      </w:r>
      <w:r>
        <w:t xml:space="preserve"> </w:t>
      </w:r>
      <w:r>
        <w:t xml:space="preserve">single-cell</w:t>
      </w:r>
      <w:r>
        <w:t xml:space="preserve"> </w:t>
      </w:r>
      <w:r>
        <w:t xml:space="preserve">timing</w:t>
      </w:r>
      <w:r>
        <w:t xml:space="preserve"> </w:t>
      </w:r>
      <w:r>
        <w:t xml:space="preserve">and</w:t>
      </w:r>
      <w:r>
        <w:t xml:space="preserve"> </w:t>
      </w:r>
      <w:r>
        <w:t xml:space="preserve">the</w:t>
      </w:r>
      <w:r>
        <w:t xml:space="preserve"> </w:t>
      </w:r>
      <w:r>
        <w:t xml:space="preserve">kin</w:t>
      </w:r>
      <w:r>
        <w:t xml:space="preserve"> </w:t>
      </w:r>
      <w:r>
        <w:t xml:space="preserve">fate</w:t>
      </w:r>
      <w:r>
        <w:t xml:space="preserve"> </w:t>
      </w:r>
      <w:r>
        <w:t xml:space="preserve">correlations,</w:t>
      </w:r>
      <w:r>
        <w:t xml:space="preserve"> </w:t>
      </w:r>
      <w:r>
        <w:t xml:space="preserve">though</w:t>
      </w:r>
      <w:r>
        <w:t xml:space="preserve"> </w:t>
      </w:r>
      <w:r>
        <w:t xml:space="preserve">six</w:t>
      </w:r>
      <w:r>
        <w:t xml:space="preserve"> </w:t>
      </w:r>
      <w:r>
        <w:t xml:space="preserve">parameters</w:t>
      </w:r>
      <w:r>
        <w:t xml:space="preserve"> </w:t>
      </w:r>
      <w:r>
        <w:t xml:space="preserve">fitted</w:t>
      </w:r>
      <w:r>
        <w:t xml:space="preserve"> </w:t>
      </w:r>
      <w:r>
        <w:t xml:space="preserve">to</w:t>
      </w:r>
      <w:r>
        <w:t xml:space="preserve"> </w:t>
      </w:r>
      <w:r>
        <w:t xml:space="preserve">six</w:t>
      </w:r>
      <w:r>
        <w:t xml:space="preserve"> </w:t>
      </w:r>
      <w:r>
        <w:t xml:space="preserve">fate</w:t>
      </w:r>
      <w:r>
        <w:t xml:space="preserve"> </w:t>
      </w:r>
      <w:r>
        <w:t xml:space="preserve">fractions</w:t>
      </w:r>
      <w:r>
        <w:t xml:space="preserve"> </w:t>
      </w:r>
      <w:r>
        <w:t xml:space="preserve">leave</w:t>
      </w:r>
      <w:r>
        <w:t xml:space="preserve"> </w:t>
      </w:r>
      <w:r>
        <w:t xml:space="preserve">that</w:t>
      </w:r>
      <w:r>
        <w:t xml:space="preserve"> </w:t>
      </w:r>
      <w:r>
        <w:t xml:space="preserve">memory</w:t>
      </w:r>
      <w:r>
        <w:t xml:space="preserve"> </w:t>
      </w:r>
      <w:r>
        <w:t xml:space="preserve">undetermined,</w:t>
      </w:r>
      <w:r>
        <w:t xml:space="preserve"> </w:t>
      </w:r>
      <w:r>
        <w:t xml:space="preserve">and</w:t>
      </w:r>
      <w:r>
        <w:t xml:space="preserve"> </w:t>
      </w:r>
      <w:r>
        <w:t xml:space="preserve">a</w:t>
      </w:r>
      <w:r>
        <w:t xml:space="preserve"> </w:t>
      </w:r>
      <w:r>
        <w:t xml:space="preserve">cycle-gated</w:t>
      </w:r>
      <w:r>
        <w:t xml:space="preserve"> </w:t>
      </w:r>
      <w:r>
        <w:t xml:space="preserve">hazard</w:t>
      </w:r>
      <w:r>
        <w:t xml:space="preserve"> </w:t>
      </w:r>
      <w:r>
        <w:t xml:space="preserve">fits</w:t>
      </w:r>
      <w:r>
        <w:t xml:space="preserve"> </w:t>
      </w:r>
      <w:r>
        <w:t xml:space="preserve">as</w:t>
      </w:r>
      <w:r>
        <w:t xml:space="preserve"> </w:t>
      </w:r>
      <w:r>
        <w:t xml:space="preserve">well.</w:t>
      </w:r>
      <w:r>
        <w:t xml:space="preserve"> </w:t>
      </w:r>
      <w:r>
        <w:t xml:space="preserve">Its</w:t>
      </w:r>
      <w:r>
        <w:t xml:space="preserve"> </w:t>
      </w:r>
      <w:r>
        <w:t xml:space="preserve">schedule</w:t>
      </w:r>
      <w:r>
        <w:t xml:space="preserve"> </w:t>
      </w:r>
      <w:r>
        <w:t xml:space="preserve">optimiser</w:t>
      </w:r>
      <w:r>
        <w:t xml:space="preserve"> </w:t>
      </w:r>
      <w:r>
        <w:t xml:space="preserve">reproduces</w:t>
      </w:r>
      <w:r>
        <w:t xml:space="preserve"> </w:t>
      </w:r>
      <w:r>
        <w:t xml:space="preserve">the</w:t>
      </w:r>
      <w:r>
        <w:t xml:space="preserve"> </w:t>
      </w:r>
      <w:r>
        <w:t xml:space="preserve">opposite</w:t>
      </w:r>
      <w:r>
        <w:t xml:space="preserve"> </w:t>
      </w:r>
      <w:r>
        <w:t xml:space="preserve">rankings</w:t>
      </w:r>
      <w:r>
        <w:t xml:space="preserve"> </w:t>
      </w:r>
      <w:r>
        <w:t xml:space="preserve">of</w:t>
      </w:r>
      <w:r>
        <w:t xml:space="preserve"> </w:t>
      </w:r>
      <w:r>
        <w:t xml:space="preserve">intermittent</w:t>
      </w:r>
      <w:r>
        <w:t xml:space="preserve"> </w:t>
      </w:r>
      <w:r>
        <w:t xml:space="preserve">dosing</w:t>
      </w:r>
      <w:r>
        <w:t xml:space="preserve"> </w:t>
      </w:r>
      <w:r>
        <w:t xml:space="preserve">reported</w:t>
      </w:r>
      <w:r>
        <w:t xml:space="preserve"> </w:t>
      </w:r>
      <w:r>
        <w:t xml:space="preserve">in</w:t>
      </w:r>
      <w:r>
        <w:t xml:space="preserve"> </w:t>
      </w:r>
      <w:r>
        <w:t xml:space="preserve">a</w:t>
      </w:r>
      <w:r>
        <w:t xml:space="preserve"> </w:t>
      </w:r>
      <w:r>
        <w:t xml:space="preserve">melanoma</w:t>
      </w:r>
      <w:r>
        <w:t xml:space="preserve"> </w:t>
      </w:r>
      <w:r>
        <w:t xml:space="preserve">trial</w:t>
      </w:r>
      <w:r>
        <w:t xml:space="preserve"> </w:t>
      </w:r>
      <w:r>
        <w:t xml:space="preserve">and</w:t>
      </w:r>
      <w:r>
        <w:t xml:space="preserve"> </w:t>
      </w:r>
      <w:r>
        <w:t xml:space="preserve">in</w:t>
      </w:r>
      <w:r>
        <w:t xml:space="preserve"> </w:t>
      </w:r>
      <w:r>
        <w:t xml:space="preserve">xenografts,</w:t>
      </w:r>
      <w:r>
        <w:t xml:space="preserve"> </w:t>
      </w:r>
      <w:r>
        <w:t xml:space="preserve">and</w:t>
      </w:r>
      <w:r>
        <w:t xml:space="preserve"> </w:t>
      </w:r>
      <w:r>
        <w:t xml:space="preserve">shows</w:t>
      </w:r>
      <w:r>
        <w:t xml:space="preserve"> </w:t>
      </w:r>
      <w:r>
        <w:t xml:space="preserve">the</w:t>
      </w:r>
      <w:r>
        <w:t xml:space="preserve"> </w:t>
      </w:r>
      <w:r>
        <w:t xml:space="preserve">ranking</w:t>
      </w:r>
      <w:r>
        <w:t xml:space="preserve"> </w:t>
      </w:r>
      <w:r>
        <w:t xml:space="preserve">to</w:t>
      </w:r>
      <w:r>
        <w:t xml:space="preserve"> </w:t>
      </w:r>
      <w:r>
        <w:t xml:space="preserve">turn</w:t>
      </w:r>
      <w:r>
        <w:t xml:space="preserve"> </w:t>
      </w:r>
      <w:r>
        <w:t xml:space="preserve">on</w:t>
      </w:r>
      <w:r>
        <w:t xml:space="preserve"> </w:t>
      </w:r>
      <w:r>
        <w:t xml:space="preserve">two</w:t>
      </w:r>
      <w:r>
        <w:t xml:space="preserve"> </w:t>
      </w:r>
      <w:r>
        <w:t xml:space="preserve">measurable</w:t>
      </w:r>
      <w:r>
        <w:t xml:space="preserve"> </w:t>
      </w:r>
      <w:r>
        <w:t xml:space="preserve">cell</w:t>
      </w:r>
      <w:r>
        <w:t xml:space="preserve"> </w:t>
      </w:r>
      <w:r>
        <w:t xml:space="preserve">properties:</w:t>
      </w:r>
      <w:r>
        <w:t xml:space="preserve"> </w:t>
      </w:r>
      <w:r>
        <w:t xml:space="preserve">growth</w:t>
      </w:r>
      <w:r>
        <w:t xml:space="preserve"> </w:t>
      </w:r>
      <w:r>
        <w:t xml:space="preserve">under</w:t>
      </w:r>
      <w:r>
        <w:t xml:space="preserve"> </w:t>
      </w:r>
      <w:r>
        <w:t xml:space="preserve">drug</w:t>
      </w:r>
      <w:r>
        <w:t xml:space="preserve"> </w:t>
      </w:r>
      <w:r>
        <w:t xml:space="preserve">and</w:t>
      </w:r>
      <w:r>
        <w:t xml:space="preserve"> </w:t>
      </w:r>
      <w:r>
        <w:t xml:space="preserve">fitness</w:t>
      </w:r>
      <w:r>
        <w:t xml:space="preserve"> </w:t>
      </w:r>
      <w:r>
        <w:t xml:space="preserve">without</w:t>
      </w:r>
      <w:r>
        <w:t xml:space="preserve"> </w:t>
      </w:r>
      <w:r>
        <w:t xml:space="preserve">it.</w:t>
      </w:r>
    </w:p>
    <w:bookmarkStart w:id="20" w:name="author-summary"/>
    <w:p>
      <w:pPr>
        <w:pStyle w:val="Heading2"/>
      </w:pPr>
      <w:r>
        <w:t xml:space="preserve">Author summary</w:t>
      </w:r>
    </w:p>
    <w:p>
      <w:pPr>
        <w:pStyle w:val="FirstParagraph"/>
      </w:pPr>
      <w:r>
        <w:t xml:space="preserve">Two cancer cells with the same genome, given the same drug, can meet opposite fates: one dies and the other survives. Much of that difference comes from how strongly each cell happens to be expressing particular genes when treatment begins, and cells pass those expression states to their daughters when they divide. The simulators used to test single-cell analysis methods do not model growth or division, so they cannot produce such inherited states; the simulators that do model dividing cells carry no drug.</w:t>
      </w:r>
    </w:p>
    <w:p>
      <w:pPr>
        <w:pStyle w:val="BodyText"/>
      </w:pPr>
      <w:r>
        <w:t xml:space="preserve">We built Biomodelling.jl 2.0, in which chemical reactions play out inside cells that grow, copy their genes, divide, and meet drugs on realistic schedules. Expression memory, cell-size effects and cell-cycle dependence emerge from that physiology rather than being assumed. We checked the simulator against cases whose answers are known exactly in mathematics, fitted it to published time-lapse recordings of cells under chemotherapy, and asked it to predict a concentration it had not been fitted to.</w:t>
      </w:r>
    </w:p>
    <w:p>
      <w:pPr>
        <w:pStyle w:val="BodyText"/>
      </w:pPr>
      <w:r>
        <w:t xml:space="preserve">We then put a clinical question to it: should a drug be given continuously, or with breaks? The answer turns on two properties of resistant cells that experiments can measure.</w:t>
      </w:r>
    </w:p>
    <w:p>
      <w:pPr>
        <w:pStyle w:val="BodyText"/>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t xml:space="preserve"> </w:t>
      </w:r>
      <w: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t xml:space="preserve"> </w:t>
      </w:r>
      <w: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t xml:space="preserve"> </w:t>
      </w:r>
      <w:r>
        <w:t xml:space="preserve">[10–12]</w:t>
      </w:r>
      <w:r>
        <w:t xml:space="preserve">, and evaluations of</w:t>
      </w:r>
      <w:r>
        <w:t xml:space="preserve"> </w:t>
      </w:r>
      <w:r>
        <w:t xml:space="preserve">“</w:t>
      </w:r>
      <w:r>
        <w:t xml:space="preserve">virtual cell</w:t>
      </w:r>
      <w:r>
        <w:t xml:space="preserve">”</w:t>
      </w:r>
      <w:r>
        <w:t xml:space="preserve"> </w:t>
      </w:r>
      <w:r>
        <w:t xml:space="preserve">models for perturbation prediction keep finding that deep-learning approaches fail to beat simple baselines, largely for want of mechanism and causal structure</w:t>
      </w:r>
      <w:r>
        <w:t xml:space="preserve"> </w:t>
      </w:r>
      <w:r>
        <w:t xml:space="preserve">[13–16]</w:t>
      </w:r>
      <w:r>
        <w:t xml:space="preserve">.</w:t>
      </w:r>
    </w:p>
    <w:p>
      <w:pPr>
        <w:pStyle w:val="BodyText"/>
      </w:pPr>
      <w:r>
        <w:t xml:space="preserve">These developments create a demand that existing simulators do not meet. The simulators used to benchmark single-cell methods divide according to whether they supply a regulatory network as ground truth, and neither kind models cell growth, volume-dependent transcription, gene replication or the partitioning of molecules at division. Splatter and scDesign3 draw counts from statistical models fitted to reference data, and SymSim draws them from a two-state promoter whose kinetic parameters are products of cell-specific and gene-specific factors; none of the three supplies a network</w:t>
      </w:r>
      <w:r>
        <w:t xml:space="preserve"> </w:t>
      </w:r>
      <w:r>
        <w:t xml:space="preserve">[17–19]</w:t>
      </w:r>
      <w:r>
        <w:t xml:space="preserve">. SERGIO, dyngen and scMultiSim simulate the kinetics of a user-specified network</w:t>
      </w:r>
      <w:r>
        <w:t xml:space="preserve"> </w:t>
      </w:r>
      <w:r>
        <w:t xml:space="preserve">[20–22]</w:t>
      </w:r>
      <w:r>
        <w:t xml:space="preserve">, and GRouNdGAN imposes one on an adversarially trained generator, so that each gene’s counts follow from those of its transcription factors</w:t>
      </w:r>
      <w:r>
        <w:t xml:space="preserve"> </w:t>
      </w:r>
      <w:r>
        <w:t xml:space="preserve">[23]</w:t>
      </w:r>
      <w:r>
        <w:t xml:space="preserve">. Most of these simulators place cells on a differentiation trajectory, and lineage simulators such as TedSim and Cassiopeia</w:t>
      </w:r>
      <w:r>
        <w:t xml:space="preserve"> </w:t>
      </w:r>
      <w: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t xml:space="preserve"> </w:t>
      </w:r>
      <w:r>
        <w:t xml:space="preserve">[26]</w:t>
      </w:r>
      <w:r>
        <w:t xml:space="preserve">. Stochastic simulators of growing and dividing cells do exist, and the most complete of them couples reaction kinetics to growth, division and inference from lineage data</w:t>
      </w:r>
      <w:r>
        <w:t xml:space="preserve"> </w:t>
      </w:r>
      <w: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t xml:space="preserve"> </w:t>
      </w:r>
      <w: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t xml:space="preserve"> </w:t>
      </w:r>
      <w: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End w:id="20"/>
    <w:bookmarkStart w:id="29" w:name="results"/>
    <w:p>
      <w:pPr>
        <w:pStyle w:val="Heading1"/>
      </w:pPr>
      <w:r>
        <w:t xml:space="preserve">Results</w:t>
      </w:r>
    </w:p>
    <w:bookmarkStart w:id="21"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t xml:space="preserve"> </w:t>
      </w:r>
      <w:r>
        <w:t xml:space="preserve">[20]</w:t>
      </w:r>
      <w:r>
        <w:t xml:space="preserve">, dyngen</w:t>
      </w:r>
      <w:r>
        <w:t xml:space="preserve"> </w:t>
      </w:r>
      <w:r>
        <w:t xml:space="preserve">[21]</w:t>
      </w:r>
      <w:r>
        <w:t xml:space="preserve">, scMultiSim</w:t>
      </w:r>
      <w:r>
        <w:t xml:space="preserve"> </w:t>
      </w:r>
      <w:r>
        <w:t xml:space="preserve">[22]</w:t>
      </w:r>
      <w:r>
        <w:t xml:space="preserve">, GRouNdGAN</w:t>
      </w:r>
      <w:r>
        <w:t xml:space="preserve"> </w:t>
      </w:r>
      <w:r>
        <w:t xml:space="preserve">[23]</w:t>
      </w:r>
      <w:r>
        <w:t xml:space="preserve">, TedSim</w:t>
      </w:r>
      <w:r>
        <w:t xml:space="preserve"> </w:t>
      </w:r>
      <w:r>
        <w:t xml:space="preserve">[24]</w:t>
      </w:r>
      <w:r>
        <w:t xml:space="preserve">, Cassiopeia</w:t>
      </w:r>
      <w:r>
        <w:t xml:space="preserve"> </w:t>
      </w:r>
      <w:r>
        <w:t xml:space="preserve">[25]</w:t>
      </w:r>
      <w:r>
        <w:t xml:space="preserve">, ABM.jl (AgentBasedModeling.jl)</w:t>
      </w:r>
      <w:r>
        <w:t xml:space="preserve"> </w:t>
      </w:r>
      <w:r>
        <w:t xml:space="preserve">[28]</w:t>
      </w:r>
      <w:r>
        <w:t xml:space="preserve">, Biomodelling.jl v1.x</w:t>
      </w:r>
      <w:r>
        <w:t xml:space="preserve"> </w:t>
      </w:r>
      <w: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t xml:space="preserve"> </w:t>
      </w:r>
      <w:r>
        <w:t xml:space="preserve">[29]</w:t>
      </w:r>
      <w:r>
        <w:t xml:space="preserve">;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ook w:firstRow="1" w:lastRow="0" w:firstColumn="0" w:lastColumn="0" w:noHBand="0" w:noVBand="0" w:val="0020"/>
        <w:jc w:val="start"/>
      </w:tblPr>
      <w:tblGrid>
        <w:gridCol w:w="2527"/>
        <w:gridCol w:w="589"/>
        <w:gridCol w:w="589"/>
        <w:gridCol w:w="758"/>
        <w:gridCol w:w="674"/>
        <w:gridCol w:w="589"/>
        <w:gridCol w:w="758"/>
        <w:gridCol w:w="589"/>
        <w:gridCol w:w="421"/>
        <w:gridCol w:w="421"/>
      </w:tblGrid>
      <w:tr>
        <w:trPr>
          <w:tblHeader w:val="true"/>
        </w:trPr>
        <w:tc>
          <w:tcPr/>
          <w:p>
            <w:pPr>
              <w:pStyle w:val="Compact"/>
              <w:jc w:val="left"/>
            </w:pPr>
            <w:r>
              <w:t xml:space="preserve">Capability</w:t>
            </w:r>
          </w:p>
        </w:tc>
        <w:tc>
          <w:tcPr/>
          <w:p>
            <w:pPr>
              <w:pStyle w:val="Compact"/>
              <w:jc w:val="left"/>
            </w:pPr>
            <w:r>
              <w:t xml:space="preserve">SERGIO</w:t>
            </w:r>
          </w:p>
        </w:tc>
        <w:tc>
          <w:tcPr/>
          <w:p>
            <w:pPr>
              <w:pStyle w:val="Compact"/>
              <w:jc w:val="lef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jc w:val="left"/>
            </w:pPr>
            <w:r>
              <w:t xml:space="preserve">TedSim</w:t>
            </w:r>
          </w:p>
        </w:tc>
        <w:tc>
          <w:tcPr/>
          <w:p>
            <w:pPr>
              <w:pStyle w:val="Compact"/>
              <w:jc w:val="left"/>
            </w:pPr>
            <w:r>
              <w:t xml:space="preserve">Cassio-</w:t>
            </w:r>
            <w:r>
              <w:t xml:space="preserve"> </w:t>
            </w:r>
            <w:r>
              <w:t xml:space="preserve">peia</w:t>
            </w:r>
          </w:p>
        </w:tc>
        <w:tc>
          <w:tcPr/>
          <w:p>
            <w:pPr>
              <w:pStyle w:val="Compact"/>
              <w:jc w:val="left"/>
            </w:pPr>
            <w:r>
              <w:t xml:space="preserve">ABM.jl</w:t>
            </w:r>
          </w:p>
        </w:tc>
        <w:tc>
          <w:tcPr/>
          <w:p>
            <w:pPr>
              <w:pStyle w:val="Compact"/>
              <w:jc w:val="left"/>
            </w:pPr>
            <w:r>
              <w:t xml:space="preserve">v1.x</w:t>
            </w:r>
          </w:p>
        </w:tc>
        <w:tc>
          <w:tcPr/>
          <w:p>
            <w:pPr>
              <w:pStyle w:val="Compact"/>
              <w:jc w:val="lef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Cell growth, volume-scaled</w:t>
            </w:r>
            <w:r>
              <w:t xml:space="preserve"> </w:t>
            </w:r>
            <w:r>
              <w:t xml:space="preserve">transcription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replication / cell-</w:t>
            </w:r>
            <w:r>
              <w:t xml:space="preserve"> </w:t>
            </w:r>
            <w:r>
              <w:t xml:space="preserve">cycle copy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Division with molecular</w:t>
            </w:r>
            <w:r>
              <w:t xml:space="preserve"> </w:t>
            </w:r>
            <w:r>
              <w:t xml:space="preserve">partitioning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Heritable promoter states,</w:t>
            </w:r>
            <w:r>
              <w:t xml:space="preserve"> </w:t>
            </w:r>
            <w:r>
              <w:t xml:space="preserve">expression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Lineage tree with per-cell</w:t>
            </w:r>
            <w:r>
              <w:t xml:space="preserve"> </w:t>
            </w:r>
            <w:r>
              <w:t xml:space="preserve">fates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scRNA-seq observation model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smFISH / time-lapse</w:t>
            </w:r>
            <w:r>
              <w:t xml:space="preserve"> </w:t>
            </w:r>
            <w:r>
              <w:t xml:space="preserve">observation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Parameter inference from</w:t>
            </w:r>
            <w:r>
              <w:t xml:space="preserve"> </w:t>
            </w:r>
            <w:r>
              <w:t xml:space="preserve">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AnnData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1"/>
    <w:bookmarkStart w:id="22"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t xml:space="preserve"> </w:t>
      </w:r>
      <w: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t xml:space="preserve"> </w:t>
      </w:r>
      <w: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Those means sit within 2.5 standard errors of the exact values (18 of the 20 individual samples also fall below the independent critical value, the largest distance being 0.0170). All four population means are nonetheless slightly low, by 0.03% to 0.70%; no single deviation is resolved, the largest being 2.5 standard errors (</w:t>
      </w:r>
      <m:oMath>
        <m:r>
          <m:t>p</m:t>
        </m:r>
        <m:r>
          <m:rPr>
            <m:sty m:val="p"/>
          </m:rPr>
          <m:t>=</m:t>
        </m:r>
        <m:r>
          <m:t>0.07</m:t>
        </m:r>
      </m:oMath>
      <w:r>
        <w:t xml:space="preserve">, Student’s t), but the common sign is not accounted for by the discretisation, the subsampling cap or the burn-in, each of which is excluded in Supplementary Note 14.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22"/>
    <w:bookmarkStart w:id="23"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t xml:space="preserve"> </w:t>
      </w:r>
      <w: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t xml:space="preserve"> </w:t>
      </w:r>
      <w: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and 1.5 for the switching rates and 2 for the transcription rate as Fig. 3f scales it, that is the true 40 transcripts per unit time per unit volume per allele divided by twenty, against 0.59, 1.89 and 2.4 fitted to the one-copy cells and 0.65, 3.27 and 4.8 pooled, whose transcription rates are scaled the same way). What the panel demonstrates is that a cell-cycle-blind fit is biased, not how large the copy-number effect is.</w:t>
      </w:r>
    </w:p>
    <w:bookmarkEnd w:id="23"/>
    <w:bookmarkStart w:id="24"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t xml:space="preserve"> </w:t>
      </w:r>
      <w:r>
        <w:t xml:space="preserve">[6]</w:t>
      </w:r>
      <w:r>
        <w:t xml:space="preserve">, because fate is biased by states that exist before the drug arrives. Unlike the growth-arrested persisters of the canonical definition</w:t>
      </w:r>
      <w:r>
        <w:t xml:space="preserve"> </w:t>
      </w:r>
      <w: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1.8- and 2.5-fold values the panel prints rest on one sister pair and two cousin pairs in which both lineages survived, and the concordance sits at the independent expectation (+0.000 above it, against +0.051 for the memory gene;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t xml:space="preserve"> </w:t>
      </w:r>
      <w:r>
        <w:t xml:space="preserve">[2,6]</w:t>
      </w:r>
      <w:r>
        <w:t xml:space="preserve">; the follow-up method that traces resistant fates back to their drug-naive precursors puts those precursors at an initial frequency of about 1 in 1,000 to 1 in 10,000 cells</w:t>
      </w:r>
      <w:r>
        <w:t xml:space="preserve"> </w:t>
      </w:r>
      <w:r>
        <w:t xml:space="preserve">[38]</w:t>
      </w:r>
      <w:r>
        <w:t xml:space="preserve">. The melanoma case study below does not sit in that regime: it uses 1:200, the per-marker frequency at which rare cells express resistance genes before drug</w:t>
      </w:r>
      <w:r>
        <w:t xml:space="preserve"> </w:t>
      </w:r>
      <w:r>
        <w:t xml:space="preserve">[2]</w:t>
      </w:r>
      <w:r>
        <w:t xml:space="preserve">, which is 5- to 50-fold higher. That range is in any case not resolvable at the size of this study, since a draw of its 2,000 founders would contain no pre-resistant cell at all with probability 0.8 at 1 in 10,000. The consequence is a larger and less clonal pre-existing resistant pool, so that among the arms which do lose control it is lost earlier than the traced frequency would give; the ranking of the schedules follows from the growth of resistant cells with and without drug rather than from their initial frequency, but it was not re-tested at a lower fraction.</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Cs/>
          <w:i/>
        </w:rPr>
        <w:t xml:space="preserve">before</w:t>
      </w:r>
      <w:r>
        <w:t xml:space="preserve"> </w:t>
      </w:r>
      <w:r>
        <w:t xml:space="preserve">adding a BRAF inhibitor produced more therapy resistance than giving the two together</w:t>
      </w:r>
      <w:r>
        <w:t xml:space="preserve"> </w:t>
      </w:r>
      <w: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t xml:space="preserve"> </w:t>
      </w:r>
      <w: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t xml:space="preserve"> </w:t>
      </w:r>
      <w: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t xml:space="preserve"> </w:t>
      </w:r>
      <w: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and every schedule is run on the same 5 seeds, so schedules are compared by their paired differences, in which the shared founder population cancels; the spread quoted beside each winner above is the seed-to-seed scatter of its absolute growth rate, which is larger than the paired differences and is not the error on them. The winning schedule beats the best schedule with a non-zero release period by 0.0003 to 0.0014 per time unit against paired standard errors of 0.0001 to 0.0003, a margin that a two-sided paired t-test resolves at the 5% level in 1 of the 3 mechanisms, the one in which the resistant state carries a fitness cost. Elsewhere the scan identifies a region of good schedules rather than a single best one (pre-existing tolerance +0.0004 against 0.0002,</w:t>
      </w:r>
      <w:r>
        <w:t xml:space="preserve"> </w:t>
      </w:r>
      <m:oMath>
        <m:r>
          <m:t>P</m:t>
        </m:r>
        <m:r>
          <m:rPr>
            <m:sty m:val="p"/>
          </m:rPr>
          <m:t>=</m:t>
        </m:r>
        <m:r>
          <m:t>0.18</m:t>
        </m:r>
      </m:oMath>
      <w:r>
        <w:t xml:space="preserve">; drug-induced tolerance +0.0003 against 0.0001,</w:t>
      </w:r>
      <w:r>
        <w:t xml:space="preserve"> </w:t>
      </w:r>
      <m:oMath>
        <m:r>
          <m:t>P</m:t>
        </m:r>
        <m:r>
          <m:rPr>
            <m:sty m:val="p"/>
          </m:rPr>
          <m:t>=</m:t>
        </m:r>
        <m:r>
          <m:t>0.11</m:t>
        </m:r>
      </m:oMath>
      <w:r>
        <w:t xml:space="preserv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at doses of 1 and 2 cost little, though 3 of those 4 are resolvably worse than continuous dosing at the highest dose (+0.0014 to +0.0029 per time unit,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t xml:space="preserve"> </w:t>
      </w:r>
      <w: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In the schedule scan, continuous dosing wins in all 3 models with the gate as without it, at the same dose in 3 of 3. The gate raises the long-term growth rate (+0.0026 to +0.0155 per time unit at all 60 points of the scan), which is what confining three quarters of the hazard to a window of the cycle implies, and it perturbs the order of the schedules below the winner (Spearman correlation 0.977 to 0.998 between the gated and cycle-blind orderings), but it changes neither which schedule wins nor the intermediate-dose optimum under drug-induced tolerance (+0.0156 against +0.0190 under the gate and +0.0089 against +0.0123 without it). Across the two scans a two-sided paired t-test resolves the margin over the best holiday at the 5% level in 4 of the 6 comparisons, the exceptions being pre-existing tolerance without the gate (+0.0004 against a paired standard error of 0.0002) and drug-induced tolerance without the gate (+0.0003 against a paired standard error of 0.0001) (Supplementary Note 13 and Supplementary Fig. 5).</w:t>
      </w:r>
    </w:p>
    <w:bookmarkEnd w:id="24"/>
    <w:bookmarkStart w:id="25"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time units, five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t xml:space="preserve"> </w:t>
      </w:r>
      <w: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t xml:space="preserve"> </w:t>
      </w:r>
      <w:r>
        <w:t xml:space="preserve">[13,14]</w:t>
      </w:r>
      <w:r>
        <w:t xml:space="preserve">.</w:t>
      </w:r>
    </w:p>
    <w:bookmarkEnd w:id="25"/>
    <w:bookmarkStart w:id="26"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t xml:space="preserve"> </w:t>
      </w:r>
      <w: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26"/>
    <w:bookmarkStart w:id="27"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t xml:space="preserve"> </w:t>
      </w:r>
      <w: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is the residual of the seed-averaged fate fractions pooled over every fraction of the concentrations named: four seeds per condition for the calibration, here and at the held-out concentration, and three for the comparison of the two killing mechanisms below, whose training errors alone are single-seed, because the optimiser evaluates one seed per candidate. The colour scale of Fig. 7e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-0.026 to +0.069, Student’s t on two degrees of freedom over three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t xml:space="preserve"> </w:t>
      </w:r>
      <w: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t xml:space="preserve"> </w:t>
      </w:r>
      <w: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t xml:space="preserve"> </w:t>
      </w:r>
      <w: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27"/>
    <w:bookmarkStart w:id="28"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t xml:space="preserve"> </w:t>
      </w:r>
      <w: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t xml:space="preserve"> </w:t>
      </w:r>
      <w:r>
        <w:t xml:space="preserve">[47]</w:t>
      </w:r>
      <w:r>
        <w:t xml:space="preserve">, and adaptive therapy, in which the drug is withdrawn when the population has halved and resumed when it regrows to its initial size</w:t>
      </w:r>
      <w:r>
        <w:t xml:space="preserve"> </w:t>
      </w:r>
      <w: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t xml:space="preserve"> </w:t>
      </w:r>
      <w: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t xml:space="preserve"> </w:t>
      </w:r>
      <w: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t xml:space="preserve"> </w:t>
      </w:r>
      <w: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t xml:space="preserve"> </w:t>
      </w:r>
      <w: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t xml:space="preserve"> </w:t>
      </w:r>
      <w:r>
        <w:t xml:space="preserve">[51]</w:t>
      </w:r>
      <w:r>
        <w:t xml:space="preserve">. We simulated both regimens with one-compartment pharmacokinetics (elimination half-life 2.1 h, a plasma value from a three-compartment population model of plasma and cerebrospinal fluid</w:t>
      </w:r>
      <w:r>
        <w:t xml:space="preserve"> </w:t>
      </w:r>
      <w:r>
        <w:t xml:space="preserve">[52]</w:t>
      </w:r>
      <w:r>
        <w:t xml:space="preserve">; an independent single-dose study gives 1.8 h</w:t>
      </w:r>
      <w:r>
        <w:t xml:space="preserve"> </w:t>
      </w:r>
      <w: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t xml:space="preserve"> </w:t>
      </w:r>
      <w: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w:t>
      </w:r>
      <w:r>
        <w:t xml:space="preserve">one molecule per lesion</w:t>
      </w:r>
      <w:r>
        <w:t xml:space="preserve">”</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t xml:space="preserve"> </w:t>
      </w:r>
      <w:r>
        <w:t xml:space="preserve">[54]</w:t>
      </w:r>
      <w:r>
        <w:t xml:space="preserve">, a compressed 1,000 mg/m² schedule takes it to 18% of initial levels while O⁶-methylguanine accumulates in both blood cells and tumour biopsies</w:t>
      </w:r>
      <w:r>
        <w:t xml:space="preserve"> </w:t>
      </w:r>
      <w:r>
        <w:t xml:space="preserve">[55]</w:t>
      </w:r>
      <w:r>
        <w:t xml:space="preserve">, and in orthotopic GBM43 xenografts tumour MGMT activity is depleted by day 6 on both the standard and the 21-day schedule and stays suppressed only on the 21-day one</w:t>
      </w:r>
      <w:r>
        <w:t xml:space="preserve"> </w:t>
      </w:r>
      <w: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28"/>
    <w:bookmarkEnd w:id="29"/>
    <w:bookmarkStart w:id="30"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t xml:space="preserve"> </w:t>
      </w:r>
      <w:r>
        <w:t xml:space="preserve">[27,28,33]</w:t>
      </w:r>
      <w:r>
        <w:t xml:space="preserve">, lineage-tracing data have their own simulators</w:t>
      </w:r>
      <w:r>
        <w:t xml:space="preserve"> </w:t>
      </w:r>
      <w:r>
        <w:t xml:space="preserve">[24,25]</w:t>
      </w:r>
      <w:r>
        <w:t xml:space="preserve">, compartment models of adaptive therapy established that the benefit of treatment holidays depends on a cost of resistance and on turnover</w:t>
      </w:r>
      <w:r>
        <w:t xml:space="preserve"> </w:t>
      </w:r>
      <w:r>
        <w:t xml:space="preserve">[48,50]</w:t>
      </w:r>
      <w:r>
        <w:t xml:space="preserve">, and phenotypic-switching theory established that perturbing the retention of a resistant state can decide a treatment outcome</w:t>
      </w:r>
      <w:r>
        <w:t xml:space="preserve"> </w:t>
      </w:r>
      <w: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t xml:space="preserve"> </w:t>
      </w:r>
      <w: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t xml:space="preserve"> </w:t>
      </w:r>
      <w: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(median 9.0 against 5.5 months, hazard ratio 1.36 for intermittent against continuous,</w:t>
      </w:r>
      <w:r>
        <w:t xml:space="preserve"> </w:t>
      </w:r>
      <m:oMath>
        <m:r>
          <m:t>P</m:t>
        </m:r>
        <m:r>
          <m:rPr>
            <m:sty m:val="p"/>
          </m:rPr>
          <m:t>=</m:t>
        </m:r>
        <m:r>
          <m:t>0.063</m:t>
        </m:r>
      </m:oMath>
      <w:r>
        <w:t xml:space="preserve"> </w:t>
      </w:r>
      <w:r>
        <w:t xml:space="preserve">against the trial’s pre-specified two-sided</w:t>
      </w:r>
      <w:r>
        <w:t xml:space="preserve"> </w:t>
      </w:r>
      <m:oMath>
        <m:r>
          <m:t>α</m:t>
        </m:r>
      </m:oMath>
      <w:r>
        <w:t xml:space="preserve"> </w:t>
      </w:r>
      <w:r>
        <w:t xml:space="preserve">of 0.2) did not carry through to overall survival, a secondary end point for which the trial was not powered and on which the two arms were equal at a median of 29.2 months</w:t>
      </w:r>
      <w:r>
        <w:t xml:space="preserve"> </w:t>
      </w:r>
      <w:r>
        <w:t xml:space="preserve">[47]</w:t>
      </w:r>
      <w:r>
        <w:t xml:space="preserve">; and in the xenografts the resistant tumours were drug-addicted, regressing on withdrawal rather than merely growing more slowly</w:t>
      </w:r>
      <w:r>
        <w:t xml:space="preserve"> </w:t>
      </w:r>
      <w: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t xml:space="preserve"> </w:t>
      </w:r>
      <w: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w:t>
      </w:r>
      <w:r>
        <w:t xml:space="preserve">one molecule per lesion</w:t>
      </w:r>
      <w:r>
        <w:t xml:space="preserve">”</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t xml:space="preserve"> </w:t>
      </w:r>
      <w: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t xml:space="preserve"> </w:t>
      </w:r>
      <w: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30"/>
    <w:bookmarkStart w:id="48" w:name="methods"/>
    <w:p>
      <w:pPr>
        <w:pStyle w:val="Heading1"/>
      </w:pPr>
      <w:r>
        <w:t xml:space="preserve">Methods</w:t>
      </w:r>
    </w:p>
    <w:bookmarkStart w:id="31"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31"/>
    <w:bookmarkStart w:id="32"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[57]</w:t>
      </w:r>
      <w:r>
        <w:t xml:space="preserve"> </w:t>
      </w:r>
      <w:r>
        <w:t xml:space="preserve">with propensities updated through a species-reaction dependency graph; fixed-step Poisson tau-leaping</w:t>
      </w:r>
      <w:r>
        <w:t xml:space="preserve"> </w:t>
      </w:r>
      <w:r>
        <w:t xml:space="preserve">[58]</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t xml:space="preserve"> </w:t>
      </w:r>
      <w:r>
        <w:t xml:space="preserve">[59]</w:t>
      </w:r>
      <w:r>
        <w:t xml:space="preserve"> </w:t>
      </w:r>
      <w:r>
        <w:t xml:space="preserve">and the critical-reaction partition of</w:t>
      </w:r>
      <w:r>
        <w:t xml:space="preserve"> </w:t>
      </w:r>
      <w: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32"/>
    <w:bookmarkStart w:id="33"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33"/>
    <w:bookmarkStart w:id="34"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r>
                  <m:t>m</m:t>
                </m:r>
              </m:sup>
            </m:sSup>
          </m:e>
        </m:d>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34"/>
    <w:bookmarkStart w:id="35"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t xml:space="preserve"> </w:t>
      </w:r>
      <w:r>
        <w:t xml:space="preserve">[61]</w:t>
      </w:r>
      <w:r>
        <w:t xml:space="preserve">, the variance of clone-mean expression divided by its permutation-null expectation.</w:t>
      </w:r>
    </w:p>
    <w:bookmarkEnd w:id="35"/>
    <w:bookmarkStart w:id="36"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36"/>
    <w:bookmarkStart w:id="37" w:name="inference"/>
    <w:p>
      <w:pPr>
        <w:pStyle w:val="Heading2"/>
      </w:pPr>
      <w:r>
        <w:t xml:space="preserve">Inference</w:t>
      </w:r>
    </w:p>
    <w:p>
      <w:pPr>
        <w:pStyle w:val="FirstParagraph"/>
      </w:pPr>
      <w:r>
        <w:t xml:space="preserve">Snapshot counts of a gene in non-dividing cells follow the Beta-Poisson law of the telegraph model</w:t>
      </w:r>
      <w:r>
        <w:t xml:space="preserve"> </w:t>
      </w:r>
      <w: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t xml:space="preserve"> </w:t>
      </w:r>
      <w: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t xml:space="preserve"> </w:t>
      </w:r>
      <w:r>
        <w:t xml:space="preserve">[43]</w:t>
      </w:r>
      <w:r>
        <w:t xml:space="preserve">.</w:t>
      </w:r>
    </w:p>
    <w:bookmarkEnd w:id="37"/>
    <w:bookmarkStart w:id="38"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t xml:space="preserve"> </w:t>
      </w:r>
      <w: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38"/>
    <w:bookmarkStart w:id="39"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t xml:space="preserve"> </w:t>
      </w:r>
      <w: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t xml:space="preserve"> </w:t>
      </w:r>
      <w: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t xml:space="preserve"> </w:t>
      </w:r>
      <w: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t xml:space="preserve"> </w:t>
      </w:r>
      <w:r>
        <w:t xml:space="preserve">[2]</w:t>
      </w:r>
      <w:r>
        <w:t xml:space="preserve"> </w:t>
      </w:r>
      <w:r>
        <w:t xml:space="preserve">used as a proxy for the functional pre-resistant fraction, which is not the same quantity, and 5- to 50-fold higher than the 1 in 1,000 to 1 in 10,000 at which drug-naive precursors of resistant fates have been traced</w:t>
      </w:r>
      <w:r>
        <w:t xml:space="preserve"> </w:t>
      </w:r>
      <w:r>
        <w:t xml:space="preserve">[38]</w:t>
      </w:r>
      <w:r>
        <w:t xml:space="preserve">; the arms of Fig. 8 that lose control therefore do so earlier than the traced frequency would give, while those censored at 52 weeks are unaffected), with a memory of five net doublings (the model’s generation is the net doubling of the tumour, a modelling choice rather than the cell-division-counted memory of memory sequencing</w:t>
      </w:r>
      <w:r>
        <w:t xml:space="preserve"> </w:t>
      </w:r>
      <w: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t xml:space="preserve"> </w:t>
      </w:r>
      <w:r>
        <w:t xml:space="preserve">[2]</w:t>
      </w:r>
      <w:r>
        <w:t xml:space="preserve">). Three variants of the resistant state are compared: full protection without cost; a 50% fitness cost in the absence of drug</w:t>
      </w:r>
      <w:r>
        <w:t xml:space="preserve"> </w:t>
      </w:r>
      <w: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t xml:space="preserve"> </w:t>
      </w:r>
      <w:r>
        <w:t xml:space="preserve">[52]</w:t>
      </w:r>
      <w:r>
        <w:t xml:space="preserve"> </w:t>
      </w:r>
      <w:r>
        <w:t xml:space="preserve">(a plasma value from a three-compartment population model of plasma and cerebrospinal fluid; that study measured cerebrospinal fluid rather than tumour tissue and found its exposure to be 20% of plasma exposure, so a plasma half-life stands here as a surrogate for what the tumour sees), the regimens of RTOG 0525</w:t>
      </w:r>
      <w:r>
        <w:t xml:space="preserve"> </w:t>
      </w:r>
      <w: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a dose-scaled first-order degradation, which isolates the consequence of letting depletion follow the cumulative exposure instead of the peak concentration; this is the suicide-enzyme behaviour that motivated dose-dense schedules.</w:t>
      </w:r>
    </w:p>
    <w:bookmarkEnd w:id="39"/>
    <w:bookmarkStart w:id="40"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40"/>
    <w:bookmarkStart w:id="41"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t xml:space="preserve"> </w:t>
      </w:r>
      <w:r>
        <w:t xml:space="preserve">[65,66]</w:t>
      </w:r>
      <w:r>
        <w:t xml:space="preserve">), by agreement between kernels, and by a two-sample comparison against JumpProcesses.jl</w:t>
      </w:r>
      <w:r>
        <w:t xml:space="preserve"> </w:t>
      </w:r>
      <w: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t xml:space="preserve"> </w:t>
      </w:r>
      <w: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t xml:space="preserve"> </w:t>
      </w:r>
      <w:r>
        <w:t xml:space="preserve">[27]</w:t>
      </w:r>
      <w:r>
        <w:t xml:space="preserve">, partitioning noise</w:t>
      </w:r>
      <w:r>
        <w:t xml:space="preserve"> </w:t>
      </w:r>
      <w:r>
        <w:t xml:space="preserve">[68]</w:t>
      </w:r>
      <w:r>
        <w:t xml:space="preserve">, lineage versus population statistics</w:t>
      </w:r>
      <w:r>
        <w:t xml:space="preserve"> </w:t>
      </w:r>
      <w:r>
        <w:t xml:space="preserve">[11]</w:t>
      </w:r>
      <w:r>
        <w:t xml:space="preserve"> </w:t>
      </w:r>
      <w:r>
        <w:t xml:space="preserve">and cell-cycle-dependent burst parameters</w:t>
      </w:r>
      <w:r>
        <w:t xml:space="preserve"> </w:t>
      </w:r>
      <w:r>
        <w:t xml:space="preserve">[10]</w:t>
      </w:r>
      <w:r>
        <w:t xml:space="preserve">. Persister simulations were compared with the quantitative signatures reported by</w:t>
      </w:r>
      <w:r>
        <w:t xml:space="preserve"> </w:t>
      </w:r>
      <w:r>
        <w:t xml:space="preserve">[6]</w:t>
      </w:r>
      <w:r>
        <w:t xml:space="preserve">,</w:t>
      </w:r>
      <w:r>
        <w:t xml:space="preserve"> </w:t>
      </w:r>
      <w:r>
        <w:t xml:space="preserve">[42]</w:t>
      </w:r>
      <w:r>
        <w:t xml:space="preserve"> </w:t>
      </w:r>
      <w:r>
        <w:t xml:space="preserve">and</w:t>
      </w:r>
      <w:r>
        <w:t xml:space="preserve"> </w:t>
      </w:r>
      <w:r>
        <w:t xml:space="preserve">[9]</w:t>
      </w:r>
      <w:r>
        <w:t xml:space="preserve">, and with the phenotypic-selection model of</w:t>
      </w:r>
      <w:r>
        <w:t xml:space="preserve"> </w:t>
      </w:r>
      <w: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41"/>
    <w:bookmarkStart w:id="42"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42"/>
    <w:bookmarkStart w:id="43"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Schedules within a scan are evaluated on common random numbers, the same seeds for every point of the grid, so they are compared by the paired differences over those seeds rather than by an unpaired standard error, which the shared founder population would make invalid; a margin is called resolved when a two-sided paired Student’s t-test rejects equality at the 5% level, which on four degrees of freedom requires the margin to exceed 2.776 of its paired standard errors rather than two. Multithreaded runs give results identical to single-threaded runs, because each cell carries its own random number generator seeded from its parent.</w:t>
      </w:r>
    </w:p>
    <w:bookmarkEnd w:id="43"/>
    <w:bookmarkStart w:id="44"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tools used were Claude Opus 5, Claude Opus 4.8 and Claude Fable 5.1 (Anthropic), accessed through the Claude Code command-line interface between 19 and 22 September 2026; the model used for each commit is recorded in that commit’s trailer in the repository, so the record is auditable rather than summary. The model was not used to generate citations: every reference was located by the author and its bibliographic details and quantitative claims were checked against the primary record. The model is not an author, in keeping with journal policy on generative artificial intelligence, and the author is accountable for the accuracy and integrity of everything reported here.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44"/>
    <w:bookmarkStart w:id="45"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they are regenerated exactly, from fixed seeds, by the scripts in the</w:t>
      </w:r>
      <w:r>
        <w:t xml:space="preserve"> </w:t>
      </w:r>
      <w:r>
        <w:rPr>
          <w:rStyle w:val="VerbatimChar"/>
        </w:rPr>
        <w:t xml:space="preserve">paper/</w:t>
      </w:r>
      <w:r>
        <w:t xml:space="preserve"> </w:t>
      </w:r>
      <w:r>
        <w:t xml:space="preserve">directory of that repository, so those scripts rather than a deposited table are the primary record.</w:t>
      </w:r>
    </w:p>
    <w:bookmarkEnd w:id="45"/>
    <w:bookmarkStart w:id="46"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remaining opt-in analyses, the cell-cycle refits and scans (</w:t>
      </w:r>
      <w:r>
        <w:rPr>
          <w:rStyle w:val="VerbatimChar"/>
        </w:rPr>
        <w:t xml:space="preserve">fig7_calibration.jl cycle</w:t>
      </w:r>
      <w:r>
        <w:t xml:space="preserve">,</w:t>
      </w:r>
      <w:r>
        <w:t xml:space="preserve"> </w:t>
      </w:r>
      <w:r>
        <w:rPr>
          <w:rStyle w:val="VerbatimChar"/>
        </w:rPr>
        <w:t xml:space="preserve">fig4_persisters.jl cycle seeds</w:t>
      </w:r>
      <w:r>
        <w:t xml:space="preserve">,</w:t>
      </w:r>
      <w:r>
        <w:t xml:space="preserve"> </w:t>
      </w:r>
      <w:r>
        <w:rPr>
          <w:rStyle w:val="VerbatimChar"/>
        </w:rPr>
        <w:t xml:space="preserve">fig8_schedules.jl melanoma_cycle melanoma_memory</w:t>
      </w:r>
      <w:r>
        <w:t xml:space="preserve">) and the exact-solution validation of Supplementary Fig. 6 (</w:t>
      </w:r>
      <w:r>
        <w:rPr>
          <w:rStyle w:val="VerbatimChar"/>
        </w:rPr>
        <w:t xml:space="preserve">fig9_validation.jl</w:t>
      </w:r>
      <w:r>
        <w:t xml:space="preserve">, followed by</w:t>
      </w:r>
      <w:r>
        <w:t xml:space="preserve"> </w:t>
      </w:r>
      <w:r>
        <w:rPr>
          <w:rStyle w:val="VerbatimChar"/>
        </w:rPr>
        <w:t xml:space="preserve">python paper/scripts/exact_solutions.py</w:t>
      </w:r>
      <w:r>
        <w:t xml:space="preserve">), are listed in</w:t>
      </w:r>
      <w:r>
        <w:t xml:space="preserve"> </w:t>
      </w:r>
      <w:r>
        <w:rPr>
          <w:rStyle w:val="VerbatimChar"/>
        </w:rPr>
        <w:t xml:space="preserve">paper/README.md</w:t>
      </w:r>
      <w:r>
        <w:t xml:space="preserve"> </w:t>
      </w:r>
      <w:r>
        <w:t xml:space="preserve">with their invocations.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invocation that produces the timings of Supplementary Table 3, are in</w:t>
      </w:r>
      <w:r>
        <w:t xml:space="preserve"> </w:t>
      </w:r>
      <w:r>
        <w:rPr>
          <w:rStyle w:val="VerbatimChar"/>
        </w:rPr>
        <w:t xml:space="preserve">paper/README.md</w:t>
      </w:r>
      <w:r>
        <w:t xml:space="preserve">.</w:t>
      </w:r>
    </w:p>
    <w:bookmarkEnd w:id="46"/>
    <w:bookmarkStart w:id="47"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[69]</w:t>
      </w:r>
      <w:r>
        <w:t xml:space="preserve">, MAGIC</w:t>
      </w:r>
      <w:r>
        <w:t xml:space="preserve"> </w:t>
      </w:r>
      <w:r>
        <w:t xml:space="preserve">[70]</w:t>
      </w:r>
      <w:r>
        <w:t xml:space="preserve"> </w:t>
      </w:r>
      <w:r>
        <w:t xml:space="preserve">and kNN-smoothing</w:t>
      </w:r>
      <w:r>
        <w:t xml:space="preserve"> </w:t>
      </w:r>
      <w:r>
        <w:t xml:space="preserve">[71]</w:t>
      </w:r>
      <w:r>
        <w:t xml:space="preserve">. The test suite (Aqua quality checks and statistical tests) runs under GitHub Actions on Julia 1.10 and the latest release.</w:t>
      </w:r>
    </w:p>
    <w:bookmarkEnd w:id="47"/>
    <w:bookmarkEnd w:id="48"/>
    <w:bookmarkStart w:id="73" w:name="figure-legends"/>
    <w:p>
      <w:pPr>
        <w:pStyle w:val="Heading1"/>
      </w:pPr>
      <w:r>
        <w:t xml:space="preserve">Figure legends</w:t>
      </w:r>
    </w:p>
    <w:p>
      <w:pPr>
        <w:pStyle w:val="FirstParagraph"/>
      </w:pPr>
      <w:r>
        <w:drawing>
          <wp:inline>
            <wp:extent cx="5334000" cy="3630083"/>
            <wp:effectExtent b="0" l="0" r="0" t="0"/>
            <wp:docPr descr="" title="" id="50" name="Picture"/>
            <a:graphic>
              <a:graphicData uri="http://schemas.openxmlformats.org/drawingml/2006/picture">
                <pic:pic>
                  <pic:nvPicPr>
                    <pic:cNvPr descr="fig1_framework.png" id="51" name="Picture"/>
                    <pic:cNvPicPr>
                      <a:picLocks noChangeArrowheads="1" noChangeAspect="1"/>
                    </pic:cNvPicPr>
                  </pic:nvPicPr>
                  <pic:blipFill>
                    <a:blip r:embed="rId49"/>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Cs/>
          <w:b/>
        </w:rPr>
        <w:t xml:space="preserve">Fig. 1 | The Biomodelling.jl 2.0 framework.</w:t>
      </w:r>
      <w:r>
        <w:t xml:space="preserve"> </w:t>
      </w:r>
      <w:r>
        <w:rPr>
          <w:bCs/>
          <w:b/>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Cs/>
          <w:b/>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Cs/>
          <w:b/>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Cs/>
          <w:b/>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Cs/>
          <w:b/>
        </w:rPr>
        <w:t xml:space="preserve">e</w:t>
      </w:r>
      <w:r>
        <w:t xml:space="preserve">, A complete experiment in twelve lines of code.</w:t>
      </w:r>
    </w:p>
    <w:p>
      <w:pPr>
        <w:pStyle w:val="BodyText"/>
      </w:pPr>
      <w:r>
        <w:drawing>
          <wp:inline>
            <wp:extent cx="5334000" cy="3445617"/>
            <wp:effectExtent b="0" l="0" r="0" t="0"/>
            <wp:docPr descr="" title="" id="53" name="Picture"/>
            <a:graphic>
              <a:graphicData uri="http://schemas.openxmlformats.org/drawingml/2006/picture">
                <pic:pic>
                  <pic:nvPicPr>
                    <pic:cNvPr descr="fig2_engine.png" id="54" name="Picture"/>
                    <pic:cNvPicPr>
                      <a:picLocks noChangeArrowheads="1" noChangeAspect="1"/>
                    </pic:cNvPicPr>
                  </pic:nvPicPr>
                  <pic:blipFill>
                    <a:blip r:embed="rId52"/>
                    <a:stretch>
                      <a:fillRect/>
                    </a:stretch>
                  </pic:blipFill>
                  <pic:spPr bwMode="auto">
                    <a:xfrm>
                      <a:off x="0" y="0"/>
                      <a:ext cx="5334000" cy="3445617"/>
                    </a:xfrm>
                    <a:prstGeom prst="rect">
                      <a:avLst/>
                    </a:prstGeom>
                    <a:noFill/>
                    <a:ln w="9525">
                      <a:noFill/>
                      <a:headEnd/>
                      <a:tailEnd/>
                    </a:ln>
                  </pic:spPr>
                </pic:pic>
              </a:graphicData>
            </a:graphic>
          </wp:inline>
        </w:drawing>
      </w:r>
    </w:p>
    <w:p>
      <w:pPr>
        <w:pStyle w:val="BodyText"/>
      </w:pPr>
      <w:r>
        <w:rPr>
          <w:bCs/>
          <w:b/>
        </w:rPr>
        <w:t xml:space="preserve">Fig. 2 | The engine matches exact laws and an independent implementation.</w:t>
      </w:r>
      <w:r>
        <w:t xml:space="preserve"> </w:t>
      </w:r>
      <w:r>
        <w:rPr>
          <w:bCs/>
          <w:b/>
        </w:rPr>
        <w:t xml:space="preserve">a</w:t>
      </w:r>
      <w:r>
        <w:t xml:space="preserve">, Stationary distribution of a birth-death process (bars, 50,000 simulated cells; line, Poisson law).</w:t>
      </w:r>
      <w:r>
        <w:t xml:space="preserve"> </w:t>
      </w:r>
      <w:r>
        <w:rPr>
          <w:bCs/>
          <w:b/>
        </w:rPr>
        <w:t xml:space="preserve">b</w:t>
      </w:r>
      <w:r>
        <w:t xml:space="preserve">, Telegraph model in an intermediate and a bursty regime against the Beta-Poisson law.</w:t>
      </w:r>
      <w:r>
        <w:t xml:space="preserve"> </w:t>
      </w:r>
      <w:r>
        <w:rPr>
          <w:bCs/>
          <w:b/>
        </w:rPr>
        <w:t xml:space="preserve">c</w:t>
      </w:r>
      <w:r>
        <w:t xml:space="preserve">, Bursty protein production against the negative binomial.</w:t>
      </w:r>
      <w:r>
        <w:t xml:space="preserve"> </w:t>
      </w:r>
      <w:r>
        <w:rPr>
          <w:bCs/>
          <w:b/>
        </w:rPr>
        <w:t xml:space="preserve">d</w:t>
      </w:r>
      <w:r>
        <w:t xml:space="preserve">, Kolmogorov-Smirnov distance to the exact law for every kernel (n = 20,000; dotted line, 99% critical value) with wall-clock time per 10⁴ cells.</w:t>
      </w:r>
      <w:r>
        <w:t xml:space="preserve"> </w:t>
      </w:r>
      <w:r>
        <w:rPr>
          <w:bCs/>
          <w:b/>
        </w:rPr>
        <w:t xml:space="preserve">e</w:t>
      </w:r>
      <w:r>
        <w:t xml:space="preserve">, Telegraph model simulated with Biomodelling.jl and with JumpProcesses.jl on the same model; the two-sample Kolmogorov-Smirnov statistic lies below its 99% critical value.</w:t>
      </w:r>
      <w:r>
        <w:t xml:space="preserve"> </w:t>
      </w:r>
      <w:r>
        <w:rPr>
          <w:bCs/>
          <w:b/>
        </w:rPr>
        <w:t xml:space="preserve">f</w:t>
      </w:r>
      <w:r>
        <w:t xml:space="preserve">, Runtime of population simulations against the number of cells (10 genes) and genes (1,000 cells) for the exact and hybrid kernels.</w:t>
      </w:r>
    </w:p>
    <w:p>
      <w:pPr>
        <w:pStyle w:val="BodyText"/>
      </w:pPr>
      <w:r>
        <w:drawing>
          <wp:inline>
            <wp:extent cx="5334000" cy="3978002"/>
            <wp:effectExtent b="0" l="0" r="0" t="0"/>
            <wp:docPr descr="" title="" id="56" name="Picture"/>
            <a:graphic>
              <a:graphicData uri="http://schemas.openxmlformats.org/drawingml/2006/picture">
                <pic:pic>
                  <pic:nvPicPr>
                    <pic:cNvPr descr="fig3_growth.png" id="57" name="Picture"/>
                    <pic:cNvPicPr>
                      <a:picLocks noChangeArrowheads="1" noChangeAspect="1"/>
                    </pic:cNvPicPr>
                  </pic:nvPicPr>
                  <pic:blipFill>
                    <a:blip r:embed="rId55"/>
                    <a:stretch>
                      <a:fillRect/>
                    </a:stretch>
                  </pic:blipFill>
                  <pic:spPr bwMode="auto">
                    <a:xfrm>
                      <a:off x="0" y="0"/>
                      <a:ext cx="5334000" cy="3978002"/>
                    </a:xfrm>
                    <a:prstGeom prst="rect">
                      <a:avLst/>
                    </a:prstGeom>
                    <a:noFill/>
                    <a:ln w="9525">
                      <a:noFill/>
                      <a:headEnd/>
                      <a:tailEnd/>
                    </a:ln>
                  </pic:spPr>
                </pic:pic>
              </a:graphicData>
            </a:graphic>
          </wp:inline>
        </w:drawing>
      </w:r>
    </w:p>
    <w:p>
      <w:pPr>
        <w:pStyle w:val="BodyText"/>
      </w:pPr>
      <w:r>
        <w:rPr>
          <w:bCs/>
          <w:b/>
        </w:rPr>
        <w:t xml:space="preserve">Fig. 3 | Growth, division and partitioning generate memory, size scaling and cell-cycle effects.</w:t>
      </w:r>
      <w:r>
        <w:t xml:space="preserve"> </w:t>
      </w:r>
      <w:r>
        <w:rPr>
          <w:bCs/>
          <w:b/>
        </w:rPr>
        <w:t xml:space="preserve">a</w:t>
      </w:r>
      <w:r>
        <w:t xml:space="preserve">, A single lineage: volume, mRNA and protein of a slowly switching gene, with the promoter-on state shaded.</w:t>
      </w:r>
      <w:r>
        <w:t xml:space="preserve"> </w:t>
      </w:r>
      <w:r>
        <w:rPr>
          <w:bCs/>
          <w:b/>
        </w:rPr>
        <w:t xml:space="preserve">b</w:t>
      </w:r>
      <w:r>
        <w:t xml:space="preserve">, mRNA count against cell volume for a fast-switching gene without replication (points; line, mean concentration × V) and with gene replication at mid-cycle (binned means).</w:t>
      </w:r>
      <w:r>
        <w:t xml:space="preserve"> </w:t>
      </w:r>
      <w:r>
        <w:rPr>
          <w:bCs/>
          <w:b/>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Cs/>
          <w:b/>
        </w:rPr>
        <w:t xml:space="preserve">d</w:t>
      </w:r>
      <w:r>
        <w:t xml:space="preserve">, Memory timescale against the measured cell-cycle time for two switching rates; dotted lines,</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w:t>
      </w:r>
      <w:r>
        <w:t xml:space="preserve"> </w:t>
      </w:r>
      <w:r>
        <w:rPr>
          <w:bCs/>
          <w:b/>
        </w:rPr>
        <w:t xml:space="preserve">e</w:t>
      </w:r>
      <w:r>
        <w:t xml:space="preserve">, Squared coefficient of variation of a stable protein’s concentration across the population and along single lineages, for increasing partitioning noise and cell-cycle-time noise.</w:t>
      </w:r>
      <w:r>
        <w:t xml:space="preserve"> </w:t>
      </w:r>
      <w:r>
        <w:rPr>
          <w:bCs/>
          <w:b/>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paper/output/fig3f_copynumber.csv</w:t>
      </w:r>
      <w:r>
        <w:t xml:space="preserve">.</w:t>
      </w:r>
    </w:p>
    <w:p>
      <w:pPr>
        <w:pStyle w:val="BodyText"/>
      </w:pPr>
      <w:r>
        <w:drawing>
          <wp:inline>
            <wp:extent cx="5334000" cy="4961953"/>
            <wp:effectExtent b="0" l="0" r="0" t="0"/>
            <wp:docPr descr="" title="" id="59" name="Picture"/>
            <a:graphic>
              <a:graphicData uri="http://schemas.openxmlformats.org/drawingml/2006/picture">
                <pic:pic>
                  <pic:nvPicPr>
                    <pic:cNvPr descr="fig4_persisters.png" id="60" name="Picture"/>
                    <pic:cNvPicPr>
                      <a:picLocks noChangeArrowheads="1" noChangeAspect="1"/>
                    </pic:cNvPicPr>
                  </pic:nvPicPr>
                  <pic:blipFill>
                    <a:blip r:embed="rId58"/>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Cs/>
          <w:b/>
        </w:rPr>
        <w:t xml:space="preserve">Fig. 4 | A single resistance gene with slow promoter switching reproduces persister biology.</w:t>
      </w:r>
      <w:r>
        <w:t xml:space="preserve"> </w:t>
      </w:r>
      <w:r>
        <w:rPr>
          <w:bCs/>
          <w:b/>
        </w:rPr>
        <w:t xml:space="preserve">a</w:t>
      </w:r>
      <w:r>
        <w:t xml:space="preserve">, Population size under continuous, pulsed and reduced-dose schedules (shading, treatment window).</w:t>
      </w:r>
      <w:r>
        <w:t xml:space="preserve"> </w:t>
      </w:r>
      <w:r>
        <w:rPr>
          <w:bCs/>
          <w:b/>
        </w:rPr>
        <w:t xml:space="preserve">b</w:t>
      </w:r>
      <w:r>
        <w:t xml:space="preserve">, Kill curves at increasing dose.</w:t>
      </w:r>
      <w:r>
        <w:t xml:space="preserve"> </w:t>
      </w:r>
      <w:r>
        <w:rPr>
          <w:bCs/>
          <w:b/>
        </w:rPr>
        <w:t xml:space="preserve">c</w:t>
      </w:r>
      <w:r>
        <w:t xml:space="preserve">, Net population decay rate over the first 30 time units of treatment against dose, with the mean division time of cells born under drug (inset), which is unchanged.</w:t>
      </w:r>
      <w:r>
        <w:t xml:space="preserve"> </w:t>
      </w:r>
      <w:r>
        <w:rPr>
          <w:bCs/>
          <w:b/>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Cs/>
          <w:b/>
        </w:rPr>
        <w:t xml:space="preserve">e</w:t>
      </w:r>
      <w:r>
        <w:t xml:space="preserve">, Effective number of clones (barcodes) before and after drug for pre-existing and drug-induced tolerance (mean ± s.d. of three seeds).</w:t>
      </w:r>
      <w:r>
        <w:t xml:space="preserve"> </w:t>
      </w:r>
      <w:r>
        <w:rPr>
          <w:bCs/>
          <w:b/>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Cs/>
          <w:b/>
        </w:rPr>
        <w:t xml:space="preserve">g</w:t>
      </w:r>
      <w:r>
        <w:t xml:space="preserve">, Fraction of high-expressing cells before, during and after a drug pulse for slow and fast switching.</w:t>
      </w:r>
      <w:r>
        <w:t xml:space="preserve"> </w:t>
      </w:r>
      <w:r>
        <w:rPr>
          <w:bCs/>
          <w:b/>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schedule with the lowest mean growth rate; every schedule is run on the same five seeds and compared by paired differences, and the margin over the best alternative with a non-zero release period is resolved in only one of the three mechanisms (Supplementary Note 4).</w:t>
      </w:r>
    </w:p>
    <w:p>
      <w:pPr>
        <w:pStyle w:val="BodyText"/>
      </w:pPr>
      <w:r>
        <w:drawing>
          <wp:inline>
            <wp:extent cx="5334000" cy="3878106"/>
            <wp:effectExtent b="0" l="0" r="0" t="0"/>
            <wp:docPr descr="" title="" id="62" name="Picture"/>
            <a:graphic>
              <a:graphicData uri="http://schemas.openxmlformats.org/drawingml/2006/picture">
                <pic:pic>
                  <pic:nvPicPr>
                    <pic:cNvPr descr="fig5_benchmarks.png" id="63" name="Picture"/>
                    <pic:cNvPicPr>
                      <a:picLocks noChangeArrowheads="1" noChangeAspect="1"/>
                    </pic:cNvPicPr>
                  </pic:nvPicPr>
                  <pic:blipFill>
                    <a:blip r:embed="rId61"/>
                    <a:stretch>
                      <a:fillRect/>
                    </a:stretch>
                  </pic:blipFill>
                  <pic:spPr bwMode="auto">
                    <a:xfrm>
                      <a:off x="0" y="0"/>
                      <a:ext cx="5334000" cy="3878106"/>
                    </a:xfrm>
                    <a:prstGeom prst="rect">
                      <a:avLst/>
                    </a:prstGeom>
                    <a:noFill/>
                    <a:ln w="9525">
                      <a:noFill/>
                      <a:headEnd/>
                      <a:tailEnd/>
                    </a:ln>
                  </pic:spPr>
                </pic:pic>
              </a:graphicData>
            </a:graphic>
          </wp:inline>
        </w:drawing>
      </w:r>
    </w:p>
    <w:p>
      <w:pPr>
        <w:pStyle w:val="BodyText"/>
      </w:pPr>
      <w:r>
        <w:rPr>
          <w:bCs/>
          <w:b/>
        </w:rPr>
        <w:t xml:space="preserve">Fig. 5 | Ground-truth benchmarks.</w:t>
      </w:r>
      <w:r>
        <w:t xml:space="preserve"> </w:t>
      </w:r>
      <w:r>
        <w:rPr>
          <w:bCs/>
          <w:b/>
        </w:rPr>
        <w:t xml:space="preserve">a</w:t>
      </w:r>
      <w:r>
        <w:t xml:space="preserve">, Clonal variance score against the known memory time of 40 independent genes, from true concentrations and from sequenced counts; dotted line, cell-cycle time.</w:t>
      </w:r>
      <w:r>
        <w:t xml:space="preserve"> </w:t>
      </w:r>
      <w:r>
        <w:rPr>
          <w:bCs/>
          <w:b/>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Cs/>
          <w:b/>
        </w:rPr>
        <w:t xml:space="preserve">c</w:t>
      </w:r>
      <w:r>
        <w:t xml:space="preserve">, Effect of kNN-smoothing and MAGIC imputation before inference.</w:t>
      </w:r>
      <w:r>
        <w:t xml:space="preserve"> </w:t>
      </w:r>
      <w:r>
        <w:rPr>
          <w:bCs/>
          <w:b/>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77809"/>
            <wp:effectExtent b="0" l="0" r="0" t="0"/>
            <wp:docPr descr="" title="" id="65" name="Picture"/>
            <a:graphic>
              <a:graphicData uri="http://schemas.openxmlformats.org/drawingml/2006/picture">
                <pic:pic>
                  <pic:nvPicPr>
                    <pic:cNvPr descr="fig6_inference.png" id="66" name="Picture"/>
                    <pic:cNvPicPr>
                      <a:picLocks noChangeArrowheads="1" noChangeAspect="1"/>
                    </pic:cNvPicPr>
                  </pic:nvPicPr>
                  <pic:blipFill>
                    <a:blip r:embed="rId64"/>
                    <a:stretch>
                      <a:fillRect/>
                    </a:stretch>
                  </pic:blipFill>
                  <pic:spPr bwMode="auto">
                    <a:xfrm>
                      <a:off x="0" y="0"/>
                      <a:ext cx="5334000" cy="5177809"/>
                    </a:xfrm>
                    <a:prstGeom prst="rect">
                      <a:avLst/>
                    </a:prstGeom>
                    <a:noFill/>
                    <a:ln w="9525">
                      <a:noFill/>
                      <a:headEnd/>
                      <a:tailEnd/>
                    </a:ln>
                  </pic:spPr>
                </pic:pic>
              </a:graphicData>
            </a:graphic>
          </wp:inline>
        </w:drawing>
      </w:r>
    </w:p>
    <w:p>
      <w:pPr>
        <w:pStyle w:val="BodyText"/>
      </w:pPr>
      <w:r>
        <w:rPr>
          <w:bCs/>
          <w:b/>
        </w:rPr>
        <w:t xml:space="preserve">Fig. 6 | Inference with the forward model.</w:t>
      </w:r>
      <w:r>
        <w:t xml:space="preserve"> </w:t>
      </w:r>
      <w:r>
        <w:rPr>
          <w:bCs/>
          <w:b/>
        </w:rPr>
        <w:t xml:space="preserve">a</w:t>
      </w:r>
      <w:r>
        <w:t xml:space="preserve">, Posterior distributions of telegraph parameters from ABC-SMC on a snapshot of non-dividing cells, with the truth and the exact maximum-likelihood estimate.</w:t>
      </w:r>
      <w:r>
        <w:t xml:space="preserve"> </w:t>
      </w:r>
      <w:r>
        <w:rPr>
          <w:bCs/>
          <w:b/>
        </w:rPr>
        <w:t xml:space="preserve">b</w:t>
      </w:r>
      <w:r>
        <w:t xml:space="preserve">, The same for a snapshot of a growing and dividing population: the naive telegraph fit is biased while division-aware ABC recovers the truth.</w:t>
      </w:r>
      <w:r>
        <w:t xml:space="preserve"> </w:t>
      </w:r>
      <w:r>
        <w:rPr>
          <w:bCs/>
          <w:b/>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Cs/>
          <w:b/>
        </w:rPr>
        <w:t xml:space="preserve">d</w:t>
      </w:r>
      <w:r>
        <w:t xml:space="preserve">, Posterior predictive kill curves simulated at the posterior median against the observed curve.</w:t>
      </w:r>
    </w:p>
    <w:p>
      <w:pPr>
        <w:pStyle w:val="BodyText"/>
      </w:pPr>
      <w:r>
        <w:drawing>
          <wp:inline>
            <wp:extent cx="5334000" cy="4292236"/>
            <wp:effectExtent b="0" l="0" r="0" t="0"/>
            <wp:docPr descr="" title="" id="68" name="Picture"/>
            <a:graphic>
              <a:graphicData uri="http://schemas.openxmlformats.org/drawingml/2006/picture">
                <pic:pic>
                  <pic:nvPicPr>
                    <pic:cNvPr descr="fig7_calibration.png" id="69" name="Picture"/>
                    <pic:cNvPicPr>
                      <a:picLocks noChangeArrowheads="1" noChangeAspect="1"/>
                    </pic:cNvPicPr>
                  </pic:nvPicPr>
                  <pic:blipFill>
                    <a:blip r:embed="rId67"/>
                    <a:stretch>
                      <a:fillRect/>
                    </a:stretch>
                  </pic:blipFill>
                  <pic:spPr bwMode="auto">
                    <a:xfrm>
                      <a:off x="0" y="0"/>
                      <a:ext cx="5334000" cy="4292236"/>
                    </a:xfrm>
                    <a:prstGeom prst="rect">
                      <a:avLst/>
                    </a:prstGeom>
                    <a:noFill/>
                    <a:ln w="9525">
                      <a:noFill/>
                      <a:headEnd/>
                      <a:tailEnd/>
                    </a:ln>
                  </pic:spPr>
                </pic:pic>
              </a:graphicData>
            </a:graphic>
          </wp:inline>
        </w:drawing>
      </w:r>
    </w:p>
    <w:p>
      <w:pPr>
        <w:pStyle w:val="BodyText"/>
      </w:pPr>
      <w:r>
        <w:rPr>
          <w:bCs/>
          <w:b/>
        </w:rPr>
        <w:t xml:space="preserve">Fig. 7 | Calibration to laboratory time-lapse data and validation on held-out conditions.</w:t>
      </w:r>
      <w:r>
        <w:t xml:space="preserve"> </w:t>
      </w:r>
      <w:r>
        <w:rPr>
          <w:bCs/>
          <w:b/>
        </w:rPr>
        <w:t xml:space="preserve">a</w:t>
      </w:r>
      <w:r>
        <w:t xml:space="preserve">, Fates over 72 h of cisplatin of U2OS cells present at drug addition, observed by time-lapse microscopy (grey; ref.</w:t>
      </w:r>
      <w:r>
        <w:t xml:space="preserve"> </w:t>
      </w:r>
      <w:r>
        <w:t xml:space="preserve">[6]</w:t>
      </w:r>
      <w:r>
        <w:t xml:space="preserve">) and simulated by the calibrated model (colours; mean ± s.d. of four seeds); the model was calibrated on 7 and 13 µM and the 10 µM condition is predicted.</w:t>
      </w:r>
      <w:r>
        <w:t xml:space="preserve"> </w:t>
      </w:r>
      <w:r>
        <w:rPr>
          <w:bCs/>
          <w:b/>
        </w:rPr>
        <w:t xml:space="preserve">b</w:t>
      </w:r>
      <w:r>
        <w:t xml:space="preserve">, Predicted population size at the three concentrations and at 11.5 µM, from two days before the drug to seven days of exposure.</w:t>
      </w:r>
      <w:r>
        <w:t xml:space="preserve"> </w:t>
      </w:r>
      <w:r>
        <w:rPr>
          <w:bCs/>
          <w:b/>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t xml:space="preserve"> </w:t>
      </w:r>
      <w:r>
        <w:t xml:space="preserve">[6]</w:t>
      </w:r>
      <w:r>
        <w:t xml:space="preserve"> </w:t>
      </w:r>
      <w:r>
        <w:t xml:space="preserve">with no numeric coefficients, so the comparison is of pattern rather than of value.</w:t>
      </w:r>
      <w:r>
        <w:t xml:space="preserve"> </w:t>
      </w:r>
      <w:r>
        <w:rPr>
          <w:bCs/>
          <w:b/>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Cs/>
          <w:b/>
        </w:rPr>
        <w:t xml:space="preserve">e</w:t>
      </w:r>
      <w:r>
        <w:t xml:space="preserve">, Calibration landscape: every parameter set evaluated by the optimiser, coloured by the objective it minimised, which is the single-seed training error plus the memory prior and is not the seed-averaged error quoted in the text.</w:t>
      </w:r>
      <w:r>
        <w:t xml:space="preserve"> </w:t>
      </w:r>
      <w:r>
        <w:rPr>
          <w:bCs/>
          <w:b/>
        </w:rPr>
        <w:t xml:space="preserve">f</w:t>
      </w:r>
      <w:r>
        <w:t xml:space="preserve">, Calibrated parameters.</w:t>
      </w:r>
    </w:p>
    <w:p>
      <w:pPr>
        <w:pStyle w:val="BodyText"/>
      </w:pPr>
      <w:r>
        <w:drawing>
          <wp:inline>
            <wp:extent cx="5334000" cy="5521735"/>
            <wp:effectExtent b="0" l="0" r="0" t="0"/>
            <wp:docPr descr="" title="" id="71" name="Picture"/>
            <a:graphic>
              <a:graphicData uri="http://schemas.openxmlformats.org/drawingml/2006/picture">
                <pic:pic>
                  <pic:nvPicPr>
                    <pic:cNvPr descr="fig8_schedules.png" id="72" name="Picture"/>
                    <pic:cNvPicPr>
                      <a:picLocks noChangeArrowheads="1" noChangeAspect="1"/>
                    </pic:cNvPicPr>
                  </pic:nvPicPr>
                  <pic:blipFill>
                    <a:blip r:embed="rId70"/>
                    <a:stretch>
                      <a:fillRect/>
                    </a:stretch>
                  </pic:blipFill>
                  <pic:spPr bwMode="auto">
                    <a:xfrm>
                      <a:off x="0" y="0"/>
                      <a:ext cx="5334000" cy="5521735"/>
                    </a:xfrm>
                    <a:prstGeom prst="rect">
                      <a:avLst/>
                    </a:prstGeom>
                    <a:noFill/>
                    <a:ln w="9525">
                      <a:noFill/>
                      <a:headEnd/>
                      <a:tailEnd/>
                    </a:ln>
                  </pic:spPr>
                </pic:pic>
              </a:graphicData>
            </a:graphic>
          </wp:inline>
        </w:drawing>
      </w:r>
    </w:p>
    <w:p>
      <w:pPr>
        <w:pStyle w:val="BodyText"/>
      </w:pPr>
      <w:r>
        <w:rPr>
          <w:bCs/>
          <w:b/>
        </w:rPr>
        <w:t xml:space="preserve">Fig. 8 | Dose and schedule optimisation against clinical regimens.</w:t>
      </w:r>
      <w:r>
        <w:t xml:space="preserve"> </w:t>
      </w:r>
      <w:r>
        <w:rPr>
          <w:bCs/>
          <w:b/>
        </w:rPr>
        <w:t xml:space="preserve">a</w:t>
      </w:r>
      <w:r>
        <w:t xml:space="preserve">–</w:t>
      </w:r>
      <w:r>
        <w:rPr>
          <w:bCs/>
          <w:b/>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Cs/>
          <w:b/>
        </w:rPr>
        <w:t xml:space="preserve">a</w:t>
      </w:r>
      <w:r>
        <w:t xml:space="preserve">), when resistant cells grow 50% slower in the absence of drug (</w:t>
      </w:r>
      <w:r>
        <w:rPr>
          <w:bCs/>
          <w:b/>
        </w:rPr>
        <w:t xml:space="preserve">b</w:t>
      </w:r>
      <w:r>
        <w:t xml:space="preserve">), and when resistant cells are only partly protected and grow at half speed under drug (</w:t>
      </w:r>
      <w:r>
        <w:rPr>
          <w:bCs/>
          <w:b/>
        </w:rPr>
        <w:t xml:space="preserve">c</w:t>
      </w:r>
      <w:r>
        <w:t xml:space="preserve">); dotted line, 120% of the initial size.</w:t>
      </w:r>
      <w:r>
        <w:t xml:space="preserve"> </w:t>
      </w:r>
      <w:r>
        <w:rPr>
          <w:bCs/>
          <w:b/>
        </w:rPr>
        <w:t xml:space="preserve">d</w:t>
      </w:r>
      <w:r>
        <w:t xml:space="preserve">, Weeks after randomisation until the population exceeds 120% of its pre-treatment size (loss of control; mean ± s.d. of four seeds, censored at 52 weeks).</w:t>
      </w:r>
      <w:r>
        <w:t xml:space="preserve"> </w:t>
      </w:r>
      <w:r>
        <w:rPr>
          <w:bCs/>
          <w:b/>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Cs/>
          <w:b/>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 plasma value; an independent study gives 1.8 h) and stoichiometric consumption of MGMT by the drug, one molecule per lesion repaired, for populations in which 1% (methylated promoter, solid) or 30% (unmethylated, dashed) of cells express MGMT.</w:t>
      </w:r>
      <w:r>
        <w:t xml:space="preserve"> </w:t>
      </w:r>
      <w:r>
        <w:rPr>
          <w:bCs/>
          <w:b/>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Cs/>
          <w:b/>
        </w:rPr>
        <w:t xml:space="preserve">h</w:t>
      </w:r>
      <w:r>
        <w:t xml:space="preserve">, Final population size against the number of dosing days per 28-day cycle at the standard cumulative dose.</w:t>
      </w:r>
    </w:p>
    <w:bookmarkEnd w:id="73"/>
    <w:bookmarkStart w:id="74"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t xml:space="preserve"> </w:t>
      </w:r>
      <w: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74"/>
    <w:bookmarkStart w:id="75"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75"/>
    <w:bookmarkStart w:id="76" w:name="competing-interests"/>
    <w:p>
      <w:pPr>
        <w:pStyle w:val="Heading1"/>
      </w:pPr>
      <w:r>
        <w:t xml:space="preserve">Competing interests</w:t>
      </w:r>
    </w:p>
    <w:p>
      <w:pPr>
        <w:pStyle w:val="FirstParagraph"/>
      </w:pPr>
      <w:r>
        <w:t xml:space="preserve">The author declares no competing interests.</w:t>
      </w:r>
    </w:p>
    <w:bookmarkEnd w:id="76"/>
    <w:bookmarkStart w:id="77" w:name="additional-information"/>
    <w:p>
      <w:pPr>
        <w:pStyle w:val="Heading1"/>
      </w:pPr>
      <w:r>
        <w:t xml:space="preserve">Additional information</w:t>
      </w:r>
    </w:p>
    <w:p>
      <w:pPr>
        <w:pStyle w:val="FirstParagraph"/>
      </w:pPr>
      <w:r>
        <w:rPr>
          <w:bCs/>
          <w:b/>
        </w:rPr>
        <w:t xml:space="preserve">Supplementary information</w:t>
      </w:r>
      <w:r>
        <w:t xml:space="preserve"> </w:t>
      </w:r>
      <w:r>
        <w:t xml:space="preserve">accompanies this Article. Correspondence and requests for materials should be addressed to A.L.</w:t>
      </w:r>
    </w:p>
    <w:bookmarkEnd w:id="77"/>
    <w:bookmarkStart w:id="221" w:name="references"/>
    <w:p>
      <w:pPr>
        <w:pStyle w:val="Heading1"/>
      </w:pPr>
      <w:r>
        <w:t xml:space="preserve">References</w:t>
      </w:r>
    </w:p>
    <w:bookmarkStart w:id="220" w:name="refs"/>
    <w:bookmarkStart w:id="79" w:name="ref-sharma2010"/>
    <w:p>
      <w:pPr>
        <w:pStyle w:val="Bibliography"/>
      </w:pPr>
      <w:r>
        <w:t xml:space="preserve">1.</w:t>
      </w:r>
      <w:r>
        <w:t xml:space="preserve"> </w:t>
      </w:r>
      <w:r>
        <w:t xml:space="preserve">	</w:t>
      </w:r>
      <w:r>
        <w:t xml:space="preserve">Sharma SV, Lee DY, Li B, Quinlan MP, Takahashi F, Maheswaran S, et al. A chromatin-mediated reversible drug-tolerant state in cancer cell subpopulations. Cell. 2010;141: 69–80. doi:</w:t>
      </w:r>
      <w:hyperlink r:id="rId78">
        <w:r>
          <w:rPr>
            <w:rStyle w:val="Hyperlink"/>
          </w:rPr>
          <w:t xml:space="preserve">10.1016/j.cell.2010.02.027</w:t>
        </w:r>
      </w:hyperlink>
    </w:p>
    <w:bookmarkEnd w:id="79"/>
    <w:bookmarkStart w:id="81" w:name="ref-shaffer2017"/>
    <w:p>
      <w:pPr>
        <w:pStyle w:val="Bibliography"/>
      </w:pPr>
      <w:r>
        <w:t xml:space="preserve">2.</w:t>
      </w:r>
      <w:r>
        <w:t xml:space="preserve"> </w:t>
      </w:r>
      <w:r>
        <w:t xml:space="preserve">	</w:t>
      </w:r>
      <w:r>
        <w:t xml:space="preserve">Shaffer SM, Dunagin MC, Torborg SR, Torre EA, Emert B, Krepler C, et al. Rare cell variability and drug-induced reprogramming as a mode of cancer drug resistance. Nature. 2017;546: 431–435. doi:</w:t>
      </w:r>
      <w:hyperlink r:id="rId80">
        <w:r>
          <w:rPr>
            <w:rStyle w:val="Hyperlink"/>
          </w:rPr>
          <w:t xml:space="preserve">10.1038/nature22794</w:t>
        </w:r>
      </w:hyperlink>
    </w:p>
    <w:bookmarkEnd w:id="81"/>
    <w:bookmarkStart w:id="83" w:name="ref-hata2016"/>
    <w:p>
      <w:pPr>
        <w:pStyle w:val="Bibliography"/>
      </w:pPr>
      <w:r>
        <w:t xml:space="preserve">3.</w:t>
      </w:r>
      <w:r>
        <w:t xml:space="preserve"> </w:t>
      </w:r>
      <w:r>
        <w:t xml:space="preserve">	</w:t>
      </w:r>
      <w:r>
        <w:t xml:space="preserve">Hata AN, Niederst MJ, Archibald HL, Gomez-Caraballo M, Siddiqui FM, Mulvey HE, et al. Tumor cells can follow distinct evolutionary paths to become resistant to epidermal growth factor receptor inhibition. Nature Medicine. 2016;22: 262–269. doi:</w:t>
      </w:r>
      <w:hyperlink r:id="rId82">
        <w:r>
          <w:rPr>
            <w:rStyle w:val="Hyperlink"/>
          </w:rPr>
          <w:t xml:space="preserve">10.1038/nm.4040</w:t>
        </w:r>
      </w:hyperlink>
    </w:p>
    <w:bookmarkEnd w:id="83"/>
    <w:bookmarkStart w:id="85" w:name="ref-oren2021"/>
    <w:p>
      <w:pPr>
        <w:pStyle w:val="Bibliography"/>
      </w:pPr>
      <w:r>
        <w:t xml:space="preserve">4.</w:t>
      </w:r>
      <w:r>
        <w:t xml:space="preserve"> </w:t>
      </w:r>
      <w:r>
        <w:t xml:space="preserve">	</w:t>
      </w:r>
      <w:r>
        <w:t xml:space="preserve">Oren Y, Tsabar M, Cuoco MS, Amir-Zilberstein L, Cabanos HF, Hütter J-C, et al. Cycling cancer persister cells arise from lineages with distinct programs. Nature. 2021;596: 576–582. doi:</w:t>
      </w:r>
      <w:hyperlink r:id="rId84">
        <w:r>
          <w:rPr>
            <w:rStyle w:val="Hyperlink"/>
          </w:rPr>
          <w:t xml:space="preserve">10.1038/s41586-021-03796-6</w:t>
        </w:r>
      </w:hyperlink>
    </w:p>
    <w:bookmarkEnd w:id="85"/>
    <w:bookmarkStart w:id="87" w:name="ref-franca2024"/>
    <w:p>
      <w:pPr>
        <w:pStyle w:val="Bibliography"/>
      </w:pPr>
      <w:r>
        <w:t xml:space="preserve">5.</w:t>
      </w:r>
      <w:r>
        <w:t xml:space="preserve"> </w:t>
      </w:r>
      <w:r>
        <w:t xml:space="preserve">	</w:t>
      </w:r>
      <w:r>
        <w:t xml:space="preserve">França GS, Baron M, King BR, Bossowski JP, Bjornberg A, Pour M, et al. Cellular adaptation to cancer therapy along a resistance continuum. Nature. 2024;631: 876–883. doi:</w:t>
      </w:r>
      <w:hyperlink r:id="rId86">
        <w:r>
          <w:rPr>
            <w:rStyle w:val="Hyperlink"/>
          </w:rPr>
          <w:t xml:space="preserve">10.1038/s41586-024-07690-9</w:t>
        </w:r>
      </w:hyperlink>
    </w:p>
    <w:bookmarkEnd w:id="87"/>
    <w:bookmarkStart w:id="89" w:name="ref-iyer2025"/>
    <w:p>
      <w:pPr>
        <w:pStyle w:val="Bibliography"/>
      </w:pPr>
      <w:r>
        <w:t xml:space="preserve">6.</w:t>
      </w:r>
      <w:r>
        <w:t xml:space="preserve"> </w:t>
      </w:r>
      <w:r>
        <w:t xml:space="preserve">	</w:t>
      </w:r>
      <w:r>
        <w:t xml:space="preserve">Iyer A, Alva A, Granada AE, Chakrabarti S. Inheritable cell-states shape drug-persister correlations and population dynamics in cancer cells. PLoS Computational Biology. 2025;21: e1013446. doi:</w:t>
      </w:r>
      <w:hyperlink r:id="rId88">
        <w:r>
          <w:rPr>
            <w:rStyle w:val="Hyperlink"/>
          </w:rPr>
          <w:t xml:space="preserve">10.1371/journal.pcbi.1013446</w:t>
        </w:r>
      </w:hyperlink>
    </w:p>
    <w:bookmarkEnd w:id="89"/>
    <w:bookmarkStart w:id="91" w:name="ref-lin2025memory"/>
    <w:p>
      <w:pPr>
        <w:pStyle w:val="Bibliography"/>
      </w:pPr>
      <w:r>
        <w:t xml:space="preserve">7.</w:t>
      </w:r>
      <w:r>
        <w:t xml:space="preserve"> </w:t>
      </w:r>
      <w:r>
        <w:t xml:space="preserve">	</w:t>
      </w:r>
      <w:r>
        <w:t xml:space="preserve">Lin Y, Chen X, Wu L, Zhou Y, Lin Y. Widespread transcriptional memory shapes heritable states and functional heterogeneity in cancer and stem cells. Cell Systems. 2026;17: 101621. doi:</w:t>
      </w:r>
      <w:hyperlink r:id="rId90">
        <w:r>
          <w:rPr>
            <w:rStyle w:val="Hyperlink"/>
          </w:rPr>
          <w:t xml:space="preserve">10.1016/j.cels.2026.101621</w:t>
        </w:r>
      </w:hyperlink>
    </w:p>
    <w:bookmarkEnd w:id="91"/>
    <w:bookmarkStart w:id="93" w:name="ref-ghosh2025powerseek"/>
    <w:p>
      <w:pPr>
        <w:pStyle w:val="Bibliography"/>
      </w:pPr>
      <w:r>
        <w:t xml:space="preserve">8.</w:t>
      </w:r>
      <w:r>
        <w:t xml:space="preserve"> </w:t>
      </w:r>
      <w:r>
        <w:t xml:space="preserve">	</w:t>
      </w:r>
      <w:r>
        <w:t xml:space="preserve">Ghosh S, Chakrabarti S, Raju A. Identifying memory gene expression from single sample</w:t>
      </w:r>
      <w:r>
        <w:t xml:space="preserve"> </w:t>
      </w:r>
      <w:r>
        <w:t xml:space="preserve">scRNA-seq</w:t>
      </w:r>
      <w:r>
        <w:t xml:space="preserve"> </w:t>
      </w:r>
      <w:r>
        <w:t xml:space="preserve">data using power law signatures. bioRxiv. 2025. doi:</w:t>
      </w:r>
      <w:hyperlink r:id="rId92">
        <w:r>
          <w:rPr>
            <w:rStyle w:val="Hyperlink"/>
          </w:rPr>
          <w:t xml:space="preserve">10.1101/2025.01.15.633183</w:t>
        </w:r>
      </w:hyperlink>
    </w:p>
    <w:bookmarkEnd w:id="93"/>
    <w:bookmarkStart w:id="95" w:name="ref-harmange2023"/>
    <w:p>
      <w:pPr>
        <w:pStyle w:val="Bibliography"/>
      </w:pPr>
      <w:r>
        <w:t xml:space="preserve">9.</w:t>
      </w:r>
      <w:r>
        <w:t xml:space="preserve"> </w:t>
      </w:r>
      <w:r>
        <w:t xml:space="preserve">	</w:t>
      </w:r>
      <w:r>
        <w:t xml:space="preserve">Harmange G, Hueros RAR, Schaff DL, Emert B, Saint-Antoine M, Kim LC, et al. Disrupting cellular memory to overcome drug resistance. Nature Communications. 2023;14: 7130. doi:</w:t>
      </w:r>
      <w:hyperlink r:id="rId94">
        <w:r>
          <w:rPr>
            <w:rStyle w:val="Hyperlink"/>
          </w:rPr>
          <w:t xml:space="preserve">10.1038/s41467-023-41811-8</w:t>
        </w:r>
      </w:hyperlink>
    </w:p>
    <w:bookmarkEnd w:id="95"/>
    <w:bookmarkStart w:id="97" w:name="ref-sukys2025"/>
    <w:p>
      <w:pPr>
        <w:pStyle w:val="Bibliography"/>
      </w:pPr>
      <w:r>
        <w:t xml:space="preserve">10.</w:t>
      </w:r>
      <w:r>
        <w:t xml:space="preserve"> </w:t>
      </w:r>
      <w:r>
        <w:t xml:space="preserve">	</w:t>
      </w:r>
      <w:r>
        <w:t xml:space="preserve">Sukys A, Grima R. Cell-cycle dependence of bursty gene expression: Insights from fitting mechanistic models to single-cell</w:t>
      </w:r>
      <w:r>
        <w:t xml:space="preserve"> </w:t>
      </w:r>
      <w:r>
        <w:t xml:space="preserve">RNA-seq</w:t>
      </w:r>
      <w:r>
        <w:t xml:space="preserve"> </w:t>
      </w:r>
      <w:r>
        <w:t xml:space="preserve">data. Nucleic Acids Research. 2025;53: gkaf295. doi:</w:t>
      </w:r>
      <w:hyperlink r:id="rId96">
        <w:r>
          <w:rPr>
            <w:rStyle w:val="Hyperlink"/>
          </w:rPr>
          <w:t xml:space="preserve">10.1093/nar/gkaf295</w:t>
        </w:r>
      </w:hyperlink>
    </w:p>
    <w:bookmarkEnd w:id="97"/>
    <w:bookmarkStart w:id="99" w:name="ref-zhang2025"/>
    <w:p>
      <w:pPr>
        <w:pStyle w:val="Bibliography"/>
      </w:pPr>
      <w:r>
        <w:t xml:space="preserve">11.</w:t>
      </w:r>
      <w:r>
        <w:t xml:space="preserve"> </w:t>
      </w:r>
      <w:r>
        <w:t xml:space="preserve">	</w:t>
      </w:r>
      <w:r>
        <w:t xml:space="preserve">Zhang Z, Zabaikina I, Nieto C, Vahdat Z, Bokes P, Singh A. Stochastic gene expression in proliferating cells: Differing noise intensity in single-cell and population perspectives. PLoS Computational Biology. 2025;21: e1013014. doi:</w:t>
      </w:r>
      <w:hyperlink r:id="rId98">
        <w:r>
          <w:rPr>
            <w:rStyle w:val="Hyperlink"/>
          </w:rPr>
          <w:t xml:space="preserve">10.1371/journal.pcbi.1013014</w:t>
        </w:r>
      </w:hyperlink>
    </w:p>
    <w:bookmarkEnd w:id="99"/>
    <w:bookmarkStart w:id="101" w:name="ref-okochi2026scdivide"/>
    <w:p>
      <w:pPr>
        <w:pStyle w:val="Bibliography"/>
      </w:pPr>
      <w:r>
        <w:t xml:space="preserve">12.</w:t>
      </w:r>
      <w:r>
        <w:t xml:space="preserve"> </w:t>
      </w:r>
      <w:r>
        <w:t xml:space="preserve">	</w:t>
      </w:r>
      <w:r>
        <w:t xml:space="preserve">Okochi Y, Sawazaki Y, Kondo Y, Naoki H. Inferring division-associated stochasticity from time-series single-cell transcriptomes. bioRxiv. 2026. doi:</w:t>
      </w:r>
      <w:hyperlink r:id="rId100">
        <w:r>
          <w:rPr>
            <w:rStyle w:val="Hyperlink"/>
          </w:rPr>
          <w:t xml:space="preserve">10.64898/2026.04.14.718485</w:t>
        </w:r>
      </w:hyperlink>
    </w:p>
    <w:bookmarkEnd w:id="101"/>
    <w:bookmarkStart w:id="103" w:name="ref-ahlmanneltze2025"/>
    <w:p>
      <w:pPr>
        <w:pStyle w:val="Bibliography"/>
      </w:pPr>
      <w:r>
        <w:t xml:space="preserve">13.</w:t>
      </w:r>
      <w:r>
        <w:t xml:space="preserve"> </w:t>
      </w:r>
      <w:r>
        <w:t xml:space="preserve">	</w:t>
      </w:r>
      <w:r>
        <w:t xml:space="preserve">Ahlmann-Eltze C, Huber W, Anders S. Deep-learning-based gene perturbation effect prediction does not yet outperform simple linear baselines. Nature Methods. 2025;22: 1657–1661. doi:</w:t>
      </w:r>
      <w:hyperlink r:id="rId102">
        <w:r>
          <w:rPr>
            <w:rStyle w:val="Hyperlink"/>
          </w:rPr>
          <w:t xml:space="preserve">10.1038/s41592-025-02772-6</w:t>
        </w:r>
      </w:hyperlink>
    </w:p>
    <w:bookmarkEnd w:id="103"/>
    <w:bookmarkStart w:id="105" w:name="ref-vollenweider2026"/>
    <w:p>
      <w:pPr>
        <w:pStyle w:val="Bibliography"/>
      </w:pPr>
      <w:r>
        <w:t xml:space="preserve">14.</w:t>
      </w:r>
      <w:r>
        <w:t xml:space="preserve"> </w:t>
      </w:r>
      <w:r>
        <w:t xml:space="preserve">	</w:t>
      </w:r>
      <w:r>
        <w:t xml:space="preserve">Vollenweider MS, Bühlmann P. Signal, bounds, and baselines: Principles for rigorous evaluation of high-dimensional biological perturbation prediction. bioRxiv. 2026. doi:</w:t>
      </w:r>
      <w:hyperlink r:id="rId104">
        <w:r>
          <w:rPr>
            <w:rStyle w:val="Hyperlink"/>
          </w:rPr>
          <w:t xml:space="preserve">10.64898/2026.04.20.719650</w:t>
        </w:r>
      </w:hyperlink>
    </w:p>
    <w:bookmarkEnd w:id="105"/>
    <w:bookmarkStart w:id="107" w:name="ref-dibaeinia2026context"/>
    <w:p>
      <w:pPr>
        <w:pStyle w:val="Bibliography"/>
      </w:pPr>
      <w:r>
        <w:t xml:space="preserve">15.</w:t>
      </w:r>
      <w:r>
        <w:t xml:space="preserve"> </w:t>
      </w:r>
      <w:r>
        <w:t xml:space="preserve">	</w:t>
      </w:r>
      <w:r>
        <w:t xml:space="preserve">Dibaeinia P, Babu S, Knudson M, ElSheikh A, Wen Y, Liu H, et al. Virtual cells need context, not just scale. bioRxiv. 2026. doi:</w:t>
      </w:r>
      <w:hyperlink r:id="rId106">
        <w:r>
          <w:rPr>
            <w:rStyle w:val="Hyperlink"/>
          </w:rPr>
          <w:t xml:space="preserve">10.64898/2026.02.04.703804</w:t>
        </w:r>
      </w:hyperlink>
    </w:p>
    <w:bookmarkEnd w:id="107"/>
    <w:bookmarkStart w:id="109" w:name="ref-bunne2024"/>
    <w:p>
      <w:pPr>
        <w:pStyle w:val="Bibliography"/>
      </w:pPr>
      <w:r>
        <w:t xml:space="preserve">16.</w:t>
      </w:r>
      <w:r>
        <w:t xml:space="preserve"> </w:t>
      </w:r>
      <w:r>
        <w:t xml:space="preserve">	</w:t>
      </w:r>
      <w:r>
        <w:t xml:space="preserve">Bunne C, Roohani Y, Rosen Y, Gupta A, Zhang X, Roed M, et al. How to build the virtual cell with artificial intelligence: Priorities and opportunities. Cell. 2024;187: 7045–7063. doi:</w:t>
      </w:r>
      <w:hyperlink r:id="rId108">
        <w:r>
          <w:rPr>
            <w:rStyle w:val="Hyperlink"/>
          </w:rPr>
          <w:t xml:space="preserve">10.1016/j.cell.2024.11.015</w:t>
        </w:r>
      </w:hyperlink>
    </w:p>
    <w:bookmarkEnd w:id="109"/>
    <w:bookmarkStart w:id="111" w:name="ref-zappia2017"/>
    <w:p>
      <w:pPr>
        <w:pStyle w:val="Bibliography"/>
      </w:pPr>
      <w:r>
        <w:t xml:space="preserve">17.</w:t>
      </w:r>
      <w:r>
        <w:t xml:space="preserve"> </w:t>
      </w:r>
      <w:r>
        <w:t xml:space="preserve">	</w:t>
      </w:r>
      <w:r>
        <w:t xml:space="preserve">Zappia L, Phipson B, Oshlack A. Splatter: Simulation of single-cell</w:t>
      </w:r>
      <w:r>
        <w:t xml:space="preserve"> </w:t>
      </w:r>
      <w:r>
        <w:t xml:space="preserve">RNA</w:t>
      </w:r>
      <w:r>
        <w:t xml:space="preserve"> </w:t>
      </w:r>
      <w:r>
        <w:t xml:space="preserve">sequencing data. Genome Biology. 2017;18: 174. doi:</w:t>
      </w:r>
      <w:hyperlink r:id="rId110">
        <w:r>
          <w:rPr>
            <w:rStyle w:val="Hyperlink"/>
          </w:rPr>
          <w:t xml:space="preserve">10.1186/s13059-017-1305-0</w:t>
        </w:r>
      </w:hyperlink>
    </w:p>
    <w:bookmarkEnd w:id="111"/>
    <w:bookmarkStart w:id="113" w:name="ref-song2024scdesign3"/>
    <w:p>
      <w:pPr>
        <w:pStyle w:val="Bibliography"/>
      </w:pPr>
      <w:r>
        <w:t xml:space="preserve">18.</w:t>
      </w:r>
      <w:r>
        <w:t xml:space="preserve"> </w:t>
      </w:r>
      <w:r>
        <w:t xml:space="preserve">	</w:t>
      </w:r>
      <w:r>
        <w:t xml:space="preserve">Song D, Wang Q, Yan G, Liu T, Sun T, Li JJ.</w:t>
      </w:r>
      <w:r>
        <w:t xml:space="preserve"> </w:t>
      </w:r>
      <w:r>
        <w:t xml:space="preserve">scDesign3</w:t>
      </w:r>
      <w:r>
        <w:t xml:space="preserve"> </w:t>
      </w:r>
      <w:r>
        <w:t xml:space="preserve">generates realistic in silico data for multimodal single-cell and spatial omics. Nature Biotechnology. 2024;42: 247–252. doi:</w:t>
      </w:r>
      <w:hyperlink r:id="rId112">
        <w:r>
          <w:rPr>
            <w:rStyle w:val="Hyperlink"/>
          </w:rPr>
          <w:t xml:space="preserve">10.1038/s41587-023-01772-1</w:t>
        </w:r>
      </w:hyperlink>
    </w:p>
    <w:bookmarkEnd w:id="113"/>
    <w:bookmarkStart w:id="115" w:name="ref-zhang2019symsim"/>
    <w:p>
      <w:pPr>
        <w:pStyle w:val="Bibliography"/>
      </w:pPr>
      <w:r>
        <w:t xml:space="preserve">19.</w:t>
      </w:r>
      <w:r>
        <w:t xml:space="preserve"> </w:t>
      </w:r>
      <w:r>
        <w:t xml:space="preserve">	</w:t>
      </w:r>
      <w:r>
        <w:t xml:space="preserve">Zhang X, Xu C, Yosef N. Simulating multiple faceted variability in single cell</w:t>
      </w:r>
      <w:r>
        <w:t xml:space="preserve"> </w:t>
      </w:r>
      <w:r>
        <w:t xml:space="preserve">RNA</w:t>
      </w:r>
      <w:r>
        <w:t xml:space="preserve"> </w:t>
      </w:r>
      <w:r>
        <w:t xml:space="preserve">sequencing. Nature Communications. 2019;10: 2611. doi:</w:t>
      </w:r>
      <w:hyperlink r:id="rId114">
        <w:r>
          <w:rPr>
            <w:rStyle w:val="Hyperlink"/>
          </w:rPr>
          <w:t xml:space="preserve">10.1038/s41467-019-10500-w</w:t>
        </w:r>
      </w:hyperlink>
    </w:p>
    <w:bookmarkEnd w:id="115"/>
    <w:bookmarkStart w:id="117" w:name="ref-dibaeinia2020"/>
    <w:p>
      <w:pPr>
        <w:pStyle w:val="Bibliography"/>
      </w:pPr>
      <w:r>
        <w:t xml:space="preserve">20.</w:t>
      </w:r>
      <w:r>
        <w:t xml:space="preserve"> </w:t>
      </w:r>
      <w:r>
        <w:t xml:space="preserve">	</w:t>
      </w:r>
      <w:r>
        <w:t xml:space="preserve">Dibaeinia P, Sinha S.</w:t>
      </w:r>
      <w:r>
        <w:t xml:space="preserve"> </w:t>
      </w:r>
      <w:r>
        <w:t xml:space="preserve">SERGIO</w:t>
      </w:r>
      <w:r>
        <w:t xml:space="preserve">: A single-cell expression simulator guided by gene regulatory networks. Cell Systems. 2020;11: 252–271. doi:</w:t>
      </w:r>
      <w:hyperlink r:id="rId116">
        <w:r>
          <w:rPr>
            <w:rStyle w:val="Hyperlink"/>
          </w:rPr>
          <w:t xml:space="preserve">10.1016/j.cels.2020.08.003</w:t>
        </w:r>
      </w:hyperlink>
    </w:p>
    <w:bookmarkEnd w:id="117"/>
    <w:bookmarkStart w:id="119" w:name="ref-cannoodt2021"/>
    <w:p>
      <w:pPr>
        <w:pStyle w:val="Bibliography"/>
      </w:pPr>
      <w:r>
        <w:t xml:space="preserve">21.</w:t>
      </w:r>
      <w:r>
        <w:t xml:space="preserve"> </w:t>
      </w:r>
      <w:r>
        <w:t xml:space="preserve">	</w:t>
      </w:r>
      <w:r>
        <w:t xml:space="preserve">Cannoodt R, Saelens W, Deconinck L, Saeys Y. Spearheading future omics analyses using dyngen, a multi-modal simulator of single cells. Nature Communications. 2021;12: 3942. doi:</w:t>
      </w:r>
      <w:hyperlink r:id="rId118">
        <w:r>
          <w:rPr>
            <w:rStyle w:val="Hyperlink"/>
          </w:rPr>
          <w:t xml:space="preserve">10.1038/s41467-021-24152-2</w:t>
        </w:r>
      </w:hyperlink>
    </w:p>
    <w:bookmarkEnd w:id="119"/>
    <w:bookmarkStart w:id="121" w:name="ref-li2025scmultisim"/>
    <w:p>
      <w:pPr>
        <w:pStyle w:val="Bibliography"/>
      </w:pPr>
      <w:r>
        <w:t xml:space="preserve">22.</w:t>
      </w:r>
      <w:r>
        <w:t xml:space="preserve"> </w:t>
      </w:r>
      <w:r>
        <w:t xml:space="preserve">	</w:t>
      </w:r>
      <w:r>
        <w:t xml:space="preserve">Li H, Zhang Z, Squires M, Chen X, Zhang X.</w:t>
      </w:r>
      <w:r>
        <w:t xml:space="preserve"> </w:t>
      </w:r>
      <w:r>
        <w:t xml:space="preserve">scMultiSim</w:t>
      </w:r>
      <w:r>
        <w:t xml:space="preserve">: Simulation of single-cell multi-omics and spatial data guided by gene regulatory networks and cell–cell interactions. Nature Methods. 2025;22: 982–993. doi:</w:t>
      </w:r>
      <w:hyperlink r:id="rId120">
        <w:r>
          <w:rPr>
            <w:rStyle w:val="Hyperlink"/>
          </w:rPr>
          <w:t xml:space="preserve">10.1038/s41592-025-02651-0</w:t>
        </w:r>
      </w:hyperlink>
    </w:p>
    <w:bookmarkEnd w:id="121"/>
    <w:bookmarkStart w:id="123" w:name="ref-zinati2024groundgan"/>
    <w:p>
      <w:pPr>
        <w:pStyle w:val="Bibliography"/>
      </w:pPr>
      <w:r>
        <w:t xml:space="preserve">23.</w:t>
      </w:r>
      <w:r>
        <w:t xml:space="preserve"> </w:t>
      </w:r>
      <w:r>
        <w:t xml:space="preserve">	</w:t>
      </w:r>
      <w:r>
        <w:t xml:space="preserve">Zinati Y, Takiddeen A, Emad A.</w:t>
      </w:r>
      <w:r>
        <w:t xml:space="preserve"> </w:t>
      </w:r>
      <w:r>
        <w:t xml:space="preserve">GRouNdGAN</w:t>
      </w:r>
      <w:r>
        <w:t xml:space="preserve">:</w:t>
      </w:r>
      <w:r>
        <w:t xml:space="preserve"> </w:t>
      </w:r>
      <w:r>
        <w:t xml:space="preserve">GRN</w:t>
      </w:r>
      <w:r>
        <w:t xml:space="preserve">-guided simulation of single-cell</w:t>
      </w:r>
      <w:r>
        <w:t xml:space="preserve"> </w:t>
      </w:r>
      <w:r>
        <w:t xml:space="preserve">RNA-seq</w:t>
      </w:r>
      <w:r>
        <w:t xml:space="preserve"> </w:t>
      </w:r>
      <w:r>
        <w:t xml:space="preserve">data using causal generative adversarial networks. Nature Communications. 2024;15: 4055. doi:</w:t>
      </w:r>
      <w:hyperlink r:id="rId122">
        <w:r>
          <w:rPr>
            <w:rStyle w:val="Hyperlink"/>
          </w:rPr>
          <w:t xml:space="preserve">10.1038/s41467-024-48516-6</w:t>
        </w:r>
      </w:hyperlink>
    </w:p>
    <w:bookmarkEnd w:id="123"/>
    <w:bookmarkStart w:id="125" w:name="ref-pan2022tedsim"/>
    <w:p>
      <w:pPr>
        <w:pStyle w:val="Bibliography"/>
      </w:pPr>
      <w:r>
        <w:t xml:space="preserve">24.</w:t>
      </w:r>
      <w:r>
        <w:t xml:space="preserve"> </w:t>
      </w:r>
      <w:r>
        <w:t xml:space="preserve">	</w:t>
      </w:r>
      <w:r>
        <w:t xml:space="preserve">Pan X, Li H, Zhang X.</w:t>
      </w:r>
      <w:r>
        <w:t xml:space="preserve"> </w:t>
      </w:r>
      <w:r>
        <w:t xml:space="preserve">TedSim</w:t>
      </w:r>
      <w:r>
        <w:t xml:space="preserve">: Temporal dynamics simulation of single-cell</w:t>
      </w:r>
      <w:r>
        <w:t xml:space="preserve"> </w:t>
      </w:r>
      <w:r>
        <w:t xml:space="preserve">RNA</w:t>
      </w:r>
      <w:r>
        <w:t xml:space="preserve"> </w:t>
      </w:r>
      <w:r>
        <w:t xml:space="preserve">sequencing data and cell division history. Nucleic Acids Research. 2022;50: 4272–4288. doi:</w:t>
      </w:r>
      <w:hyperlink r:id="rId124">
        <w:r>
          <w:rPr>
            <w:rStyle w:val="Hyperlink"/>
          </w:rPr>
          <w:t xml:space="preserve">10.1093/nar/gkac235</w:t>
        </w:r>
      </w:hyperlink>
    </w:p>
    <w:bookmarkEnd w:id="125"/>
    <w:bookmarkStart w:id="127" w:name="ref-jones2020cassiopeia"/>
    <w:p>
      <w:pPr>
        <w:pStyle w:val="Bibliography"/>
      </w:pPr>
      <w:r>
        <w:t xml:space="preserve">25.</w:t>
      </w:r>
      <w:r>
        <w:t xml:space="preserve"> </w:t>
      </w:r>
      <w:r>
        <w:t xml:space="preserve">	</w:t>
      </w:r>
      <w:r>
        <w:t xml:space="preserve">Jones MG, Khodaverdian A, Quinn JJ, Chan MM, Hussmann JA, Wang R, et al. Inference of single-cell phylogenies from lineage tracing data using</w:t>
      </w:r>
      <w:r>
        <w:t xml:space="preserve"> </w:t>
      </w:r>
      <w:r>
        <w:t xml:space="preserve">Cassiopeia</w:t>
      </w:r>
      <w:r>
        <w:t xml:space="preserve">. Genome Biology. 2020;21: 92. doi:</w:t>
      </w:r>
      <w:hyperlink r:id="rId126">
        <w:r>
          <w:rPr>
            <w:rStyle w:val="Hyperlink"/>
          </w:rPr>
          <w:t xml:space="preserve">10.1186/s13059-020-02000-8</w:t>
        </w:r>
      </w:hyperlink>
    </w:p>
    <w:bookmarkEnd w:id="127"/>
    <w:bookmarkStart w:id="129" w:name="ref-pratapa2020"/>
    <w:p>
      <w:pPr>
        <w:pStyle w:val="Bibliography"/>
      </w:pPr>
      <w:r>
        <w:t xml:space="preserve">26.</w:t>
      </w:r>
      <w:r>
        <w:t xml:space="preserve"> </w:t>
      </w:r>
      <w:r>
        <w:t xml:space="preserve">	</w:t>
      </w:r>
      <w:r>
        <w:t xml:space="preserve">Pratapa A, Jalihal AP, Law JN, Bharadwaj A, Murali TM. Benchmarking algorithms for gene regulatory network inference from single-cell transcriptomic data. Nature Methods. 2020;17: 147–154. doi:</w:t>
      </w:r>
      <w:hyperlink r:id="rId128">
        <w:r>
          <w:rPr>
            <w:rStyle w:val="Hyperlink"/>
          </w:rPr>
          <w:t xml:space="preserve">10.1038/s41592-019-0690-6</w:t>
        </w:r>
      </w:hyperlink>
    </w:p>
    <w:bookmarkEnd w:id="129"/>
    <w:bookmarkStart w:id="131" w:name="ref-bertaux2018"/>
    <w:p>
      <w:pPr>
        <w:pStyle w:val="Bibliography"/>
      </w:pPr>
      <w:r>
        <w:t xml:space="preserve">27.</w:t>
      </w:r>
      <w:r>
        <w:t xml:space="preserve"> </w:t>
      </w:r>
      <w:r>
        <w:t xml:space="preserve">	</w:t>
      </w:r>
      <w:r>
        <w:t xml:space="preserve">Bertaux F, Marguerat S, Shahrezaei V. Division rate, cell size and proteome allocation: Impact on gene expression noise and implications for the dynamics of genetic circuits. Royal Society Open Science. 2018;5: 172234. doi:</w:t>
      </w:r>
      <w:hyperlink r:id="rId130">
        <w:r>
          <w:rPr>
            <w:rStyle w:val="Hyperlink"/>
          </w:rPr>
          <w:t xml:space="preserve">10.1098/rsos.172234</w:t>
        </w:r>
      </w:hyperlink>
    </w:p>
    <w:bookmarkEnd w:id="131"/>
    <w:bookmarkStart w:id="133" w:name="ref-piho2025abm"/>
    <w:p>
      <w:pPr>
        <w:pStyle w:val="Bibliography"/>
      </w:pPr>
      <w:r>
        <w:t xml:space="preserve">28.</w:t>
      </w:r>
      <w:r>
        <w:t xml:space="preserve"> </w:t>
      </w:r>
      <w:r>
        <w:t xml:space="preserve">	</w:t>
      </w:r>
      <w:r>
        <w:t xml:space="preserve">Piho P, Thomas P.</w:t>
      </w:r>
      <w:r>
        <w:t xml:space="preserve"> </w:t>
      </w:r>
      <w:r>
        <w:t xml:space="preserve">AgentBasedModeling.jl</w:t>
      </w:r>
      <w:r>
        <w:t xml:space="preserve">: A tool for stochastic simulation of structured population dynamics. PLoS Computational Biology. 2026;22: e1014366. doi:</w:t>
      </w:r>
      <w:hyperlink r:id="rId132">
        <w:r>
          <w:rPr>
            <w:rStyle w:val="Hyperlink"/>
          </w:rPr>
          <w:t xml:space="preserve">10.1371/journal.pcbi.1014366</w:t>
        </w:r>
      </w:hyperlink>
    </w:p>
    <w:bookmarkEnd w:id="133"/>
    <w:bookmarkStart w:id="135" w:name="ref-piho2024feedback"/>
    <w:p>
      <w:pPr>
        <w:pStyle w:val="Bibliography"/>
      </w:pPr>
      <w:r>
        <w:t xml:space="preserve">29.</w:t>
      </w:r>
      <w:r>
        <w:t xml:space="preserve"> </w:t>
      </w:r>
      <w:r>
        <w:t xml:space="preserve">	</w:t>
      </w:r>
      <w:r>
        <w:t xml:space="preserve">Piho P, Thomas P. Feedback between stochastic gene networks and population dynamics enables cellular decision-making. Science Advances. 2024;10: eadl4895. doi:</w:t>
      </w:r>
      <w:hyperlink r:id="rId134">
        <w:r>
          <w:rPr>
            <w:rStyle w:val="Hyperlink"/>
          </w:rPr>
          <w:t xml:space="preserve">10.1126/sciadv.adl4895</w:t>
        </w:r>
      </w:hyperlink>
    </w:p>
    <w:bookmarkEnd w:id="135"/>
    <w:bookmarkStart w:id="137" w:name="ref-thomas2021"/>
    <w:p>
      <w:pPr>
        <w:pStyle w:val="Bibliography"/>
      </w:pPr>
      <w:r>
        <w:t xml:space="preserve">30.</w:t>
      </w:r>
      <w:r>
        <w:t xml:space="preserve"> </w:t>
      </w:r>
      <w:r>
        <w:t xml:space="preserve">	</w:t>
      </w:r>
      <w:r>
        <w:t xml:space="preserve">Thomas P, Shahrezaei V. Coordination of gene expression noise with cell size: Analytical results for agent-based models of growing cell populations. Journal of the Royal Society Interface. 2021;18: 20210274. doi:</w:t>
      </w:r>
      <w:hyperlink r:id="rId136">
        <w:r>
          <w:rPr>
            <w:rStyle w:val="Hyperlink"/>
          </w:rPr>
          <w:t xml:space="preserve">10.1098/rsif.2021.0274</w:t>
        </w:r>
      </w:hyperlink>
    </w:p>
    <w:bookmarkEnd w:id="137"/>
    <w:bookmarkStart w:id="139" w:name="ref-ghaffarizadeh2018"/>
    <w:p>
      <w:pPr>
        <w:pStyle w:val="Bibliography"/>
      </w:pPr>
      <w:r>
        <w:t xml:space="preserve">31.</w:t>
      </w:r>
      <w:r>
        <w:t xml:space="preserve"> </w:t>
      </w:r>
      <w:r>
        <w:t xml:space="preserve">	</w:t>
      </w:r>
      <w:r>
        <w:t xml:space="preserve">Ghaffarizadeh A, Heiland R, Friedman SH, Mumenthaler SM, Macklin P.</w:t>
      </w:r>
      <w:r>
        <w:t xml:space="preserve"> </w:t>
      </w:r>
      <w:r>
        <w:t xml:space="preserve">PhysiCell</w:t>
      </w:r>
      <w:r>
        <w:t xml:space="preserve">: An open source physics-based cell simulator for 3-</w:t>
      </w:r>
      <w:r>
        <w:t xml:space="preserve">D</w:t>
      </w:r>
      <w:r>
        <w:t xml:space="preserve"> </w:t>
      </w:r>
      <w:r>
        <w:t xml:space="preserve">multicellular systems. PLoS Computational Biology. 2018;14: e1005991. doi:</w:t>
      </w:r>
      <w:hyperlink r:id="rId138">
        <w:r>
          <w:rPr>
            <w:rStyle w:val="Hyperlink"/>
          </w:rPr>
          <w:t xml:space="preserve">10.1371/journal.pcbi.1005991</w:t>
        </w:r>
      </w:hyperlink>
    </w:p>
    <w:bookmarkEnd w:id="139"/>
    <w:bookmarkStart w:id="141" w:name="ref-poncedeleon2023"/>
    <w:p>
      <w:pPr>
        <w:pStyle w:val="Bibliography"/>
      </w:pPr>
      <w:r>
        <w:t xml:space="preserve">32.</w:t>
      </w:r>
      <w:r>
        <w:t xml:space="preserve"> </w:t>
      </w:r>
      <w:r>
        <w:t xml:space="preserve">	</w:t>
      </w:r>
      <w:r>
        <w:t xml:space="preserve">Ponce-de-Leon M, Montagud A, Noël V, Meert A, Pradas G, Barillot E, et al.</w:t>
      </w:r>
      <w:r>
        <w:t xml:space="preserve"> </w:t>
      </w:r>
      <w:r>
        <w:t xml:space="preserve">PhysiBoSS</w:t>
      </w:r>
      <w:r>
        <w:t xml:space="preserve"> </w:t>
      </w:r>
      <w:r>
        <w:t xml:space="preserve">2.0: A sustainable integration of stochastic</w:t>
      </w:r>
      <w:r>
        <w:t xml:space="preserve"> </w:t>
      </w:r>
      <w:r>
        <w:t xml:space="preserve">Boolean</w:t>
      </w:r>
      <w:r>
        <w:t xml:space="preserve"> </w:t>
      </w:r>
      <w:r>
        <w:t xml:space="preserve">and agent-based modelling frameworks. npj Systems Biology and Applications. 2023;9: 54. doi:</w:t>
      </w:r>
      <w:hyperlink r:id="rId140">
        <w:r>
          <w:rPr>
            <w:rStyle w:val="Hyperlink"/>
          </w:rPr>
          <w:t xml:space="preserve">10.1038/s41540-023-00314-4</w:t>
        </w:r>
      </w:hyperlink>
    </w:p>
    <w:bookmarkEnd w:id="141"/>
    <w:bookmarkStart w:id="143" w:name="ref-lasri2022"/>
    <w:p>
      <w:pPr>
        <w:pStyle w:val="Bibliography"/>
      </w:pPr>
      <w:r>
        <w:t xml:space="preserve">33.</w:t>
      </w:r>
      <w:r>
        <w:t xml:space="preserve"> </w:t>
      </w:r>
      <w:r>
        <w:t xml:space="preserve">	</w:t>
      </w:r>
      <w:r>
        <w:t xml:space="preserve">Lasri A, Shahrezaei V, Sturrock M. Benchmarking imputation methods for network inference using a novel method of synthetic</w:t>
      </w:r>
      <w:r>
        <w:t xml:space="preserve"> </w:t>
      </w:r>
      <w:r>
        <w:t xml:space="preserve">scRNA-seq</w:t>
      </w:r>
      <w:r>
        <w:t xml:space="preserve"> </w:t>
      </w:r>
      <w:r>
        <w:t xml:space="preserve">data generation. BMC Bioinformatics. 2022;23: 236. doi:</w:t>
      </w:r>
      <w:hyperlink r:id="rId142">
        <w:r>
          <w:rPr>
            <w:rStyle w:val="Hyperlink"/>
          </w:rPr>
          <w:t xml:space="preserve">10.1186/s12859-022-04778-9</w:t>
        </w:r>
      </w:hyperlink>
    </w:p>
    <w:bookmarkEnd w:id="143"/>
    <w:bookmarkStart w:id="145" w:name="ref-peccoud1995"/>
    <w:p>
      <w:pPr>
        <w:pStyle w:val="Bibliography"/>
      </w:pPr>
      <w:r>
        <w:t xml:space="preserve">34.</w:t>
      </w:r>
      <w:r>
        <w:t xml:space="preserve"> </w:t>
      </w:r>
      <w:r>
        <w:t xml:space="preserve">	</w:t>
      </w:r>
      <w:r>
        <w:t xml:space="preserve">Peccoud J, Ycart B. Markovian modeling of gene-product synthesis. Theoretical Population Biology. 1995;48: 222–234. doi:</w:t>
      </w:r>
      <w:hyperlink r:id="rId144">
        <w:r>
          <w:rPr>
            <w:rStyle w:val="Hyperlink"/>
          </w:rPr>
          <w:t xml:space="preserve">10.1006/tpbi.1995.1027</w:t>
        </w:r>
      </w:hyperlink>
    </w:p>
    <w:bookmarkEnd w:id="145"/>
    <w:bookmarkStart w:id="147" w:name="ref-beentjes2020"/>
    <w:p>
      <w:pPr>
        <w:pStyle w:val="Bibliography"/>
      </w:pPr>
      <w:r>
        <w:t xml:space="preserve">35.</w:t>
      </w:r>
      <w:r>
        <w:t xml:space="preserve"> </w:t>
      </w:r>
      <w:r>
        <w:t xml:space="preserve">	</w:t>
      </w:r>
      <w:r>
        <w:t xml:space="preserve">Beentjes CHL, Perez-Carrasco R, Grima R. Exact solution of stochastic gene expression models with bursting, cell cycle and replication dynamics. Physical Review E. 2020;101: 032403. doi:</w:t>
      </w:r>
      <w:hyperlink r:id="rId146">
        <w:r>
          <w:rPr>
            <w:rStyle w:val="Hyperlink"/>
          </w:rPr>
          <w:t xml:space="preserve">10.1103/PhysRevE.101.032403</w:t>
        </w:r>
      </w:hyperlink>
    </w:p>
    <w:bookmarkEnd w:id="147"/>
    <w:bookmarkStart w:id="149" w:name="ref-jia2023"/>
    <w:p>
      <w:pPr>
        <w:pStyle w:val="Bibliography"/>
      </w:pPr>
      <w:r>
        <w:t xml:space="preserve">36.</w:t>
      </w:r>
      <w:r>
        <w:t xml:space="preserve"> </w:t>
      </w:r>
      <w:r>
        <w:t xml:space="preserve">	</w:t>
      </w:r>
      <w:r>
        <w:t xml:space="preserve">Jia C, Grima R. Coupling gene expression dynamics to cell size dynamics and cell cycle events: Exact and approximate solutions of the extended telegraph model. iScience. 2023;26: 105746. doi:</w:t>
      </w:r>
      <w:hyperlink r:id="rId148">
        <w:r>
          <w:rPr>
            <w:rStyle w:val="Hyperlink"/>
          </w:rPr>
          <w:t xml:space="preserve">10.1016/j.isci.2022.105746</w:t>
        </w:r>
      </w:hyperlink>
    </w:p>
    <w:bookmarkEnd w:id="149"/>
    <w:bookmarkStart w:id="151" w:name="ref-thomas2017"/>
    <w:p>
      <w:pPr>
        <w:pStyle w:val="Bibliography"/>
      </w:pPr>
      <w:r>
        <w:t xml:space="preserve">37.</w:t>
      </w:r>
      <w:r>
        <w:t xml:space="preserve"> </w:t>
      </w:r>
      <w:r>
        <w:t xml:space="preserve">	</w:t>
      </w:r>
      <w:r>
        <w:t xml:space="preserve">Thomas P. Making sense of snapshot data: Ergodic principle for clonal cell populations. Journal of the Royal Society Interface. 2017;14: 20170467. doi:</w:t>
      </w:r>
      <w:hyperlink r:id="rId150">
        <w:r>
          <w:rPr>
            <w:rStyle w:val="Hyperlink"/>
          </w:rPr>
          <w:t xml:space="preserve">10.1098/rsif.2017.0467</w:t>
        </w:r>
      </w:hyperlink>
    </w:p>
    <w:bookmarkEnd w:id="151"/>
    <w:bookmarkStart w:id="153" w:name="ref-emert2021"/>
    <w:p>
      <w:pPr>
        <w:pStyle w:val="Bibliography"/>
      </w:pPr>
      <w:r>
        <w:t xml:space="preserve">38.</w:t>
      </w:r>
      <w:r>
        <w:t xml:space="preserve"> </w:t>
      </w:r>
      <w:r>
        <w:t xml:space="preserve">	</w:t>
      </w:r>
      <w:r>
        <w:t xml:space="preserve">Emert BL, Cote CJ, Torre EA, Dardani IP, Jiang CL, Jain N, et al. Variability within rare cell states enables multiple paths toward drug resistance. Nature Biotechnology. 2021;39: 865–876. doi:</w:t>
      </w:r>
      <w:hyperlink r:id="rId152">
        <w:r>
          <w:rPr>
            <w:rStyle w:val="Hyperlink"/>
          </w:rPr>
          <w:t xml:space="preserve">10.1038/s41587-021-00837-3</w:t>
        </w:r>
      </w:hyperlink>
    </w:p>
    <w:bookmarkEnd w:id="153"/>
    <w:bookmarkStart w:id="155" w:name="ref-torre2021"/>
    <w:p>
      <w:pPr>
        <w:pStyle w:val="Bibliography"/>
      </w:pPr>
      <w:r>
        <w:t xml:space="preserve">39.</w:t>
      </w:r>
      <w:r>
        <w:t xml:space="preserve"> </w:t>
      </w:r>
      <w:r>
        <w:t xml:space="preserve">	</w:t>
      </w:r>
      <w:r>
        <w:t xml:space="preserve">Torre EA, Arai E, Bayatpour S, Jiang CL, Beck LE, Emert BL, et al. Genetic screening for single-cell variability modulators driving therapy resistance. Nature Genetics. 2021;53: 76–85. doi:</w:t>
      </w:r>
      <w:hyperlink r:id="rId154">
        <w:r>
          <w:rPr>
            <w:rStyle w:val="Hyperlink"/>
          </w:rPr>
          <w:t xml:space="preserve">10.1038/s41588-020-00749-z</w:t>
        </w:r>
      </w:hyperlink>
    </w:p>
    <w:bookmarkEnd w:id="155"/>
    <w:bookmarkStart w:id="157" w:name="ref-gunnarsson2020"/>
    <w:p>
      <w:pPr>
        <w:pStyle w:val="Bibliography"/>
      </w:pPr>
      <w:r>
        <w:t xml:space="preserve">40.</w:t>
      </w:r>
      <w:r>
        <w:t xml:space="preserve"> </w:t>
      </w:r>
      <w:r>
        <w:t xml:space="preserve">	</w:t>
      </w:r>
      <w:r>
        <w:t xml:space="preserve">Gunnarsson EB, De S, Leder K, Foo J. Understanding the role of phenotypic switching in cancer drug resistance. Journal of Theoretical Biology. 2020;490: 110162. doi:</w:t>
      </w:r>
      <w:hyperlink r:id="rId156">
        <w:r>
          <w:rPr>
            <w:rStyle w:val="Hyperlink"/>
          </w:rPr>
          <w:t xml:space="preserve">10.1016/j.jtbi.2020.110162</w:t>
        </w:r>
      </w:hyperlink>
    </w:p>
    <w:bookmarkEnd w:id="157"/>
    <w:bookmarkStart w:id="159" w:name="ref-lasri2020"/>
    <w:p>
      <w:pPr>
        <w:pStyle w:val="Bibliography"/>
      </w:pPr>
      <w:r>
        <w:t xml:space="preserve">41.</w:t>
      </w:r>
      <w:r>
        <w:t xml:space="preserve"> </w:t>
      </w:r>
      <w:r>
        <w:t xml:space="preserve">	</w:t>
      </w:r>
      <w:r>
        <w:t xml:space="preserve">Lasri A, Juric V, Verreault M, Bielle F, Idbaih A, Kel A, et al. Phenotypic selection through cell death: Stochastic modelling of</w:t>
      </w:r>
      <w:r>
        <w:t xml:space="preserve"> </w:t>
      </w:r>
      <w:r>
        <w:t xml:space="preserve">O</w:t>
      </w:r>
      <w:r>
        <w:t xml:space="preserve">-6-methylguanine-</w:t>
      </w:r>
      <w:r>
        <w:t xml:space="preserve">DNA</w:t>
      </w:r>
      <w:r>
        <w:t xml:space="preserve"> </w:t>
      </w:r>
      <w:r>
        <w:t xml:space="preserve">methyltransferase dynamics. Royal Society Open Science. 2020;7: 191243. doi:</w:t>
      </w:r>
      <w:hyperlink r:id="rId158">
        <w:r>
          <w:rPr>
            <w:rStyle w:val="Hyperlink"/>
          </w:rPr>
          <w:t xml:space="preserve">10.1098/rsos.191243</w:t>
        </w:r>
      </w:hyperlink>
    </w:p>
    <w:bookmarkEnd w:id="159"/>
    <w:bookmarkStart w:id="161" w:name="ref-corigliano2025"/>
    <w:p>
      <w:pPr>
        <w:pStyle w:val="Bibliography"/>
      </w:pPr>
      <w:r>
        <w:t xml:space="preserve">42.</w:t>
      </w:r>
      <w:r>
        <w:t xml:space="preserve"> </w:t>
      </w:r>
      <w:r>
        <w:t xml:space="preserve">	</w:t>
      </w:r>
      <w:r>
        <w:t xml:space="preserve">Corigliano M, Di Bernardo A, Cosentino Lagomarsino M, Pompei S. Optimal treatment for drug-induced cancer persisters involves release periods and intermediate drug doses. PRX Life. 2025. doi:</w:t>
      </w:r>
      <w:hyperlink r:id="rId160">
        <w:r>
          <w:rPr>
            <w:rStyle w:val="Hyperlink"/>
          </w:rPr>
          <w:t xml:space="preserve">10.1103/mh5v-lcyw</w:t>
        </w:r>
      </w:hyperlink>
    </w:p>
    <w:bookmarkEnd w:id="161"/>
    <w:bookmarkStart w:id="163" w:name="ref-bernton2019"/>
    <w:p>
      <w:pPr>
        <w:pStyle w:val="Bibliography"/>
      </w:pPr>
      <w:r>
        <w:t xml:space="preserve">43.</w:t>
      </w:r>
      <w:r>
        <w:t xml:space="preserve"> </w:t>
      </w:r>
      <w:r>
        <w:t xml:space="preserve">	</w:t>
      </w:r>
      <w:r>
        <w:t xml:space="preserve">Bernton E, Jacob PE, Gerber M, Robert CP. Approximate</w:t>
      </w:r>
      <w:r>
        <w:t xml:space="preserve"> </w:t>
      </w:r>
      <w:r>
        <w:t xml:space="preserve">Bayesian</w:t>
      </w:r>
      <w:r>
        <w:t xml:space="preserve"> </w:t>
      </w:r>
      <w:r>
        <w:t xml:space="preserve">computation with the</w:t>
      </w:r>
      <w:r>
        <w:t xml:space="preserve"> </w:t>
      </w:r>
      <w:r>
        <w:t xml:space="preserve">Wasserstein</w:t>
      </w:r>
      <w:r>
        <w:t xml:space="preserve"> </w:t>
      </w:r>
      <w:r>
        <w:t xml:space="preserve">distance. Journal of the Royal Statistical Society: Series B. 2019;81: 235–269. doi:</w:t>
      </w:r>
      <w:hyperlink r:id="rId162">
        <w:r>
          <w:rPr>
            <w:rStyle w:val="Hyperlink"/>
          </w:rPr>
          <w:t xml:space="preserve">10.1111/rssb.12312</w:t>
        </w:r>
      </w:hyperlink>
    </w:p>
    <w:bookmarkEnd w:id="163"/>
    <w:bookmarkStart w:id="165" w:name="ref-sandler2015"/>
    <w:p>
      <w:pPr>
        <w:pStyle w:val="Bibliography"/>
      </w:pPr>
      <w:r>
        <w:t xml:space="preserve">44.</w:t>
      </w:r>
      <w:r>
        <w:t xml:space="preserve"> </w:t>
      </w:r>
      <w:r>
        <w:t xml:space="preserve">	</w:t>
      </w:r>
      <w:r>
        <w:t xml:space="preserve">Sandler O, Mizrahi SP, Weiss N, Agam O, Simon I, Balaban NQ. Lineage correlations of single cell division time as a probe of cell-cycle dynamics. Nature. 2015;519: 468–471. doi:</w:t>
      </w:r>
      <w:hyperlink r:id="rId164">
        <w:r>
          <w:rPr>
            <w:rStyle w:val="Hyperlink"/>
          </w:rPr>
          <w:t xml:space="preserve">10.1038/nature14318</w:t>
        </w:r>
      </w:hyperlink>
    </w:p>
    <w:bookmarkEnd w:id="165"/>
    <w:bookmarkStart w:id="167" w:name="ref-kuchen2020"/>
    <w:p>
      <w:pPr>
        <w:pStyle w:val="Bibliography"/>
      </w:pPr>
      <w:r>
        <w:t xml:space="preserve">45.</w:t>
      </w:r>
      <w:r>
        <w:t xml:space="preserve"> </w:t>
      </w:r>
      <w:r>
        <w:t xml:space="preserve">	</w:t>
      </w:r>
      <w:r>
        <w:t xml:space="preserve">Kuchen EE, Becker NB, Claudino N, Höfer T. Hidden long-range memories of growth and cycle speed correlate cell cycles in lineage trees. eLife. 2020;9: e51002. doi:</w:t>
      </w:r>
      <w:hyperlink r:id="rId166">
        <w:r>
          <w:rPr>
            <w:rStyle w:val="Hyperlink"/>
          </w:rPr>
          <w:t xml:space="preserve">10.7554/eLife.51002</w:t>
        </w:r>
      </w:hyperlink>
    </w:p>
    <w:bookmarkEnd w:id="167"/>
    <w:bookmarkStart w:id="169" w:name="ref-chakrabarti2018"/>
    <w:p>
      <w:pPr>
        <w:pStyle w:val="Bibliography"/>
      </w:pPr>
      <w:r>
        <w:t xml:space="preserve">46.</w:t>
      </w:r>
      <w:r>
        <w:t xml:space="preserve"> </w:t>
      </w:r>
      <w:r>
        <w:t xml:space="preserve">	</w:t>
      </w:r>
      <w:r>
        <w:t xml:space="preserve">Chakrabarti S, Paek AL, Reyes J, Lasick KA, Lahav G, Michor F. Hidden heterogeneity and circadian-controlled cell fate inferred from single cell lineages. Nature Communications. 2018;9: 5372. doi:</w:t>
      </w:r>
      <w:hyperlink r:id="rId168">
        <w:r>
          <w:rPr>
            <w:rStyle w:val="Hyperlink"/>
          </w:rPr>
          <w:t xml:space="preserve">10.1038/s41467-018-07788-5</w:t>
        </w:r>
      </w:hyperlink>
    </w:p>
    <w:bookmarkEnd w:id="169"/>
    <w:bookmarkStart w:id="171" w:name="ref-algazi2020"/>
    <w:p>
      <w:pPr>
        <w:pStyle w:val="Bibliography"/>
      </w:pPr>
      <w:r>
        <w:t xml:space="preserve">47.</w:t>
      </w:r>
      <w:r>
        <w:t xml:space="preserve"> </w:t>
      </w:r>
      <w:r>
        <w:t xml:space="preserve">	</w:t>
      </w:r>
      <w:r>
        <w:t xml:space="preserve">Algazi AP, Othus M, Daud AI, Lo RS, Mehnert JM, Truong T-G, et al. Continuous versus intermittent</w:t>
      </w:r>
      <w:r>
        <w:t xml:space="preserve"> </w:t>
      </w:r>
      <w:r>
        <w:t xml:space="preserve">BRAF</w:t>
      </w:r>
      <w:r>
        <w:t xml:space="preserve"> </w:t>
      </w:r>
      <w:r>
        <w:t xml:space="preserve">and</w:t>
      </w:r>
      <w:r>
        <w:t xml:space="preserve"> </w:t>
      </w:r>
      <w:r>
        <w:t xml:space="preserve">MEK</w:t>
      </w:r>
      <w:r>
        <w:t xml:space="preserve"> </w:t>
      </w:r>
      <w:r>
        <w:t xml:space="preserve">inhibition in patients with</w:t>
      </w:r>
      <w:r>
        <w:t xml:space="preserve"> </w:t>
      </w:r>
      <w:r>
        <w:t xml:space="preserve">BRAF</w:t>
      </w:r>
      <w:r>
        <w:t xml:space="preserve">-mutated melanoma: A randomized phase 2 trial. Nature Medicine. 2020;26: 1564–1568. doi:</w:t>
      </w:r>
      <w:hyperlink r:id="rId170">
        <w:r>
          <w:rPr>
            <w:rStyle w:val="Hyperlink"/>
          </w:rPr>
          <w:t xml:space="preserve">10.1038/s41591-020-1060-8</w:t>
        </w:r>
      </w:hyperlink>
    </w:p>
    <w:bookmarkEnd w:id="171"/>
    <w:bookmarkStart w:id="173" w:name="ref-zhang2017adaptive"/>
    <w:p>
      <w:pPr>
        <w:pStyle w:val="Bibliography"/>
      </w:pPr>
      <w:r>
        <w:t xml:space="preserve">48.</w:t>
      </w:r>
      <w:r>
        <w:t xml:space="preserve"> </w:t>
      </w:r>
      <w:r>
        <w:t xml:space="preserve">	</w:t>
      </w:r>
      <w:r>
        <w:t xml:space="preserve">Zhang J, Cunningham JJ, Brown JS, Gatenby RA. Integrating evolutionary dynamics into treatment of metastatic castrate-resistant prostate cancer. Nature Communications. 2017;8: 1816. doi:</w:t>
      </w:r>
      <w:hyperlink r:id="rId172">
        <w:r>
          <w:rPr>
            <w:rStyle w:val="Hyperlink"/>
          </w:rPr>
          <w:t xml:space="preserve">10.1038/s41467-017-01968-5</w:t>
        </w:r>
      </w:hyperlink>
    </w:p>
    <w:bookmarkEnd w:id="173"/>
    <w:bookmarkStart w:id="175" w:name="ref-dasthakur2013"/>
    <w:p>
      <w:pPr>
        <w:pStyle w:val="Bibliography"/>
      </w:pPr>
      <w:r>
        <w:t xml:space="preserve">49.</w:t>
      </w:r>
      <w:r>
        <w:t xml:space="preserve"> </w:t>
      </w:r>
      <w:r>
        <w:t xml:space="preserve">	</w:t>
      </w:r>
      <w:r>
        <w:t xml:space="preserve">Das Thakur M, Salangsang F, Landman AS, Sellers WR, Pryer NK, Levesque MP, et al. Modelling vemurafenib resistance in melanoma reveals a strategy to forestall drug resistance. Nature. 2013;494: 251–255. doi:</w:t>
      </w:r>
      <w:hyperlink r:id="rId174">
        <w:r>
          <w:rPr>
            <w:rStyle w:val="Hyperlink"/>
          </w:rPr>
          <w:t xml:space="preserve">10.1038/nature11814</w:t>
        </w:r>
      </w:hyperlink>
    </w:p>
    <w:bookmarkEnd w:id="175"/>
    <w:bookmarkStart w:id="177" w:name="ref-strobl2021"/>
    <w:p>
      <w:pPr>
        <w:pStyle w:val="Bibliography"/>
      </w:pPr>
      <w:r>
        <w:t xml:space="preserve">50.</w:t>
      </w:r>
      <w:r>
        <w:t xml:space="preserve"> </w:t>
      </w:r>
      <w:r>
        <w:t xml:space="preserve">	</w:t>
      </w:r>
      <w:r>
        <w:t xml:space="preserve">Strobl MAR, West J, Viossat Y, Damaghi M, Robertson-Tessi M, Brown JS, et al. Turnover modulates the need for a cost of resistance in adaptive therapy. Cancer Research. 2021;81: 1135–1147. doi:</w:t>
      </w:r>
      <w:hyperlink r:id="rId176">
        <w:r>
          <w:rPr>
            <w:rStyle w:val="Hyperlink"/>
          </w:rPr>
          <w:t xml:space="preserve">10.1158/0008-5472.CAN-20-0806</w:t>
        </w:r>
      </w:hyperlink>
    </w:p>
    <w:bookmarkEnd w:id="177"/>
    <w:bookmarkStart w:id="179" w:name="ref-gilbert2013"/>
    <w:p>
      <w:pPr>
        <w:pStyle w:val="Bibliography"/>
      </w:pPr>
      <w:r>
        <w:t xml:space="preserve">51.</w:t>
      </w:r>
      <w:r>
        <w:t xml:space="preserve"> </w:t>
      </w:r>
      <w:r>
        <w:t xml:space="preserve">	</w:t>
      </w:r>
      <w:r>
        <w:t xml:space="preserve">Gilbert MR, Wang M, Aldape KD, Stupp R, Hegi ME, Jaeckle KA, et al. Dose-dense temozolomide for newly diagnosed glioblastoma: A randomized phase</w:t>
      </w:r>
      <w:r>
        <w:t xml:space="preserve"> </w:t>
      </w:r>
      <w:r>
        <w:t xml:space="preserve">III</w:t>
      </w:r>
      <w:r>
        <w:t xml:space="preserve"> </w:t>
      </w:r>
      <w:r>
        <w:t xml:space="preserve">clinical trial. Journal of Clinical Oncology. 2013;31: 4085–4091. doi:</w:t>
      </w:r>
      <w:hyperlink r:id="rId178">
        <w:r>
          <w:rPr>
            <w:rStyle w:val="Hyperlink"/>
          </w:rPr>
          <w:t xml:space="preserve">10.1200/JCO.2013.49.6968</w:t>
        </w:r>
      </w:hyperlink>
    </w:p>
    <w:bookmarkEnd w:id="179"/>
    <w:bookmarkStart w:id="181" w:name="ref-ostermann2004"/>
    <w:p>
      <w:pPr>
        <w:pStyle w:val="Bibliography"/>
      </w:pPr>
      <w:r>
        <w:t xml:space="preserve">52.</w:t>
      </w:r>
      <w:r>
        <w:t xml:space="preserve"> </w:t>
      </w:r>
      <w:r>
        <w:t xml:space="preserve">	</w:t>
      </w:r>
      <w:r>
        <w:t xml:space="preserve">Ostermann S, Csajka C, Buclin T, Leyvraz S, Lejeune F, Decosterd LA, et al. Plasma and cerebrospinal fluid population pharmacokinetics of temozolomide in malignant glioma patients. Clinical Cancer Research. 2004;10: 3728–3736. doi:</w:t>
      </w:r>
      <w:hyperlink r:id="rId180">
        <w:r>
          <w:rPr>
            <w:rStyle w:val="Hyperlink"/>
          </w:rPr>
          <w:t xml:space="preserve">10.1158/1078-0432.CCR-03-0807</w:t>
        </w:r>
      </w:hyperlink>
    </w:p>
    <w:bookmarkEnd w:id="181"/>
    <w:bookmarkStart w:id="183" w:name="ref-rudek2004"/>
    <w:p>
      <w:pPr>
        <w:pStyle w:val="Bibliography"/>
      </w:pPr>
      <w:r>
        <w:t xml:space="preserve">53.</w:t>
      </w:r>
      <w:r>
        <w:t xml:space="preserve"> </w:t>
      </w:r>
      <w:r>
        <w:t xml:space="preserve">	</w:t>
      </w:r>
      <w:r>
        <w:t xml:space="preserve">Rudek MA, Donehower RC, Statkevich P, Batra VK, Cutler DL, Baker SD. Temozolomide in patients with advanced cancer: Phase</w:t>
      </w:r>
      <w:r>
        <w:t xml:space="preserve"> </w:t>
      </w:r>
      <w:r>
        <w:t xml:space="preserve">I</w:t>
      </w:r>
      <w:r>
        <w:t xml:space="preserve"> </w:t>
      </w:r>
      <w:r>
        <w:t xml:space="preserve">and pharmacokinetic study. Pharmacotherapy. 2004;24: 16–25. doi:</w:t>
      </w:r>
      <w:hyperlink r:id="rId182">
        <w:r>
          <w:rPr>
            <w:rStyle w:val="Hyperlink"/>
          </w:rPr>
          <w:t xml:space="preserve">10.1592/phco.24.1.16.34800</w:t>
        </w:r>
      </w:hyperlink>
    </w:p>
    <w:bookmarkEnd w:id="183"/>
    <w:bookmarkStart w:id="185" w:name="ref-tolcher2003"/>
    <w:p>
      <w:pPr>
        <w:pStyle w:val="Bibliography"/>
      </w:pPr>
      <w:r>
        <w:t xml:space="preserve">54.</w:t>
      </w:r>
      <w:r>
        <w:t xml:space="preserve"> </w:t>
      </w:r>
      <w:r>
        <w:t xml:space="preserve">	</w:t>
      </w:r>
      <w:r>
        <w:t xml:space="preserve">Tolcher AW, Gerson SL, Denis L, Geyer C, Hammond LA, Patnaik A, et al. Marked inactivation of</w:t>
      </w:r>
      <w:r>
        <w:t xml:space="preserve"> </w:t>
      </w:r>
      <w:r>
        <w:t xml:space="preserve">O6-alkylguanine-DNA</w:t>
      </w:r>
      <w:r>
        <w:t xml:space="preserve"> </w:t>
      </w:r>
      <w:r>
        <w:t xml:space="preserve">alkyltransferase activity with protracted temozolomide schedules. British Journal of Cancer. 2003;88: 1004–1011. doi:</w:t>
      </w:r>
      <w:hyperlink r:id="rId184">
        <w:r>
          <w:rPr>
            <w:rStyle w:val="Hyperlink"/>
          </w:rPr>
          <w:t xml:space="preserve">10.1038/sj.bjc.6600827</w:t>
        </w:r>
      </w:hyperlink>
    </w:p>
    <w:bookmarkEnd w:id="185"/>
    <w:bookmarkStart w:id="187" w:name="ref-middleton2000"/>
    <w:p>
      <w:pPr>
        <w:pStyle w:val="Bibliography"/>
      </w:pPr>
      <w:r>
        <w:t xml:space="preserve">55.</w:t>
      </w:r>
      <w:r>
        <w:t xml:space="preserve"> </w:t>
      </w:r>
      <w:r>
        <w:t xml:space="preserve">	</w:t>
      </w:r>
      <w:r>
        <w:t xml:space="preserve">Middleton MR, Lee SM, Arance A, Wood M, Thatcher N, Margison GP.</w:t>
      </w:r>
      <w:r>
        <w:t xml:space="preserve"> </w:t>
      </w:r>
      <w:r>
        <w:t xml:space="preserve">O6-methylguanine</w:t>
      </w:r>
      <w:r>
        <w:t xml:space="preserve"> </w:t>
      </w:r>
      <w:r>
        <w:t xml:space="preserve">formation, repair protein depletion and clinical outcome with a 4 hr schedule of temozolomide in the treatment of advanced melanoma: Results of a phase</w:t>
      </w:r>
      <w:r>
        <w:t xml:space="preserve"> </w:t>
      </w:r>
      <w:r>
        <w:t xml:space="preserve">II</w:t>
      </w:r>
      <w:r>
        <w:t xml:space="preserve"> </w:t>
      </w:r>
      <w:r>
        <w:t xml:space="preserve">study. International Journal of Cancer. 2000;88: 469–473. doi:</w:t>
      </w:r>
      <w:hyperlink r:id="rId186">
        <w:r>
          <w:rPr>
            <w:rStyle w:val="Hyperlink"/>
          </w:rPr>
          <w:t xml:space="preserve">10.1002/1097-0215(20001101)88:3&lt;469::AID-IJC21&gt;3.0.CO;2-7</w:t>
        </w:r>
      </w:hyperlink>
    </w:p>
    <w:bookmarkEnd w:id="187"/>
    <w:bookmarkStart w:id="189" w:name="ref-robinson2010"/>
    <w:p>
      <w:pPr>
        <w:pStyle w:val="Bibliography"/>
      </w:pPr>
      <w:r>
        <w:t xml:space="preserve">56.</w:t>
      </w:r>
      <w:r>
        <w:t xml:space="preserve"> </w:t>
      </w:r>
      <w:r>
        <w:t xml:space="preserve">	</w:t>
      </w:r>
      <w:r>
        <w:t xml:space="preserve">Robinson CG, Palomo JM, Rahmathulla G, McGraw M, Donze J, Liu L, et al. Effect of alternative temozolomide schedules on glioblastoma</w:t>
      </w:r>
      <w:r>
        <w:t xml:space="preserve"> </w:t>
      </w:r>
      <w:r>
        <w:t xml:space="preserve">O6-methylguanine-DNA</w:t>
      </w:r>
      <w:r>
        <w:t xml:space="preserve"> </w:t>
      </w:r>
      <w:r>
        <w:t xml:space="preserve">methyltransferase activity and survival. British Journal of Cancer. 2010;103: 498–504. doi:</w:t>
      </w:r>
      <w:hyperlink r:id="rId188">
        <w:r>
          <w:rPr>
            <w:rStyle w:val="Hyperlink"/>
          </w:rPr>
          <w:t xml:space="preserve">10.1038/sj.bjc.6605792</w:t>
        </w:r>
      </w:hyperlink>
    </w:p>
    <w:bookmarkEnd w:id="189"/>
    <w:bookmarkStart w:id="191" w:name="ref-gillespie1977"/>
    <w:p>
      <w:pPr>
        <w:pStyle w:val="Bibliography"/>
      </w:pPr>
      <w:r>
        <w:t xml:space="preserve">57.</w:t>
      </w:r>
      <w:r>
        <w:t xml:space="preserve"> </w:t>
      </w:r>
      <w:r>
        <w:t xml:space="preserve">	</w:t>
      </w:r>
      <w:r>
        <w:t xml:space="preserve">Gillespie DT. Exact stochastic simulation of coupled chemical reactions. The Journal of Physical Chemistry. 1977;81: 2340–2361. doi:</w:t>
      </w:r>
      <w:hyperlink r:id="rId190">
        <w:r>
          <w:rPr>
            <w:rStyle w:val="Hyperlink"/>
          </w:rPr>
          <w:t xml:space="preserve">10.1021/j100540a008</w:t>
        </w:r>
      </w:hyperlink>
    </w:p>
    <w:bookmarkEnd w:id="191"/>
    <w:bookmarkStart w:id="193" w:name="ref-gillespie2001"/>
    <w:p>
      <w:pPr>
        <w:pStyle w:val="Bibliography"/>
      </w:pPr>
      <w:r>
        <w:t xml:space="preserve">58.</w:t>
      </w:r>
      <w:r>
        <w:t xml:space="preserve"> </w:t>
      </w:r>
      <w:r>
        <w:t xml:space="preserve">	</w:t>
      </w:r>
      <w:r>
        <w:t xml:space="preserve">Gillespie DT. Approximate accelerated stochastic simulation of chemically reacting systems. The Journal of Chemical Physics. 2001;115: 1716–1733. doi:</w:t>
      </w:r>
      <w:hyperlink r:id="rId192">
        <w:r>
          <w:rPr>
            <w:rStyle w:val="Hyperlink"/>
          </w:rPr>
          <w:t xml:space="preserve">10.1063/1.1378322</w:t>
        </w:r>
      </w:hyperlink>
    </w:p>
    <w:bookmarkEnd w:id="193"/>
    <w:bookmarkStart w:id="195" w:name="ref-cao2006"/>
    <w:p>
      <w:pPr>
        <w:pStyle w:val="Bibliography"/>
      </w:pPr>
      <w:r>
        <w:t xml:space="preserve">59.</w:t>
      </w:r>
      <w:r>
        <w:t xml:space="preserve"> </w:t>
      </w:r>
      <w:r>
        <w:t xml:space="preserve">	</w:t>
      </w:r>
      <w:r>
        <w:t xml:space="preserve">Cao Y, Gillespie DT, Petzold LR. Efficient step size selection for the tau-leaping simulation method. The Journal of Chemical Physics. 2006;124: 044109. doi:</w:t>
      </w:r>
      <w:hyperlink r:id="rId194">
        <w:r>
          <w:rPr>
            <w:rStyle w:val="Hyperlink"/>
          </w:rPr>
          <w:t xml:space="preserve">10.1063/1.2159468</w:t>
        </w:r>
      </w:hyperlink>
    </w:p>
    <w:bookmarkEnd w:id="195"/>
    <w:bookmarkStart w:id="197" w:name="ref-cao2005"/>
    <w:p>
      <w:pPr>
        <w:pStyle w:val="Bibliography"/>
      </w:pPr>
      <w:r>
        <w:t xml:space="preserve">60.</w:t>
      </w:r>
      <w:r>
        <w:t xml:space="preserve"> </w:t>
      </w:r>
      <w:r>
        <w:t xml:space="preserve">	</w:t>
      </w:r>
      <w:r>
        <w:t xml:space="preserve">Cao Y, Gillespie DT, Petzold LR. Avoiding negative populations in explicit</w:t>
      </w:r>
      <w:r>
        <w:t xml:space="preserve"> </w:t>
      </w:r>
      <w:r>
        <w:t xml:space="preserve">Poisson</w:t>
      </w:r>
      <w:r>
        <w:t xml:space="preserve"> </w:t>
      </w:r>
      <w:r>
        <w:t xml:space="preserve">tau-leaping. The Journal of Chemical Physics. 2005;123: 054104. doi:</w:t>
      </w:r>
      <w:hyperlink r:id="rId196">
        <w:r>
          <w:rPr>
            <w:rStyle w:val="Hyperlink"/>
          </w:rPr>
          <w:t xml:space="preserve">10.1063/1.1992473</w:t>
        </w:r>
      </w:hyperlink>
    </w:p>
    <w:bookmarkEnd w:id="197"/>
    <w:bookmarkStart w:id="199" w:name="ref-shaffer2020"/>
    <w:p>
      <w:pPr>
        <w:pStyle w:val="Bibliography"/>
      </w:pPr>
      <w:r>
        <w:t xml:space="preserve">61.</w:t>
      </w:r>
      <w:r>
        <w:t xml:space="preserve"> </w:t>
      </w:r>
      <w:r>
        <w:t xml:space="preserve">	</w:t>
      </w:r>
      <w:r>
        <w:t xml:space="preserve">Shaffer SM, Emert BL, Reyes Hueros RA, Cote C, Harmange G, Schaff DL, et al. Memory sequencing reveals heritable single-cell gene expression programs associated with distinct cellular behaviors. Cell. 2020;182: 947–959. doi:</w:t>
      </w:r>
      <w:hyperlink r:id="rId198">
        <w:r>
          <w:rPr>
            <w:rStyle w:val="Hyperlink"/>
          </w:rPr>
          <w:t xml:space="preserve">10.1016/j.cell.2020.07.003</w:t>
        </w:r>
      </w:hyperlink>
    </w:p>
    <w:bookmarkEnd w:id="199"/>
    <w:bookmarkStart w:id="201" w:name="ref-toni2009"/>
    <w:p>
      <w:pPr>
        <w:pStyle w:val="Bibliography"/>
      </w:pPr>
      <w:r>
        <w:t xml:space="preserve">62.</w:t>
      </w:r>
      <w:r>
        <w:t xml:space="preserve"> </w:t>
      </w:r>
      <w:r>
        <w:t xml:space="preserve">	</w:t>
      </w:r>
      <w:r>
        <w:t xml:space="preserve">Toni T, Welch D, Strelkowa N, Ipsen A, Stumpf MPH. Approximate</w:t>
      </w:r>
      <w:r>
        <w:t xml:space="preserve"> </w:t>
      </w:r>
      <w:r>
        <w:t xml:space="preserve">Bayesian</w:t>
      </w:r>
      <w:r>
        <w:t xml:space="preserve"> </w:t>
      </w:r>
      <w:r>
        <w:t xml:space="preserve">computation scheme for parameter inference and model selection in dynamical systems. Journal of the Royal Society Interface. 2009;6: 187–202. doi:</w:t>
      </w:r>
      <w:hyperlink r:id="rId200">
        <w:r>
          <w:rPr>
            <w:rStyle w:val="Hyperlink"/>
          </w:rPr>
          <w:t xml:space="preserve">10.1098/rsif.2008.0172</w:t>
        </w:r>
      </w:hyperlink>
    </w:p>
    <w:bookmarkEnd w:id="201"/>
    <w:bookmarkStart w:id="203" w:name="ref-ellingson2016"/>
    <w:p>
      <w:pPr>
        <w:pStyle w:val="Bibliography"/>
      </w:pPr>
      <w:r>
        <w:t xml:space="preserve">63.</w:t>
      </w:r>
      <w:r>
        <w:t xml:space="preserve"> </w:t>
      </w:r>
      <w:r>
        <w:t xml:space="preserve">	</w:t>
      </w:r>
      <w:r>
        <w:t xml:space="preserve">Ellingson BM, Nguyen HN, Lai A, Nechifor RE, Zaw O, Pope WB, et al. Contrast-enhancing tumor growth dynamics of preoperative, treatment-naive human glioblastoma. Cancer. 2016;122: 1718–1727. doi:</w:t>
      </w:r>
      <w:hyperlink r:id="rId202">
        <w:r>
          <w:rPr>
            <w:rStyle w:val="Hyperlink"/>
          </w:rPr>
          <w:t xml:space="preserve">10.1002/cncr.29957</w:t>
        </w:r>
      </w:hyperlink>
    </w:p>
    <w:bookmarkEnd w:id="203"/>
    <w:bookmarkStart w:id="205" w:name="ref-stensjoen2015"/>
    <w:p>
      <w:pPr>
        <w:pStyle w:val="Bibliography"/>
      </w:pPr>
      <w:r>
        <w:t xml:space="preserve">64.</w:t>
      </w:r>
      <w:r>
        <w:t xml:space="preserve"> </w:t>
      </w:r>
      <w:r>
        <w:t xml:space="preserve">	</w:t>
      </w:r>
      <w:r>
        <w:t xml:space="preserve">Stensjøen AL, Solheim O, Kvistad KA, Håberg AK, Salvesen Ø, Berntsen EM. Growth dynamics of untreated glioblastomas in vivo. Neuro-Oncology. 2015;17: 1402–1411. doi:</w:t>
      </w:r>
      <w:hyperlink r:id="rId204">
        <w:r>
          <w:rPr>
            <w:rStyle w:val="Hyperlink"/>
          </w:rPr>
          <w:t xml:space="preserve">10.1093/neuonc/nov029</w:t>
        </w:r>
      </w:hyperlink>
    </w:p>
    <w:bookmarkEnd w:id="205"/>
    <w:bookmarkStart w:id="207" w:name="ref-friedman2006"/>
    <w:p>
      <w:pPr>
        <w:pStyle w:val="Bibliography"/>
      </w:pPr>
      <w:r>
        <w:t xml:space="preserve">65.</w:t>
      </w:r>
      <w:r>
        <w:t xml:space="preserve"> </w:t>
      </w:r>
      <w:r>
        <w:t xml:space="preserve">	</w:t>
      </w:r>
      <w:r>
        <w:t xml:space="preserve">Friedman N, Cai L, Xie XS. Linking stochastic dynamics to population distribution: An analytical framework of gene expression. Physical Review Letters. 2006;97: 168302. doi:</w:t>
      </w:r>
      <w:hyperlink r:id="rId206">
        <w:r>
          <w:rPr>
            <w:rStyle w:val="Hyperlink"/>
          </w:rPr>
          <w:t xml:space="preserve">10.1103/PhysRevLett.97.168302</w:t>
        </w:r>
      </w:hyperlink>
    </w:p>
    <w:bookmarkEnd w:id="207"/>
    <w:bookmarkStart w:id="209" w:name="ref-shahrezaei2008"/>
    <w:p>
      <w:pPr>
        <w:pStyle w:val="Bibliography"/>
      </w:pPr>
      <w:r>
        <w:t xml:space="preserve">66.</w:t>
      </w:r>
      <w:r>
        <w:t xml:space="preserve"> </w:t>
      </w:r>
      <w:r>
        <w:t xml:space="preserve">	</w:t>
      </w:r>
      <w:r>
        <w:t xml:space="preserve">Shahrezaei V, Swain PS. Analytical distributions for stochastic gene expression. Proceedings of the National Academy of Sciences. 2008;105: 17256–17261. doi:</w:t>
      </w:r>
      <w:hyperlink r:id="rId208">
        <w:r>
          <w:rPr>
            <w:rStyle w:val="Hyperlink"/>
          </w:rPr>
          <w:t xml:space="preserve">10.1073/pnas.0803850105</w:t>
        </w:r>
      </w:hyperlink>
    </w:p>
    <w:bookmarkEnd w:id="209"/>
    <w:bookmarkStart w:id="211" w:name="ref-sciml"/>
    <w:p>
      <w:pPr>
        <w:pStyle w:val="Bibliography"/>
      </w:pPr>
      <w:r>
        <w:t xml:space="preserve">67.</w:t>
      </w:r>
      <w:r>
        <w:t xml:space="preserve"> </w:t>
      </w:r>
      <w:r>
        <w:t xml:space="preserve">	</w:t>
      </w:r>
      <w:r>
        <w:t xml:space="preserve">Rackauckas C, Nie Q.</w:t>
      </w:r>
      <w:r>
        <w:t xml:space="preserve"> </w:t>
      </w:r>
      <w:r>
        <w:t xml:space="preserve">DifferentialEquations.jl</w:t>
      </w:r>
      <w:r>
        <w:t xml:space="preserve"> </w:t>
      </w:r>
      <w:r>
        <w:t xml:space="preserve">– a performant and feature-rich ecosystem for solving differential equations in</w:t>
      </w:r>
      <w:r>
        <w:t xml:space="preserve"> </w:t>
      </w:r>
      <w:r>
        <w:t xml:space="preserve">Julia</w:t>
      </w:r>
      <w:r>
        <w:t xml:space="preserve">. Journal of Open Research Software. 2017;5: 15. doi:</w:t>
      </w:r>
      <w:hyperlink r:id="rId210">
        <w:r>
          <w:rPr>
            <w:rStyle w:val="Hyperlink"/>
          </w:rPr>
          <w:t xml:space="preserve">10.5334/jors.151</w:t>
        </w:r>
      </w:hyperlink>
    </w:p>
    <w:bookmarkEnd w:id="211"/>
    <w:bookmarkStart w:id="213" w:name="ref-huh2011"/>
    <w:p>
      <w:pPr>
        <w:pStyle w:val="Bibliography"/>
      </w:pPr>
      <w:r>
        <w:t xml:space="preserve">68.</w:t>
      </w:r>
      <w:r>
        <w:t xml:space="preserve"> </w:t>
      </w:r>
      <w:r>
        <w:t xml:space="preserve">	</w:t>
      </w:r>
      <w:r>
        <w:t xml:space="preserve">Huh D, Paulsson J. Non-genetic heterogeneity from stochastic partitioning at cell division. Nature Genetics. 2011;43: 95–100. doi:</w:t>
      </w:r>
      <w:hyperlink r:id="rId212">
        <w:r>
          <w:rPr>
            <w:rStyle w:val="Hyperlink"/>
          </w:rPr>
          <w:t xml:space="preserve">10.1038/ng.729</w:t>
        </w:r>
      </w:hyperlink>
    </w:p>
    <w:bookmarkEnd w:id="213"/>
    <w:bookmarkStart w:id="215" w:name="ref-huynhthu2010"/>
    <w:p>
      <w:pPr>
        <w:pStyle w:val="Bibliography"/>
      </w:pPr>
      <w:r>
        <w:t xml:space="preserve">69.</w:t>
      </w:r>
      <w:r>
        <w:t xml:space="preserve"> </w:t>
      </w:r>
      <w:r>
        <w:t xml:space="preserve">	</w:t>
      </w:r>
      <w:r>
        <w:t xml:space="preserve">Huynh-Thu VA, Irrthum A, Wehenkel L, Geurts P. Inferring regulatory networks from expression data using tree-based methods. PLoS ONE. 2010;5: e12776. doi:</w:t>
      </w:r>
      <w:hyperlink r:id="rId214">
        <w:r>
          <w:rPr>
            <w:rStyle w:val="Hyperlink"/>
          </w:rPr>
          <w:t xml:space="preserve">10.1371/journal.pone.0012776</w:t>
        </w:r>
      </w:hyperlink>
    </w:p>
    <w:bookmarkEnd w:id="215"/>
    <w:bookmarkStart w:id="217" w:name="ref-vandijk2018"/>
    <w:p>
      <w:pPr>
        <w:pStyle w:val="Bibliography"/>
      </w:pPr>
      <w:r>
        <w:t xml:space="preserve">70.</w:t>
      </w:r>
      <w:r>
        <w:t xml:space="preserve"> </w:t>
      </w:r>
      <w:r>
        <w:t xml:space="preserve">	</w:t>
      </w:r>
      <w:r>
        <w:t xml:space="preserve">Dijk D van, Sharma R, Nainys J, Yim K, Kathail P, Carr AJ, et al. Recovering gene interactions from single-cell data using data diffusion. Cell. 2018;174: 716–729. doi:</w:t>
      </w:r>
      <w:hyperlink r:id="rId216">
        <w:r>
          <w:rPr>
            <w:rStyle w:val="Hyperlink"/>
          </w:rPr>
          <w:t xml:space="preserve">10.1016/j.cell.2018.05.061</w:t>
        </w:r>
      </w:hyperlink>
    </w:p>
    <w:bookmarkEnd w:id="217"/>
    <w:bookmarkStart w:id="219" w:name="ref-wagner2018"/>
    <w:p>
      <w:pPr>
        <w:pStyle w:val="Bibliography"/>
      </w:pPr>
      <w:r>
        <w:t xml:space="preserve">71.</w:t>
      </w:r>
      <w:r>
        <w:t xml:space="preserve"> </w:t>
      </w:r>
      <w:r>
        <w:t xml:space="preserve">	</w:t>
      </w:r>
      <w:r>
        <w:t xml:space="preserve">Wagner F, Yan Y, Yanai I. K-nearest neighbor smoothing for high-throughput single-cell</w:t>
      </w:r>
      <w:r>
        <w:t xml:space="preserve"> </w:t>
      </w:r>
      <w:r>
        <w:t xml:space="preserve">RNA-Seq</w:t>
      </w:r>
      <w:r>
        <w:t xml:space="preserve"> </w:t>
      </w:r>
      <w:r>
        <w:t xml:space="preserve">data. bioRxiv. 2018. doi:</w:t>
      </w:r>
      <w:hyperlink r:id="rId218">
        <w:r>
          <w:rPr>
            <w:rStyle w:val="Hyperlink"/>
          </w:rPr>
          <w:t xml:space="preserve">10.1101/217737</w:t>
        </w:r>
      </w:hyperlink>
    </w:p>
    <w:bookmarkEnd w:id="219"/>
    <w:bookmarkEnd w:id="220"/>
    <w:bookmarkEnd w:id="2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hyperlink" Id="rId186" Target="https://doi.org/10.1002/1097-0215(20001101)88:3&lt;469::AID-IJC21&gt;3.0.CO;2-7" TargetMode="External" /><Relationship Type="http://schemas.openxmlformats.org/officeDocument/2006/relationships/hyperlink" Id="rId202" Target="https://doi.org/10.1002/cncr.29957" TargetMode="External" /><Relationship Type="http://schemas.openxmlformats.org/officeDocument/2006/relationships/hyperlink" Id="rId144" Target="https://doi.org/10.1006/tpbi.1995.1027" TargetMode="External" /><Relationship Type="http://schemas.openxmlformats.org/officeDocument/2006/relationships/hyperlink" Id="rId78" Target="https://doi.org/10.1016/j.cell.2010.02.027" TargetMode="External" /><Relationship Type="http://schemas.openxmlformats.org/officeDocument/2006/relationships/hyperlink" Id="rId216" Target="https://doi.org/10.1016/j.cell.2018.05.061" TargetMode="External" /><Relationship Type="http://schemas.openxmlformats.org/officeDocument/2006/relationships/hyperlink" Id="rId198" Target="https://doi.org/10.1016/j.cell.2020.07.003" TargetMode="External" /><Relationship Type="http://schemas.openxmlformats.org/officeDocument/2006/relationships/hyperlink" Id="rId108" Target="https://doi.org/10.1016/j.cell.2024.11.015" TargetMode="External" /><Relationship Type="http://schemas.openxmlformats.org/officeDocument/2006/relationships/hyperlink" Id="rId116" Target="https://doi.org/10.1016/j.cels.2020.08.003" TargetMode="External" /><Relationship Type="http://schemas.openxmlformats.org/officeDocument/2006/relationships/hyperlink" Id="rId90" Target="https://doi.org/10.1016/j.cels.2026.101621" TargetMode="External" /><Relationship Type="http://schemas.openxmlformats.org/officeDocument/2006/relationships/hyperlink" Id="rId148" Target="https://doi.org/10.1016/j.isci.2022.105746" TargetMode="External" /><Relationship Type="http://schemas.openxmlformats.org/officeDocument/2006/relationships/hyperlink" Id="rId156" Target="https://doi.org/10.1016/j.jtbi.2020.110162" TargetMode="External" /><Relationship Type="http://schemas.openxmlformats.org/officeDocument/2006/relationships/hyperlink" Id="rId190" Target="https://doi.org/10.1021/j100540a008" TargetMode="External" /><Relationship Type="http://schemas.openxmlformats.org/officeDocument/2006/relationships/hyperlink" Id="rId174" Target="https://doi.org/10.1038/nature11814" TargetMode="External" /><Relationship Type="http://schemas.openxmlformats.org/officeDocument/2006/relationships/hyperlink" Id="rId164" Target="https://doi.org/10.1038/nature14318" TargetMode="External" /><Relationship Type="http://schemas.openxmlformats.org/officeDocument/2006/relationships/hyperlink" Id="rId80" Target="https://doi.org/10.1038/nature22794" TargetMode="External" /><Relationship Type="http://schemas.openxmlformats.org/officeDocument/2006/relationships/hyperlink" Id="rId212" Target="https://doi.org/10.1038/ng.729" TargetMode="External" /><Relationship Type="http://schemas.openxmlformats.org/officeDocument/2006/relationships/hyperlink" Id="rId82" Target="https://doi.org/10.1038/nm.4040" TargetMode="External" /><Relationship Type="http://schemas.openxmlformats.org/officeDocument/2006/relationships/hyperlink" Id="rId172" Target="https://doi.org/10.1038/s41467-017-01968-5" TargetMode="External" /><Relationship Type="http://schemas.openxmlformats.org/officeDocument/2006/relationships/hyperlink" Id="rId168" Target="https://doi.org/10.1038/s41467-018-07788-5" TargetMode="External" /><Relationship Type="http://schemas.openxmlformats.org/officeDocument/2006/relationships/hyperlink" Id="rId114" Target="https://doi.org/10.1038/s41467-019-10500-w" TargetMode="External" /><Relationship Type="http://schemas.openxmlformats.org/officeDocument/2006/relationships/hyperlink" Id="rId118" Target="https://doi.org/10.1038/s41467-021-24152-2" TargetMode="External" /><Relationship Type="http://schemas.openxmlformats.org/officeDocument/2006/relationships/hyperlink" Id="rId94" Target="https://doi.org/10.1038/s41467-023-41811-8" TargetMode="External" /><Relationship Type="http://schemas.openxmlformats.org/officeDocument/2006/relationships/hyperlink" Id="rId122" Target="https://doi.org/10.1038/s41467-024-48516-6" TargetMode="External" /><Relationship Type="http://schemas.openxmlformats.org/officeDocument/2006/relationships/hyperlink" Id="rId140" Target="https://doi.org/10.1038/s41540-023-00314-4" TargetMode="External" /><Relationship Type="http://schemas.openxmlformats.org/officeDocument/2006/relationships/hyperlink" Id="rId84" Target="https://doi.org/10.1038/s41586-021-03796-6" TargetMode="External" /><Relationship Type="http://schemas.openxmlformats.org/officeDocument/2006/relationships/hyperlink" Id="rId86" Target="https://doi.org/10.1038/s41586-024-07690-9" TargetMode="External" /><Relationship Type="http://schemas.openxmlformats.org/officeDocument/2006/relationships/hyperlink" Id="rId152" Target="https://doi.org/10.1038/s41587-021-00837-3" TargetMode="External" /><Relationship Type="http://schemas.openxmlformats.org/officeDocument/2006/relationships/hyperlink" Id="rId112" Target="https://doi.org/10.1038/s41587-023-01772-1" TargetMode="External" /><Relationship Type="http://schemas.openxmlformats.org/officeDocument/2006/relationships/hyperlink" Id="rId154" Target="https://doi.org/10.1038/s41588-020-00749-z" TargetMode="External" /><Relationship Type="http://schemas.openxmlformats.org/officeDocument/2006/relationships/hyperlink" Id="rId170" Target="https://doi.org/10.1038/s41591-020-1060-8" TargetMode="External" /><Relationship Type="http://schemas.openxmlformats.org/officeDocument/2006/relationships/hyperlink" Id="rId128" Target="https://doi.org/10.1038/s41592-019-0690-6" TargetMode="External" /><Relationship Type="http://schemas.openxmlformats.org/officeDocument/2006/relationships/hyperlink" Id="rId120" Target="https://doi.org/10.1038/s41592-025-02651-0" TargetMode="External" /><Relationship Type="http://schemas.openxmlformats.org/officeDocument/2006/relationships/hyperlink" Id="rId102" Target="https://doi.org/10.1038/s41592-025-02772-6" TargetMode="External" /><Relationship Type="http://schemas.openxmlformats.org/officeDocument/2006/relationships/hyperlink" Id="rId184" Target="https://doi.org/10.1038/sj.bjc.6600827" TargetMode="External" /><Relationship Type="http://schemas.openxmlformats.org/officeDocument/2006/relationships/hyperlink" Id="rId188" Target="https://doi.org/10.1038/sj.bjc.6605792" TargetMode="External" /><Relationship Type="http://schemas.openxmlformats.org/officeDocument/2006/relationships/hyperlink" Id="rId192" Target="https://doi.org/10.1063/1.1378322" TargetMode="External" /><Relationship Type="http://schemas.openxmlformats.org/officeDocument/2006/relationships/hyperlink" Id="rId196" Target="https://doi.org/10.1063/1.1992473" TargetMode="External" /><Relationship Type="http://schemas.openxmlformats.org/officeDocument/2006/relationships/hyperlink" Id="rId194" Target="https://doi.org/10.1063/1.2159468" TargetMode="External" /><Relationship Type="http://schemas.openxmlformats.org/officeDocument/2006/relationships/hyperlink" Id="rId208" Target="https://doi.org/10.1073/pnas.0803850105" TargetMode="External" /><Relationship Type="http://schemas.openxmlformats.org/officeDocument/2006/relationships/hyperlink" Id="rId124" Target="https://doi.org/10.1093/nar/gkac235" TargetMode="External" /><Relationship Type="http://schemas.openxmlformats.org/officeDocument/2006/relationships/hyperlink" Id="rId96" Target="https://doi.org/10.1093/nar/gkaf295" TargetMode="External" /><Relationship Type="http://schemas.openxmlformats.org/officeDocument/2006/relationships/hyperlink" Id="rId204" Target="https://doi.org/10.1093/neuonc/nov029" TargetMode="External" /><Relationship Type="http://schemas.openxmlformats.org/officeDocument/2006/relationships/hyperlink" Id="rId200" Target="https://doi.org/10.1098/rsif.2008.0172" TargetMode="External" /><Relationship Type="http://schemas.openxmlformats.org/officeDocument/2006/relationships/hyperlink" Id="rId150" Target="https://doi.org/10.1098/rsif.2017.0467" TargetMode="External" /><Relationship Type="http://schemas.openxmlformats.org/officeDocument/2006/relationships/hyperlink" Id="rId136" Target="https://doi.org/10.1098/rsif.2021.0274" TargetMode="External" /><Relationship Type="http://schemas.openxmlformats.org/officeDocument/2006/relationships/hyperlink" Id="rId130" Target="https://doi.org/10.1098/rsos.172234" TargetMode="External" /><Relationship Type="http://schemas.openxmlformats.org/officeDocument/2006/relationships/hyperlink" Id="rId158" Target="https://doi.org/10.1098/rsos.191243" TargetMode="External" /><Relationship Type="http://schemas.openxmlformats.org/officeDocument/2006/relationships/hyperlink" Id="rId92" Target="https://doi.org/10.1101/2025.01.15.633183" TargetMode="External" /><Relationship Type="http://schemas.openxmlformats.org/officeDocument/2006/relationships/hyperlink" Id="rId218" Target="https://doi.org/10.1101/217737" TargetMode="External" /><Relationship Type="http://schemas.openxmlformats.org/officeDocument/2006/relationships/hyperlink" Id="rId146" Target="https://doi.org/10.1103/PhysRevE.101.032403" TargetMode="External" /><Relationship Type="http://schemas.openxmlformats.org/officeDocument/2006/relationships/hyperlink" Id="rId206" Target="https://doi.org/10.1103/PhysRevLett.97.168302" TargetMode="External" /><Relationship Type="http://schemas.openxmlformats.org/officeDocument/2006/relationships/hyperlink" Id="rId160" Target="https://doi.org/10.1103/mh5v-lcyw" TargetMode="External" /><Relationship Type="http://schemas.openxmlformats.org/officeDocument/2006/relationships/hyperlink" Id="rId162" Target="https://doi.org/10.1111/rssb.12312" TargetMode="External" /><Relationship Type="http://schemas.openxmlformats.org/officeDocument/2006/relationships/hyperlink" Id="rId134" Target="https://doi.org/10.1126/sciadv.adl4895" TargetMode="External" /><Relationship Type="http://schemas.openxmlformats.org/officeDocument/2006/relationships/hyperlink" Id="rId176" Target="https://doi.org/10.1158/0008-5472.CAN-20-0806" TargetMode="External" /><Relationship Type="http://schemas.openxmlformats.org/officeDocument/2006/relationships/hyperlink" Id="rId180" Target="https://doi.org/10.1158/1078-0432.CCR-03-0807" TargetMode="External" /><Relationship Type="http://schemas.openxmlformats.org/officeDocument/2006/relationships/hyperlink" Id="rId142" Target="https://doi.org/10.1186/s12859-022-04778-9" TargetMode="External" /><Relationship Type="http://schemas.openxmlformats.org/officeDocument/2006/relationships/hyperlink" Id="rId110" Target="https://doi.org/10.1186/s13059-017-1305-0" TargetMode="External" /><Relationship Type="http://schemas.openxmlformats.org/officeDocument/2006/relationships/hyperlink" Id="rId126" Target="https://doi.org/10.1186/s13059-020-02000-8" TargetMode="External" /><Relationship Type="http://schemas.openxmlformats.org/officeDocument/2006/relationships/hyperlink" Id="rId178" Target="https://doi.org/10.1200/JCO.2013.49.6968" TargetMode="External" /><Relationship Type="http://schemas.openxmlformats.org/officeDocument/2006/relationships/hyperlink" Id="rId138" Target="https://doi.org/10.1371/journal.pcbi.1005991" TargetMode="External" /><Relationship Type="http://schemas.openxmlformats.org/officeDocument/2006/relationships/hyperlink" Id="rId98" Target="https://doi.org/10.1371/journal.pcbi.1013014" TargetMode="External" /><Relationship Type="http://schemas.openxmlformats.org/officeDocument/2006/relationships/hyperlink" Id="rId88" Target="https://doi.org/10.1371/journal.pcbi.1013446" TargetMode="External" /><Relationship Type="http://schemas.openxmlformats.org/officeDocument/2006/relationships/hyperlink" Id="rId132" Target="https://doi.org/10.1371/journal.pcbi.1014366" TargetMode="External" /><Relationship Type="http://schemas.openxmlformats.org/officeDocument/2006/relationships/hyperlink" Id="rId214" Target="https://doi.org/10.1371/journal.pone.0012776" TargetMode="External" /><Relationship Type="http://schemas.openxmlformats.org/officeDocument/2006/relationships/hyperlink" Id="rId182" Target="https://doi.org/10.1592/phco.24.1.16.34800" TargetMode="External" /><Relationship Type="http://schemas.openxmlformats.org/officeDocument/2006/relationships/hyperlink" Id="rId210" Target="https://doi.org/10.5334/jors.151" TargetMode="External" /><Relationship Type="http://schemas.openxmlformats.org/officeDocument/2006/relationships/hyperlink" Id="rId106" Target="https://doi.org/10.64898/2026.02.04.703804" TargetMode="External" /><Relationship Type="http://schemas.openxmlformats.org/officeDocument/2006/relationships/hyperlink" Id="rId100" Target="https://doi.org/10.64898/2026.04.14.718485" TargetMode="External" /><Relationship Type="http://schemas.openxmlformats.org/officeDocument/2006/relationships/hyperlink" Id="rId104" Target="https://doi.org/10.64898/2026.04.20.719650" TargetMode="External" /><Relationship Type="http://schemas.openxmlformats.org/officeDocument/2006/relationships/hyperlink" Id="rId166"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86" Target="https://doi.org/10.1002/1097-0215(20001101)88:3&lt;469::AID-IJC21&gt;3.0.CO;2-7" TargetMode="External" /><Relationship Type="http://schemas.openxmlformats.org/officeDocument/2006/relationships/hyperlink" Id="rId202" Target="https://doi.org/10.1002/cncr.29957" TargetMode="External" /><Relationship Type="http://schemas.openxmlformats.org/officeDocument/2006/relationships/hyperlink" Id="rId144" Target="https://doi.org/10.1006/tpbi.1995.1027" TargetMode="External" /><Relationship Type="http://schemas.openxmlformats.org/officeDocument/2006/relationships/hyperlink" Id="rId78" Target="https://doi.org/10.1016/j.cell.2010.02.027" TargetMode="External" /><Relationship Type="http://schemas.openxmlformats.org/officeDocument/2006/relationships/hyperlink" Id="rId216" Target="https://doi.org/10.1016/j.cell.2018.05.061" TargetMode="External" /><Relationship Type="http://schemas.openxmlformats.org/officeDocument/2006/relationships/hyperlink" Id="rId198" Target="https://doi.org/10.1016/j.cell.2020.07.003" TargetMode="External" /><Relationship Type="http://schemas.openxmlformats.org/officeDocument/2006/relationships/hyperlink" Id="rId108" Target="https://doi.org/10.1016/j.cell.2024.11.015" TargetMode="External" /><Relationship Type="http://schemas.openxmlformats.org/officeDocument/2006/relationships/hyperlink" Id="rId116" Target="https://doi.org/10.1016/j.cels.2020.08.003" TargetMode="External" /><Relationship Type="http://schemas.openxmlformats.org/officeDocument/2006/relationships/hyperlink" Id="rId90" Target="https://doi.org/10.1016/j.cels.2026.101621" TargetMode="External" /><Relationship Type="http://schemas.openxmlformats.org/officeDocument/2006/relationships/hyperlink" Id="rId148" Target="https://doi.org/10.1016/j.isci.2022.105746" TargetMode="External" /><Relationship Type="http://schemas.openxmlformats.org/officeDocument/2006/relationships/hyperlink" Id="rId156" Target="https://doi.org/10.1016/j.jtbi.2020.110162" TargetMode="External" /><Relationship Type="http://schemas.openxmlformats.org/officeDocument/2006/relationships/hyperlink" Id="rId190" Target="https://doi.org/10.1021/j100540a008" TargetMode="External" /><Relationship Type="http://schemas.openxmlformats.org/officeDocument/2006/relationships/hyperlink" Id="rId174" Target="https://doi.org/10.1038/nature11814" TargetMode="External" /><Relationship Type="http://schemas.openxmlformats.org/officeDocument/2006/relationships/hyperlink" Id="rId164" Target="https://doi.org/10.1038/nature14318" TargetMode="External" /><Relationship Type="http://schemas.openxmlformats.org/officeDocument/2006/relationships/hyperlink" Id="rId80" Target="https://doi.org/10.1038/nature22794" TargetMode="External" /><Relationship Type="http://schemas.openxmlformats.org/officeDocument/2006/relationships/hyperlink" Id="rId212" Target="https://doi.org/10.1038/ng.729" TargetMode="External" /><Relationship Type="http://schemas.openxmlformats.org/officeDocument/2006/relationships/hyperlink" Id="rId82" Target="https://doi.org/10.1038/nm.4040" TargetMode="External" /><Relationship Type="http://schemas.openxmlformats.org/officeDocument/2006/relationships/hyperlink" Id="rId172" Target="https://doi.org/10.1038/s41467-017-01968-5" TargetMode="External" /><Relationship Type="http://schemas.openxmlformats.org/officeDocument/2006/relationships/hyperlink" Id="rId168" Target="https://doi.org/10.1038/s41467-018-07788-5" TargetMode="External" /><Relationship Type="http://schemas.openxmlformats.org/officeDocument/2006/relationships/hyperlink" Id="rId114" Target="https://doi.org/10.1038/s41467-019-10500-w" TargetMode="External" /><Relationship Type="http://schemas.openxmlformats.org/officeDocument/2006/relationships/hyperlink" Id="rId118" Target="https://doi.org/10.1038/s41467-021-24152-2" TargetMode="External" /><Relationship Type="http://schemas.openxmlformats.org/officeDocument/2006/relationships/hyperlink" Id="rId94" Target="https://doi.org/10.1038/s41467-023-41811-8" TargetMode="External" /><Relationship Type="http://schemas.openxmlformats.org/officeDocument/2006/relationships/hyperlink" Id="rId122" Target="https://doi.org/10.1038/s41467-024-48516-6" TargetMode="External" /><Relationship Type="http://schemas.openxmlformats.org/officeDocument/2006/relationships/hyperlink" Id="rId140" Target="https://doi.org/10.1038/s41540-023-00314-4" TargetMode="External" /><Relationship Type="http://schemas.openxmlformats.org/officeDocument/2006/relationships/hyperlink" Id="rId84" Target="https://doi.org/10.1038/s41586-021-03796-6" TargetMode="External" /><Relationship Type="http://schemas.openxmlformats.org/officeDocument/2006/relationships/hyperlink" Id="rId86" Target="https://doi.org/10.1038/s41586-024-07690-9" TargetMode="External" /><Relationship Type="http://schemas.openxmlformats.org/officeDocument/2006/relationships/hyperlink" Id="rId152" Target="https://doi.org/10.1038/s41587-021-00837-3" TargetMode="External" /><Relationship Type="http://schemas.openxmlformats.org/officeDocument/2006/relationships/hyperlink" Id="rId112" Target="https://doi.org/10.1038/s41587-023-01772-1" TargetMode="External" /><Relationship Type="http://schemas.openxmlformats.org/officeDocument/2006/relationships/hyperlink" Id="rId154" Target="https://doi.org/10.1038/s41588-020-00749-z" TargetMode="External" /><Relationship Type="http://schemas.openxmlformats.org/officeDocument/2006/relationships/hyperlink" Id="rId170" Target="https://doi.org/10.1038/s41591-020-1060-8" TargetMode="External" /><Relationship Type="http://schemas.openxmlformats.org/officeDocument/2006/relationships/hyperlink" Id="rId128" Target="https://doi.org/10.1038/s41592-019-0690-6" TargetMode="External" /><Relationship Type="http://schemas.openxmlformats.org/officeDocument/2006/relationships/hyperlink" Id="rId120" Target="https://doi.org/10.1038/s41592-025-02651-0" TargetMode="External" /><Relationship Type="http://schemas.openxmlformats.org/officeDocument/2006/relationships/hyperlink" Id="rId102" Target="https://doi.org/10.1038/s41592-025-02772-6" TargetMode="External" /><Relationship Type="http://schemas.openxmlformats.org/officeDocument/2006/relationships/hyperlink" Id="rId184" Target="https://doi.org/10.1038/sj.bjc.6600827" TargetMode="External" /><Relationship Type="http://schemas.openxmlformats.org/officeDocument/2006/relationships/hyperlink" Id="rId188" Target="https://doi.org/10.1038/sj.bjc.6605792" TargetMode="External" /><Relationship Type="http://schemas.openxmlformats.org/officeDocument/2006/relationships/hyperlink" Id="rId192" Target="https://doi.org/10.1063/1.1378322" TargetMode="External" /><Relationship Type="http://schemas.openxmlformats.org/officeDocument/2006/relationships/hyperlink" Id="rId196" Target="https://doi.org/10.1063/1.1992473" TargetMode="External" /><Relationship Type="http://schemas.openxmlformats.org/officeDocument/2006/relationships/hyperlink" Id="rId194" Target="https://doi.org/10.1063/1.2159468" TargetMode="External" /><Relationship Type="http://schemas.openxmlformats.org/officeDocument/2006/relationships/hyperlink" Id="rId208" Target="https://doi.org/10.1073/pnas.0803850105" TargetMode="External" /><Relationship Type="http://schemas.openxmlformats.org/officeDocument/2006/relationships/hyperlink" Id="rId124" Target="https://doi.org/10.1093/nar/gkac235" TargetMode="External" /><Relationship Type="http://schemas.openxmlformats.org/officeDocument/2006/relationships/hyperlink" Id="rId96" Target="https://doi.org/10.1093/nar/gkaf295" TargetMode="External" /><Relationship Type="http://schemas.openxmlformats.org/officeDocument/2006/relationships/hyperlink" Id="rId204" Target="https://doi.org/10.1093/neuonc/nov029" TargetMode="External" /><Relationship Type="http://schemas.openxmlformats.org/officeDocument/2006/relationships/hyperlink" Id="rId200" Target="https://doi.org/10.1098/rsif.2008.0172" TargetMode="External" /><Relationship Type="http://schemas.openxmlformats.org/officeDocument/2006/relationships/hyperlink" Id="rId150" Target="https://doi.org/10.1098/rsif.2017.0467" TargetMode="External" /><Relationship Type="http://schemas.openxmlformats.org/officeDocument/2006/relationships/hyperlink" Id="rId136" Target="https://doi.org/10.1098/rsif.2021.0274" TargetMode="External" /><Relationship Type="http://schemas.openxmlformats.org/officeDocument/2006/relationships/hyperlink" Id="rId130" Target="https://doi.org/10.1098/rsos.172234" TargetMode="External" /><Relationship Type="http://schemas.openxmlformats.org/officeDocument/2006/relationships/hyperlink" Id="rId158" Target="https://doi.org/10.1098/rsos.191243" TargetMode="External" /><Relationship Type="http://schemas.openxmlformats.org/officeDocument/2006/relationships/hyperlink" Id="rId92" Target="https://doi.org/10.1101/2025.01.15.633183" TargetMode="External" /><Relationship Type="http://schemas.openxmlformats.org/officeDocument/2006/relationships/hyperlink" Id="rId218" Target="https://doi.org/10.1101/217737" TargetMode="External" /><Relationship Type="http://schemas.openxmlformats.org/officeDocument/2006/relationships/hyperlink" Id="rId146" Target="https://doi.org/10.1103/PhysRevE.101.032403" TargetMode="External" /><Relationship Type="http://schemas.openxmlformats.org/officeDocument/2006/relationships/hyperlink" Id="rId206" Target="https://doi.org/10.1103/PhysRevLett.97.168302" TargetMode="External" /><Relationship Type="http://schemas.openxmlformats.org/officeDocument/2006/relationships/hyperlink" Id="rId160" Target="https://doi.org/10.1103/mh5v-lcyw" TargetMode="External" /><Relationship Type="http://schemas.openxmlformats.org/officeDocument/2006/relationships/hyperlink" Id="rId162" Target="https://doi.org/10.1111/rssb.12312" TargetMode="External" /><Relationship Type="http://schemas.openxmlformats.org/officeDocument/2006/relationships/hyperlink" Id="rId134" Target="https://doi.org/10.1126/sciadv.adl4895" TargetMode="External" /><Relationship Type="http://schemas.openxmlformats.org/officeDocument/2006/relationships/hyperlink" Id="rId176" Target="https://doi.org/10.1158/0008-5472.CAN-20-0806" TargetMode="External" /><Relationship Type="http://schemas.openxmlformats.org/officeDocument/2006/relationships/hyperlink" Id="rId180" Target="https://doi.org/10.1158/1078-0432.CCR-03-0807" TargetMode="External" /><Relationship Type="http://schemas.openxmlformats.org/officeDocument/2006/relationships/hyperlink" Id="rId142" Target="https://doi.org/10.1186/s12859-022-04778-9" TargetMode="External" /><Relationship Type="http://schemas.openxmlformats.org/officeDocument/2006/relationships/hyperlink" Id="rId110" Target="https://doi.org/10.1186/s13059-017-1305-0" TargetMode="External" /><Relationship Type="http://schemas.openxmlformats.org/officeDocument/2006/relationships/hyperlink" Id="rId126" Target="https://doi.org/10.1186/s13059-020-02000-8" TargetMode="External" /><Relationship Type="http://schemas.openxmlformats.org/officeDocument/2006/relationships/hyperlink" Id="rId178" Target="https://doi.org/10.1200/JCO.2013.49.6968" TargetMode="External" /><Relationship Type="http://schemas.openxmlformats.org/officeDocument/2006/relationships/hyperlink" Id="rId138" Target="https://doi.org/10.1371/journal.pcbi.1005991" TargetMode="External" /><Relationship Type="http://schemas.openxmlformats.org/officeDocument/2006/relationships/hyperlink" Id="rId98" Target="https://doi.org/10.1371/journal.pcbi.1013014" TargetMode="External" /><Relationship Type="http://schemas.openxmlformats.org/officeDocument/2006/relationships/hyperlink" Id="rId88" Target="https://doi.org/10.1371/journal.pcbi.1013446" TargetMode="External" /><Relationship Type="http://schemas.openxmlformats.org/officeDocument/2006/relationships/hyperlink" Id="rId132" Target="https://doi.org/10.1371/journal.pcbi.1014366" TargetMode="External" /><Relationship Type="http://schemas.openxmlformats.org/officeDocument/2006/relationships/hyperlink" Id="rId214" Target="https://doi.org/10.1371/journal.pone.0012776" TargetMode="External" /><Relationship Type="http://schemas.openxmlformats.org/officeDocument/2006/relationships/hyperlink" Id="rId182" Target="https://doi.org/10.1592/phco.24.1.16.34800" TargetMode="External" /><Relationship Type="http://schemas.openxmlformats.org/officeDocument/2006/relationships/hyperlink" Id="rId210" Target="https://doi.org/10.5334/jors.151" TargetMode="External" /><Relationship Type="http://schemas.openxmlformats.org/officeDocument/2006/relationships/hyperlink" Id="rId106" Target="https://doi.org/10.64898/2026.02.04.703804" TargetMode="External" /><Relationship Type="http://schemas.openxmlformats.org/officeDocument/2006/relationships/hyperlink" Id="rId100" Target="https://doi.org/10.64898/2026.04.14.718485" TargetMode="External" /><Relationship Type="http://schemas.openxmlformats.org/officeDocument/2006/relationships/hyperlink" Id="rId104" Target="https://doi.org/10.64898/2026.04.20.719650" TargetMode="External" /><Relationship Type="http://schemas.openxmlformats.org/officeDocument/2006/relationships/hyperlink" Id="rId166"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2026-09-22T08:04:42Z</dcterms:created>
  <dcterms:modified xsi:type="dcterms:W3CDTF">2026-09-22T08:04:42Z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and stochastic simulators of dividing cells carry no drug layer. Here we present Biomodelling.jl 2.0, in which stochastic reaction kinetics run inside growing, dividing, drug-treated cells. Exact, hybrid and adaptive kernels couple to exponential growth, volume-scaled transcription, gene replication, division with partitioning, dose schedules with state-dependent killing, a lineage record, observation models and likelihood-free inference. Expression memory, cell-size scaling and cell-cycle-dependent bursting emerge from this physiology rather than imposed. One resistance gene with slow promoter switching reproduces the lineage and memory signatures of drug tolerance, and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Its schedule optimiser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plos.csl</vt:lpwstr>
  </property>
  <property fmtid="{D5CDD505-2E9C-101B-9397-08002B2CF9AE}" pid="5" name="date">
    <vt:lpwstr>Independent researcher, Dublin, Ireland. Correspondence: alasri@berache.com</vt:lpwstr>
  </property>
</Properties>
</file>