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Biomodelling.jl 2.0: mechanistic simulation of heritable gene-expression states, cell division and drug response for single-cell benchmarking and persister biology</w:t>
      </w:r>
    </w:p>
    <w:p>
      <w:pPr>
        <w:pStyle w:val="Author"/>
      </w:pPr>
      <w:r>
        <w:t xml:space="preserve">Ayoub Lasri</w:t>
      </w:r>
      <w:r>
        <w:rPr>
          <w:vertAlign w:val="superscript"/>
        </w:rPr>
        <w:t xml:space="preserve">1</w:t>
      </w:r>
    </w:p>
    <w:p>
      <w:pPr>
        <w:pStyle w:val="Author"/>
      </w:pPr>
      <w:r>
        <w:t xml:space="preserve">Marc Sturrock</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w:t>
      </w:r>
    </w:p>
    <w:p>
      <w:pPr>
        <w:pStyle w:val="AbstractTitle"/>
      </w:pPr>
      <w:r>
        <w:t xml:space="preserve">Abstract</w:t>
      </w:r>
    </w:p>
    <w:p>
      <w:pPr>
        <w:pStyle w:val="Abstract"/>
      </w:pPr>
      <w:r>
        <w:t xml:space="preserve">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Calibrated to published time-lapse measurements of cisplatin-treated cells, the persister model predicts the fates of cells at a held-out concentration, the biphasic kill curve, the extent of lineage correlations and the dose-invariance of single-cell timing; used as a schedule testbed with a built-in optimiser, it reproduces the outcomes of continuous versus intermittent BRAF/MEK inhibition in the SWOG S1320 trial and of intermittent dosing in xenografts, attributes their difference to the fitness of resistant cells without drug, and evaluates standard against dose-dense temozolomide regimens with pharmacokinetics. Biomodelling.jl 2.0 is open source (MIT) at https://github.com/ayoublasri/Biomodelling.jl.</w:t>
      </w:r>
    </w:p>
    <w:bookmarkStart w:id="9" w:name="introduction"/>
    <w:p>
      <w:pPr>
        <w:pStyle w:val="Heading1"/>
      </w:pPr>
      <w:r>
        <w:t xml:space="preserve">Introduction</w:t>
      </w:r>
    </w:p>
    <w:p>
      <w:pPr>
        <w:pStyle w:val="FirstParagraph"/>
      </w:pPr>
      <w:r>
        <w:t xml:space="preserve">Single-cell technologies have made non-genetic heterogeneity a central object of study in cell biology and drug discovery. Isogenic cells differ in their transcriptional states, these states are often inherited across several divisions, and the inherited states decide cell fate under stress: drug-tolerant persister cells that survive targeted or cytotoxic therapy arise from pre-existing or drug-induced expression states rather than from mutations</w:t>
      </w:r>
      <w:r>
        <w:t xml:space="preserve"> </w:t>
      </w:r>
      <w:r>
        <w:t xml:space="preserve">(Shaffer et al. 2017, 2020; Harmange et al. 2023; Iyer et al. 2025; Lin et al. 2026)</w:t>
      </w:r>
      <w:r>
        <w:t xml:space="preserve">. Lineage-resolved single-cell experiments now quantify this memory directly, showing that the fates of sisters and cousins are correlated, that clonal barcode diversity is preserved or collapsed depending on whether tolerance pre-exists or is induced, and that the timescale of expression fluctuations relative to the cell cycle determines which genes carry memory</w:t>
      </w:r>
      <w:r>
        <w:t xml:space="preserve"> </w:t>
      </w:r>
      <w:r>
        <w:t xml:space="preserve">(Iyer et al. 2025; Lin et al. 2026; Ghosh et al. 2025)</w:t>
      </w:r>
      <w:r>
        <w:t xml:space="preserve">. In parallel, mechanistic analyses of single-cell RNA-sequencing data have established that transcriptional kinetics can only be inferred correctly when gene copy number, cell age and partitioning at division are modelled explicitly</w:t>
      </w:r>
      <w:r>
        <w:t xml:space="preserve"> </w:t>
      </w:r>
      <w:r>
        <w:t xml:space="preserve">(Sukys and Grima 2025; Zhang et al. 2025)</w:t>
      </w:r>
      <w:r>
        <w:t xml:space="preserve">, and evaluations of</w:t>
      </w:r>
      <w:r>
        <w:t xml:space="preserve"> </w:t>
      </w:r>
      <w:r>
        <w:t xml:space="preserve">“virtual cell”</w:t>
      </w:r>
      <w:r>
        <w:t xml:space="preserve"> </w:t>
      </w:r>
      <w:r>
        <w:t xml:space="preserve">models for perturbation prediction have found that deep-learning approaches still fail to beat simple baselines, largely because they lack mechanism and causal structure</w:t>
      </w:r>
      <w:r>
        <w:t xml:space="preserve"> </w:t>
      </w:r>
      <w:r>
        <w:t xml:space="preserve">(Ahlmann-Eltze et al. 2025; Vollenweider and Bühlmann 2026; Dibaeinia et al. 2026)</w:t>
      </w:r>
      <w:r>
        <w:t xml:space="preserve">.</w:t>
      </w:r>
    </w:p>
    <w:p>
      <w:pPr>
        <w:pStyle w:val="BodyText"/>
      </w:pPr>
      <w:r>
        <w:t xml:space="preserve">These developments create a demand that existing simulators do not meet. Simulators used to benchmark single-cell methods, such as SERGIO, dyngen, scMultiSim and GRouNdGAN</w:t>
      </w:r>
      <w:r>
        <w:t xml:space="preserve"> </w:t>
      </w:r>
      <w:r>
        <w:t xml:space="preserve">(Dibaeinia and Sinha 2020; Cannoodt et al. 2021; Li et al. 2025; Zinati et al. 2024)</w:t>
      </w:r>
      <w:r>
        <w:t xml:space="preserve">, model regulation and technical noise but not cell growth, volume-dependent transcription, gene replication or the partitioning of molecules at division; lineage simulators such as TedSim</w:t>
      </w:r>
      <w:r>
        <w:t xml:space="preserve"> </w:t>
      </w:r>
      <w:r>
        <w:t xml:space="preserve">(Pan et al. 2022)</w:t>
      </w:r>
      <w:r>
        <w:t xml:space="preserve"> </w:t>
      </w:r>
      <w:r>
        <w:t xml:space="preserve">generate division trees but attach phenomenological, largely Markovian expression to them. As a consequence none of them can produce expression memory, cell-size scaling, cell-cycle-dependent bursting or persister dynamics from first principles, and none provides the ground truth needed to test the methods that are now being developed for exactly those phenomena. Stochastic simulators of growing and dividing cells exist</w:t>
      </w:r>
      <w:r>
        <w:t xml:space="preserve"> </w:t>
      </w:r>
      <w:r>
        <w:t xml:space="preserve">(Bertaux et al. 2018; Piho and Thomas 2026)</w:t>
      </w:r>
      <w:r>
        <w:t xml:space="preserve"> </w:t>
      </w:r>
      <w:r>
        <w:t xml:space="preserve">but stop at the single-cell state: they do not provide drug response, lineage statistics, observation models, inference or benchmark generation.</w:t>
      </w:r>
    </w:p>
    <w:p>
      <w:pPr>
        <w:pStyle w:val="BodyText"/>
      </w:pPr>
      <w:r>
        <w:t xml:space="preserve">Biomodelling.jl was introduced as a generator of synthetic scRNA-seq data from stochastic gene regulatory networks in growing and dividing cells, and was used to benchmark imputation methods for network inference</w:t>
      </w:r>
      <w:r>
        <w:t xml:space="preserve"> </w:t>
      </w:r>
      <w:r>
        <w:t xml:space="preserve">(Lasri et al. 2022)</w:t>
      </w:r>
      <w:r>
        <w:t xml:space="preserve">. Its distinguishing feature, the coupling of stochastic reaction kinetics to exponential growth, volume-scaled transcription and binomial partitioning at division, is precisely the mechanism behind the heritable states discussed above. Here we present version 2.0, a rewrite that turns this feature into a complete framework for the mechanistic study of heritable expression states, drug tolerance and single-cell benchmarking. The package adds (i) a typed model layer with mass-action, Hill and custom kinetics and explicit promoter states; (ii) exact, hybrid and adaptive stochastic kernels validated against analytic laws and an independent implementation; (iii) a population layer with sizer, adder and timer division control, binomial or over-dispersed partitioning, promoter inheritance, gene replication and constant-size, free-growth or logistic population control; (iv) a drug and perturbation layer with dose schedules, pharmacokinetics, state-dependent death, growth inhibition, drug-induced rate changes and genetic perturbations; (v) complete lineage records with heritability, autocorrelation, fluctuation-test and clonal-memory statistics; (vi) observation models for scRNA-seq, smFISH and time-lapse reporters with AnnData output; and (vii) likelihood-free inference and the exact telegraph likelihood.</w:t>
      </w:r>
    </w:p>
    <w:p>
      <w:pPr>
        <w:pStyle w:val="BodyText"/>
      </w:pPr>
      <w:r>
        <w:t xml:space="preserve">We validate the engine against exact stationary distributions and against JumpProcesses.jl,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reported in recent experimental and theoretical work: dose-dependent population decay with unchanged single-cell division times, correlated fates of related cells, preserved or collapsed barcode diversity, loss of resistance when memory is disrupted during exposure, an intermediate-dose optimum for drug-induced tolerance, and stable inheritance of a selected phenotype. We then use the framework as a ground-truth generator to evaluate memory-gene detection, network inference under the confounds of growth and sequencing, imputation, and perturbation-prediction baselines, show that the same forward model supports parameter inference from snapshot and lineage data and quantifies the bias incurred by ignoring division, calibrate the persister model to published time-lapse data and validate it on held-out conditions, and finally use it, with a built-in schedule optimiser, to evaluate clinical dosing regimens and to search for better ones.</w:t>
      </w:r>
    </w:p>
    <w:bookmarkEnd w:id="9"/>
    <w:bookmarkStart w:id="18" w:name="results"/>
    <w:p>
      <w:pPr>
        <w:pStyle w:val="Heading1"/>
      </w:pPr>
      <w:r>
        <w:t xml:space="preserve">Results</w:t>
      </w:r>
    </w:p>
    <w:bookmarkStart w:id="10" w:name="Xc6f6304d11b674a0a63cd4836c8b87658dd755c"/>
    <w:p>
      <w:pPr>
        <w:pStyle w:val="Heading2"/>
      </w:pPr>
      <w:r>
        <w:t xml:space="preserve">A layered framework for stochastic simulation in growing, dividing and drug-treated populations</w:t>
      </w:r>
    </w:p>
    <w:p>
      <w:pPr>
        <w:pStyle w:val="FirstParagraph"/>
      </w:pPr>
      <w:r>
        <w:t xml:space="preserve">Biomodelling.jl 2.0 is organised in layers (Figure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of molecules, and controls the population size (constant size by Moran-like replacement, free growth, or logistic). A drug and perturbation layer applies dose schedules, state-dependent death, growth inhibition, drug-induced rate changes and genetic perturbations. Every cell’s ancestry, fate and state at birth and division are recorded in a lineage table, from which heritability, autocorrelation, memory timescales, fluctuation-test and clonal-memory statistics are computed. Observation models convert true counts into scRNA-seq, smFISH or time-lapse measurements, and the same forward model drives likelihood-free inference. Table 1 compares these capabilities with those of the simulators most used to benchmark single-cell methods.</w:t>
      </w:r>
    </w:p>
    <w:p>
      <w:pPr>
        <w:pStyle w:val="BodyText"/>
      </w:pPr>
      <w:r>
        <w:t xml:space="preserve">Table 1. Capabilities of single-cell simulators (✓ native; ○ partial or phenomenological; – absent). ABM.jl, AgentBasedModeling.jl; v1.x and v2.0, Biomodelling.jl versions.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Lineage-</w:t>
            </w:r>
            <w:r>
              <w:t xml:space="preserve"> </w:t>
            </w:r>
            <w:r>
              <w:t xml:space="preserve">Sim</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10"/>
    <w:bookmarkStart w:id="11" w:name="X9ee2a68a6d8bf472bdfcfacc785641eb8079b6e"/>
    <w:p>
      <w:pPr>
        <w:pStyle w:val="Heading2"/>
      </w:pPr>
      <w:r>
        <w:t xml:space="preserve">The engine is exact and agrees with an independent implementation</w:t>
      </w:r>
    </w:p>
    <w:p>
      <w:pPr>
        <w:pStyle w:val="FirstParagraph"/>
      </w:pPr>
      <w:r>
        <w:t xml:space="preserve">We first verified the kernels against exact stationary laws (Figure 2). For a birth-death process the simulated distribution of 50 000 cells is indistinguishable from the Poisson law (Figure 2a); for the telegraph model in an intermediate and in a bursty regime it matches the Beta-Poisson distribution of</w:t>
      </w:r>
      <w:r>
        <w:t xml:space="preserve"> </w:t>
      </w:r>
      <w:r>
        <w:t xml:space="preserve">Peccoud and Ycart (1995)</w:t>
      </w:r>
      <w:r>
        <w:t xml:space="preserve"> </w:t>
      </w:r>
      <w:r>
        <w:t xml:space="preserve">(Figure 2b); and for bursty protein production it matches the negative binomial (Figure 2c). Across kernels, Kolmogorov-Smirnov distances to the exact law with 20 000 cells are below the 99% critical value for the direct method and for the hybrid and adaptive schemes at their default tolerances, at wall-clock costs of 0.25 s to 0.91 s per 10⁴ cells (Figure 2d). Simulating the same telegraph model with JumpProcesses.jl gives distributions whose two-sample Kolmogorov-Smirnov statistic against Biomodelling.jl is 0.0034 (99% critical value 0.0163; Figure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(Figure 2f).</w:t>
      </w:r>
    </w:p>
    <w:bookmarkEnd w:id="11"/>
    <w:bookmarkStart w:id="12" w:name="X0ce03d895f8b454003cbc49e5e85b40213ac265"/>
    <w:p>
      <w:pPr>
        <w:pStyle w:val="Heading2"/>
      </w:pPr>
      <w:r>
        <w:t xml:space="preserve">Growth, division and partitioning generate expression memory, size scaling and cell-cycle effects</w:t>
      </w:r>
    </w:p>
    <w:p>
      <w:pPr>
        <w:pStyle w:val="FirstParagraph"/>
      </w:pPr>
      <w:r>
        <w:t xml:space="preserve">The physiology of the population layer is sufficient to produce the properties of single-cell data that phenomenological simulators must impose by hand (Figure 3). In a single lineage of a slowly switching gene, mRNA and protein track volume within a cycle and are halved at division, while the promoter state, inherited by both daughters, persists over many divisions (Figure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(Figure 3b), the copy-number effect that mechanistic fits to scRNA-seq data must account for</w:t>
      </w:r>
      <w:r>
        <w:t xml:space="preserve"> </w:t>
      </w:r>
      <w:r>
        <w:t xml:space="preserve">(Sukys and Grima 2025)</w:t>
      </w:r>
      <w:r>
        <w:t xml:space="preserve">. Correlations of protein concentration at division between mothers and daughters, sisters and cousins decrease from 0.94 to 0.02 as the promoter switching rate crosses the inverse cell-cycle time (Figure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(Figure 3d). Following</w:t>
      </w:r>
      <w:r>
        <w:t xml:space="preserve"> </w:t>
      </w:r>
      <w:r>
        <w:t xml:space="preserve">Zhang et al. (2025)</w:t>
      </w:r>
      <w:r>
        <w:t xml:space="preserve">, the coefficient of variation of a stable protein’s concentration is larger across the population than along single lineages, whether or not cell-cycle times are noisy, and over-dispersed partitioning adds variability in both perspectives (Figure 3e). Finally, telegraph parameters fitted separately to cells before and after replication differ by the expected factor of two in burst frequency, and a fit that ignores the cell cycle returns intermediate values (Figure 3f).</w:t>
      </w:r>
    </w:p>
    <w:bookmarkEnd w:id="12"/>
    <w:bookmarkStart w:id="13" w:name="X6473de47bf05e4ad3eebffd0a77166f76a5d720"/>
    <w:p>
      <w:pPr>
        <w:pStyle w:val="Heading2"/>
      </w:pPr>
      <w:r>
        <w:t xml:space="preserve">A single resistance gene with slow promoter switching reproduces persister biology</w:t>
      </w:r>
    </w:p>
    <w:p>
      <w:pPr>
        <w:pStyle w:val="FirstParagraph"/>
      </w:pPr>
      <w:r>
        <w:t xml:space="preserve">To test whether heritable expression states suffice to reproduce the observed phenomenology of drug-tolerant persisters, we coupled a resistance gene with slow promoter switching (memory timescale 45 time units, cell-cycle time 20) to a death hazard that acts on the drug dose and is suppressed by the concentration of the gene’s protein product (Methods). Under continuous, pulsed and reduced-dose schedules the population first collapses as low-expressing cells die and then regrows from the high-expressing survivors (Figure 4a); kill curves are biphasic with a surviving fraction that decreases with dose (Figure 4b). The net rate of population decline over the first 30 time units of treatment rises from 0.023 to 0.050 per time unit between doses 0.5 and 2 (2.1-fold), while the mean division time of cells born under drug changes by only 0.0% and the mean time to death of killed cells only moves from 8.5 to 6.2 time units (Figure 4c), reproducing the observation of</w:t>
      </w:r>
      <w:r>
        <w:t xml:space="preserve"> </w:t>
      </w:r>
      <w:r>
        <w:t xml:space="preserve">Iyer et al. (2025)</w:t>
      </w:r>
      <w:r>
        <w:t xml:space="preserve"> </w:t>
      </w:r>
      <w:r>
        <w:t xml:space="preserve">that population decay depends strongly on dose even though single-cell division and death times barely do, because fate is decided by cell states present before the drug. Accordingly, related cells born in the 25 time units before the drug share the fate of their lineages (extinction, or survival of at least one descendant): a cell whose sister founded a surviving lineage does so itself with probability 0.39, against a marginal probability of 0.08 (4.8-fold enrichment over 1830 sister pairs; 2.9-fold for cousins), whereas in the fast-switching control, in which survival is rarer, the conditional and marginal probabilities coincide (0.03 versus 0.02; Figure 4d). When tolerance pre-exists, survivors descend from a minority of founder clones and the effective number of clones drops from 491 to 89, whereas when tolerance is drug-induced (the drug raises the promoter activation rate of every cell) barcode diversity is largely preserved (165 of 492; Figure 4e), the discriminating signature used in barcoding experiments</w:t>
      </w:r>
      <w:r>
        <w:t xml:space="preserve"> </w:t>
      </w:r>
      <w:r>
        <w:t xml:space="preserve">(Shaffer et al. 2017; Iyer et al. 2025)</w:t>
      </w:r>
      <w:r>
        <w:t xml:space="preserve">. Disrupting expression memory changes this outcome: accelerating promoter switching 20-fold from two cell-cycle times before the drug, as memory-disrupting epigenetic compounds do</w:t>
      </w:r>
      <w:r>
        <w:t xml:space="preserve"> </w:t>
      </w:r>
      <w:r>
        <w:t xml:space="preserve">(Harmange et al. 2023)</w:t>
      </w:r>
      <w:r>
        <w:t xml:space="preserve">, leaves the number of surviving clones unchanged when the acceleration stops at the moment the drug arrives (98 versus 120 clones), because it reshuffles which cells are in the resistant state without changing their number, but reduces it to 7 clones (10 cells, against 792) when the acceleration continues during exposure (Figure 4f), because resistant cells now leave the protected state within a fraction of the time they need to establish a colony: in the model, memory must be disrupted while the drug is present. A transient drug pulse enriches high-expressing cells and, with slow switching, the enrichment persists for many generations after the drug is removed, whereas with fast switching it relaxes within a few cycles (Figure 4g): the phenotypic selection with stable inheritance of the original MGMT model</w:t>
      </w:r>
      <w:r>
        <w:t xml:space="preserve"> </w:t>
      </w:r>
      <w:r>
        <w:t xml:space="preserve">(Lasri et al. 2020)</w:t>
      </w:r>
      <w:r>
        <w:t xml:space="preserve">. Finally, scanning release periods and doses of intermittent schedules (Figure 4h; net growth rate of the population over a 200-time-unit course),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(the drug raising the promoter activation rate 100-fold at dose 1). Without a fitness cost, therefore, nothing beats continuous dosing at the highest dose and every release period lets the resistant subpopulation regrow. With a fitness cost of the resistant state the population declines under every schedule with dose ≥ 0.5, and release periods of up to 10 time units are as effective as continuous dosing (-0.013 per time unit under continuous dose 2), because cells that leave the resistant state during the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by</w:t>
      </w:r>
      <w:r>
        <w:t xml:space="preserve"> </w:t>
      </w:r>
      <w:r>
        <w:t xml:space="preserve">Corigliano et al. (2025)</w:t>
      </w:r>
      <w:r>
        <w:t xml:space="preserve">; the benefit of release periods reported in that work does not appear in this model, in which the induced state decays at the same rate with and without drug, so that a holiday only postpones the death of reverting cells while all cells grow.</w:t>
      </w:r>
    </w:p>
    <w:bookmarkEnd w:id="13"/>
    <w:bookmarkStart w:id="14" w:name="X9cd648870167c6db33c0fff253d6de318a899c7"/>
    <w:p>
      <w:pPr>
        <w:pStyle w:val="Heading2"/>
      </w:pPr>
      <w:r>
        <w:t xml:space="preserve">Ground truth for memory genes, network inference, imputation and perturbation prediction</w:t>
      </w:r>
    </w:p>
    <w:p>
      <w:pPr>
        <w:pStyle w:val="FirstParagraph"/>
      </w:pPr>
      <w:r>
        <w:t xml:space="preserve">Because every cell’s clone, lineage and true state are known, the framework supplies ground truth that observational data cannot (Figure 5). For 40 independent genes whose memory times span three decades, MemorySeq-style clonal variance scores computed on true concentrations rise from 1.0 for genes with memory times far below the cell-cycle time to 29.6 for the slowest genes, and the ranking is preserved when scores are computed on sequenced counts at 20% capture efficiency (Figure 5a); the score separates genes with memory times above the cycle time from the rest with an area under the receiver operating curve of 1.00 (true) and 0.99 (sequenced).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0.08 for a random ranking), because volume and gene copy number induce positive correlations between all genes. Normalising counts to concentrations removes the volume effect but recovers little (0.18 and 0.18), since the dependence of expression on copy number and cell age remains, whereas regressing expression on the true cell-cycle covariates (copy number and age, which the simulation provides and which cell-cycle scoring approximates in real data) before inference recovers most of the loss (0.46 and 0.30). Sequencing at 15% capture efficiency lowers accuracy further (0.11 for raw and 0.24 for library-size-normalised counts with Pearson correlation; 0.07 and 0.08 with GENIE3; Figure 5b). Imputation with kNN-smoothing and MAGIC before inference changes the area under the precision-recall curve by +0.05 to +0.21 (Pearson correlation) (Figure 5c), consistent with the conclusions of the original benchmark</w:t>
      </w:r>
      <w:r>
        <w:t xml:space="preserve"> </w:t>
      </w:r>
      <w:r>
        <w:t xml:space="preserve">(Lasri et al. 2022)</w:t>
      </w:r>
      <w:r>
        <w:t xml:space="preserve">. Finally, knocking down the five most connected regulators of a 20-gene network produces true fold changes that a no-change baseline and the propagation of observational correlations predict with coefficients of determination of -0.16 and -0.23 respectively (Figure 5d), illustrating how causal, out-of-distribution ground truth can be generated for the evaluation of perturbation-prediction models</w:t>
      </w:r>
      <w:r>
        <w:t xml:space="preserve"> </w:t>
      </w:r>
      <w:r>
        <w:t xml:space="preserve">(Ahlmann-Eltze et al. 2025; Vollenweider and Bühlmann 2026)</w:t>
      </w:r>
      <w:r>
        <w:t xml:space="preserve">.</w:t>
      </w:r>
    </w:p>
    <w:bookmarkEnd w:id="14"/>
    <w:bookmarkStart w:id="15" w:name="Xdfe33f2d29911b71b893bffc11219e23edbf454"/>
    <w:p>
      <w:pPr>
        <w:pStyle w:val="Heading2"/>
      </w:pPr>
      <w:r>
        <w:t xml:space="preserve">The forward model supports inference and quantifies the bias of ignoring division</w:t>
      </w:r>
    </w:p>
    <w:p>
      <w:pPr>
        <w:pStyle w:val="FirstParagraph"/>
      </w:pPr>
      <w:r>
        <w:t xml:space="preserve">On a snapshot of 2 000 non-dividing cells, ABC-SMC with log-uniform priors over three decades and the Wasserstein distance between simulated and observed counts</w:t>
      </w:r>
      <w:r>
        <w:t xml:space="preserve"> </w:t>
      </w:r>
      <w:r>
        <w:t xml:space="preserve">(Bernton et al. 2019)</w:t>
      </w:r>
      <w:r>
        <w:t xml:space="preserve"> </w:t>
      </w:r>
      <w:r>
        <w:t xml:space="preserve">concentrates on the true telegraph parameters and agrees with the exact maximum-likelihood estimate (Figure 6a; posterior medians (0.31, 0.60, 20.9) for truth (0.3, 0.6, 20)), with the broadest posterior on k_off, the parameter that a single snapshot constrains least.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((0.30, 0.68, 20.8); Figure 6b). Drug parameters can be inferred from population data in the same way: from a kill curve and the concordance of sister fates, the posterior over the maximal death rate and the protection threshold is a ridge (weighted correlation of log h_max and log K of -0.85) on which the truth (0.5, 150) lies (Figure 6c), and posterior predictive kill curves simulated at the posterior median reproduce the observed one (Figure 6d): the two summaries constrain the product of death rate and unprotected fraction, and separating the two parameters requires a measurement of the protective protein, an example of the experimental-design questions the forward model can answer before an experiment is run.</w:t>
      </w:r>
    </w:p>
    <w:bookmarkEnd w:id="15"/>
    <w:bookmarkStart w:id="16" w:name="X9127e981dd342706dc2bd484113b0f729438709"/>
    <w:p>
      <w:pPr>
        <w:pStyle w:val="Heading2"/>
      </w:pPr>
      <w:r>
        <w:t xml:space="preserve">The persister model calibrates to laboratory time-lapse data and predicts held-out conditions</w:t>
      </w:r>
    </w:p>
    <w:p>
      <w:pPr>
        <w:pStyle w:val="FirstParagraph"/>
      </w:pPr>
      <w:r>
        <w:t xml:space="preserve">A simulator is only useful for treatment questions if it can be fitted to the data a laboratory actually produces and then predicts what it was not fitted to. We therefore calibrated the resistance-gene model to the time-lapse measurements of</w:t>
      </w:r>
      <w:r>
        <w:t xml:space="preserve"> </w:t>
      </w:r>
      <w:r>
        <w:t xml:space="preserve">Iyer et al. (2025)</w:t>
      </w:r>
      <w:r>
        <w:t xml:space="preserve">, who tracked U2OS cells for three days under 7, 10 and 13 µM cisplatin and recorded, for every cell present at drug addition, whether it died, divided or survived without dividing (Table S3). Six parameters (promoter switching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to the fate fractions at 7 and 13 µM by simulated moments with common random numbers, with a weak prior keeping the memory of the resistant state near the two to three generations that the same study inferred from lineage correlations (Methods). The calibrated model (Figure 7f; memory 2.8 generations, resistant fraction 15.2%, EC</w:t>
      </w:r>
      <m:oMath>
        <m:sSub>
          <m:e>
            <m:r>
              <m:t>​</m:t>
            </m:r>
          </m:e>
          <m:sub>
            <m:r>
              <m:t>50</m:t>
            </m:r>
          </m:sub>
        </m:sSub>
      </m:oMath>
      <w:r>
        <w:t xml:space="preserve"> </w:t>
      </w:r>
      <w:r>
        <w:t xml:space="preserve">16.7 µM) reproduces the training fractions with a root-mean-square error of 0.071 and predicts the held-out 10 µM condition with an error of 0.093 (observed died, divided and survived fractions 0.28, 0.31 and 0.41; predicted 0.39, 0.20 and 0.41; Figure 7a). Properties that were not fitted can then be compared with the data. Death fates are correlated between sisters (0.09), first cousins (0.06) and second cousins (0.05) and the correlation decays to 0.02 for third cousins and 0.00 for unrelated cells (Figure 7c), the pattern reported for HCT116 lineages. The mean time to death changes by only 8% between 7 and 13 µM while the death fraction rises from 0.13 to 0.59 (Figure 7d), the dose-invariance of single-cell timing that motivated the original study, and arises here because the dose changes the fraction of unprotected cells rather than their kinetics. The predicted kill curves (Figure 7b) are steeper at 13 µM in their first two days than in their second half (1.5-fold), but the calibrated memory of 2.8 generations is too short to produce the plateau that HCT116 cells reach after about 100 h: in the model, cells leave the resistant state within days and are then killed. Reproducing the plateau requires a longer memory or a drug-induced stabilisation of the resistant state, which is exactly the kind of conclusion a calibrated forward model can draw and a lineage-tracing experiment can test. The calibration landscape (Figure 7e) shows how the fitted death rate and EC</w:t>
      </w:r>
      <m:oMath>
        <m:sSub>
          <m:e>
            <m:r>
              <m:t>​</m:t>
            </m:r>
          </m:e>
          <m:sub>
            <m:r>
              <m:t>50</m:t>
            </m:r>
          </m:sub>
        </m:sSub>
      </m:oMath>
      <w:r>
        <w:t xml:space="preserve"> </w:t>
      </w:r>
      <w:r>
        <w:t xml:space="preserve">are constrained by the fate fractions alone; the same protocol, with the same functions, applies to any observable that a laboratory records.</w:t>
      </w:r>
    </w:p>
    <w:bookmarkEnd w:id="16"/>
    <w:bookmarkStart w:id="17" w:name="Xd56bc4e7d40795b987986d7bf1b24271e096039"/>
    <w:p>
      <w:pPr>
        <w:pStyle w:val="Heading2"/>
      </w:pPr>
      <w:r>
        <w:t xml:space="preserve">Dose and schedule optimisation against clinical regimens</w:t>
      </w:r>
    </w:p>
    <w:p>
      <w:pPr>
        <w:pStyle w:val="FirstParagraph"/>
      </w:pPr>
      <w:r>
        <w:t xml:space="preserve">With a calibrated model the framework becomes a schedule testbed. We first asked which dosing schedule minimises regrowth for a melanoma-like population with a rare, heritable pre-resistant state</w:t>
      </w:r>
      <w:r>
        <w:t xml:space="preserve"> </w:t>
      </w:r>
      <w:r>
        <w:t xml:space="preserve">(Shaffer et al. 2017)</w:t>
      </w:r>
      <w:r>
        <w:t xml:space="preserve"> </w:t>
      </w:r>
      <w:r>
        <w:t xml:space="preserve">treated at a fractional-killing dose, comparing continuous dosing with the intermittent schedule of the SWOG S1320 trial, in which patients received a continuous 8-week lead-in and were then randomised to continuous dosing or to cycles of 3 weeks off and 5 weeks on</w:t>
      </w:r>
      <w:r>
        <w:t xml:space="preserve"> </w:t>
      </w:r>
      <w:r>
        <w:t xml:space="preserve">(Algazi et al. 2020)</w:t>
      </w:r>
      <w:r>
        <w:t xml:space="preserve">, and with adaptive therapy, in which the drug is withdrawn when the population has shrunk to half its initial size and resumed when it regrows to the initial size</w:t>
      </w:r>
      <w:r>
        <w:t xml:space="preserve"> </w:t>
      </w:r>
      <w:r>
        <w:t xml:space="preserve">(Zhang et al. 2017)</w:t>
      </w:r>
      <w:r>
        <w:t xml:space="preserve">. When the resistant state carries no fitness cost, as the lineage data of</w:t>
      </w:r>
      <w:r>
        <w:t xml:space="preserve"> </w:t>
      </w:r>
      <w:r>
        <w:t xml:space="preserve">Iyer et al. (2025)</w:t>
      </w:r>
      <w:r>
        <w:t xml:space="preserve"> </w:t>
      </w:r>
      <w:r>
        <w:t xml:space="preserve">indicate for pre-existing tolerance, continuous dosing gives the longest time to progression ([ttp_cont_nocost] weeks against [ttp_int_nocost] for the intermittent schedule and [ttp_adapt_nocost] for adaptive therapy; Figure 8a,c), the ranking observed in the trial, where continuous dosing gave a median progression-free survival of 9.0 months against 5.5 months for intermittent dosing. When resistant cells pay a fitness cost in the absence of drug, the drug addiction that made intermittent dosing superior in patient-derived xenografts</w:t>
      </w:r>
      <w:r>
        <w:t xml:space="preserve"> </w:t>
      </w:r>
      <w:r>
        <w:t xml:space="preserve">(Das Thakur and Stuart 2013)</w:t>
      </w:r>
      <w:r>
        <w:t xml:space="preserve">, the ranking reverses: the intermittent schedule and adaptive therapy delay progression to [ttp_int_cost] and [ttp_adapt_cost] weeks against [ttp_cont_cost] for continuous dosing, with adaptive therapy using [dose_adapt_cost] of the cumulative dose (Figure 8b,c). The optimiser makes the dependence explicit: over intermittent schedules of any period and duty cycle, the best schedule without a fitness cost is [best_nocost], and with a fitness cost release period 10, dose 2 (growth rate -0.016 per time unit) (Figure 8d). The model therefore reproduces both clinical and preclinical outcomes and attributes their difference to a measurable property of the resistant cells, their fitness without drug, which the framework can estimate from growth data before a schedule is chosen.</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found no difference in overall survival (16.6 against 14.9 months) for either MGMT-methylated or unmethylated tumours</w:t>
      </w:r>
      <w:r>
        <w:t xml:space="preserve"> </w:t>
      </w:r>
      <w:r>
        <w:t xml:space="preserve">(Gilbert et al. 2013)</w:t>
      </w:r>
      <w:r>
        <w:t xml:space="preserve">. Simulating both regimens with one-compartment pharmacokinetics (elimination half-life 2.1 h;</w:t>
      </w:r>
      <w:r>
        <w:t xml:space="preserve"> </w:t>
      </w:r>
      <w:r>
        <w:t xml:space="preserve">Ostermann et al. (2004)</w:t>
      </w:r>
      <w:r>
        <w:t xml:space="preserve">) on populations in which 1% (methylated) or 30% (unmethylated) of cells express MGMT, with MGMT protein protecting cells from the drug (the phenotypic-selection model of</w:t>
      </w:r>
      <w:r>
        <w:t xml:space="preserve"> </w:t>
      </w:r>
      <w:r>
        <w:t xml:space="preserve">Lasri et al. (2020)</w:t>
      </w:r>
      <w:r>
        <w:t xml:space="preserve">), [gbm_summary] (Figure 8e,f). At equal cumulative dose the number of dosing days per cycle [gbm_days_summary] (Figure 8g). These simulations are not fits to the trials, whose end points depend on much that the model omits, but they show how the framework turns a proposed regimen into a quantitative, mechanism-resolved prediction, and how it identifies which biological measurement, the fitness of resistant cells without drug or the fraction of cells protected, decides between regimens.</w:t>
      </w:r>
    </w:p>
    <w:bookmarkEnd w:id="17"/>
    <w:bookmarkEnd w:id="18"/>
    <w:bookmarkStart w:id="19" w:name="discussion"/>
    <w:p>
      <w:pPr>
        <w:pStyle w:val="Heading1"/>
      </w:pPr>
      <w:r>
        <w:t xml:space="preserve">Discussion</w:t>
      </w:r>
    </w:p>
    <w:p>
      <w:pPr>
        <w:pStyle w:val="FirstParagraph"/>
      </w:pPr>
      <w:r>
        <w:t xml:space="preserve">Biomodelling.jl 2.0 occupies a niche that the single-cell field currently lacks: a mechanistic simulator in which expression memory, cell-size effects, cell-cycle dependence and drug-tolerant persistence are consequences of explicit biophysics rather than assumptions of a generative model. Three uses follow. First, as a hypothesis engine for non-genetic drug tolerance, it lets one ask which schedule, which combination or which memory-modulating pretreatment minimises the long-term fitness of a treated population, with cell-level rules that can be matched to time-lapse and lineage-tracing data. Second, as a ground-truth generator, it produces data with known memory genes, known networks, known perturbation effects and known lineage trees, which is what methods such as MemorySeq-style scores, Power-Seek, lineage-aware models and virtual-cell benchmarks require to be evaluated fairly, and which existing simulators cannot provide. Third, as a likelihood-free inference engine, it allows mechanistic parameters to be estimated from the kinds of data that are now routinely collected, while quantifying the bias of simpler models.</w:t>
      </w:r>
    </w:p>
    <w:p>
      <w:pPr>
        <w:pStyle w:val="BodyText"/>
      </w:pPr>
      <w:r>
        <w:t xml:space="preserve">The calibration and schedule studies illustrate the workflow we propose for in silico single-cell pharmacology: declare the training and validation observables before fitting, fit by simulated moments or ABC with common random numbers, validate on conditions and statistics that were not fitted, and only then compare regimens, reporting outcomes that map onto clinical end points (time to progression from the nadir, depth of response, cumulative dose). The two case studies show why mechanism matters: the same schedule question, continuous or intermittent dosing, has opposite answers depending on whether resistant cells pay a fitness cost without drug, and the trial and xenograft outcomes that seemed to contradict each other are both reproduced once that property is set. Because the framework simulates the lineage-resolved, single-cell data from which such properties are measured, it can also say which experiment would resolve the question before a trial is designed.</w:t>
      </w:r>
    </w:p>
    <w:p>
      <w:pPr>
        <w:pStyle w:val="BodyText"/>
      </w:pPr>
      <w:r>
        <w:t xml:space="preserve">Several limitations delimit the current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as in Figure 6. The persister case study is deliberately minimal, a single resistance gene with slow switching; its calibration used fate fractions transcribed from a published study rather than raw tracks, and the clinical case studies use literature values for cell-cycle times, resistant fractions and pharmacokinetics rather than patient-specific measurements, so their conclusions are about mechanisms and rankings, not about absolute survival times. The Catalyst.jl bridge planned for interoperability with the SciML ecosystem is not part of this release. Finally, the benchmark results should be read as demonstrations of what the framework makes possible rather than as verdicts on the methods compared, which were run with default settings on small networks.</w:t>
      </w:r>
    </w:p>
    <w:p>
      <w:pPr>
        <w:pStyle w:val="BodyText"/>
      </w:pPr>
      <w:r>
        <w:t xml:space="preserve">Future work will add spatial coupling through neighbourhood-dependent rates, cell-cell communication, chromatin states with their own inheritance rules, and neural simulation-based inference on top of the existing forward model. Because the framework is deterministic given a seed, fast enough to simulate tens of thousands of cells in minutes, and outputs AnnData files, it can be dropped into existing single-cell analysis pipelines as a source of mechanistically grounded synthetic data, and into virtual-cell training and evaluation as a source of causal, out-of-distribution contexts.</w:t>
      </w:r>
    </w:p>
    <w:bookmarkEnd w:id="19"/>
    <w:bookmarkStart w:id="32" w:name="methods"/>
    <w:p>
      <w:pPr>
        <w:pStyle w:val="Heading1"/>
      </w:pPr>
      <w:r>
        <w:t xml:space="preserve">Methods</w:t>
      </w:r>
    </w:p>
    <w:bookmarkStart w:id="2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20"/>
    <w:bookmarkStart w:id="2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(Gillespie 1977)</w:t>
      </w:r>
      <w:r>
        <w:t xml:space="preserve"> </w:t>
      </w:r>
      <w:r>
        <w:t xml:space="preserve">with propensities updated through a species-reaction dependency graph; fixed-step Poisson tau-leaping</w:t>
      </w:r>
      <w:r>
        <w:t xml:space="preserve"> </w:t>
      </w:r>
      <w:r>
        <w:t xml:space="preserve">(Gillespie 2001)</w:t>
      </w:r>
      <w:r>
        <w:t xml:space="preserve">; a hybrid scheme in which a leap that would drive any species negative is rejected and the interval is instead simulated exactly (this is the exact version of the</w:t>
      </w:r>
      <w:r>
        <w:t xml:space="preserve"> </w:t>
      </w:r>
      <w:r>
        <w:t xml:space="preserve">“switching”</w:t>
      </w:r>
      <w:r>
        <w:t xml:space="preserve"> </w:t>
      </w:r>
      <w:r>
        <w:t xml:space="preserve">scheme of version 1); and adaptive tau-leaping with the step-size selection of</w:t>
      </w:r>
      <w:r>
        <w:t xml:space="preserve"> </w:t>
      </w:r>
      <w:r>
        <w:t xml:space="preserve">Cao et al. (2006)</w:t>
      </w:r>
      <w:r>
        <w:t xml:space="preserve"> </w:t>
      </w:r>
      <w:r>
        <w:t xml:space="preserve">and the critical-reaction partition of</w:t>
      </w:r>
      <w:r>
        <w:t xml:space="preserve"> </w:t>
      </w:r>
      <w:r>
        <w:t xml:space="preserve">Cao et al. (2005)</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21"/>
    <w:bookmarkStart w:id="2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2"/>
    <w:bookmarkStart w:id="2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3"/>
    <w:bookmarkStart w:id="2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(Shaffer et al. 2020)</w:t>
      </w:r>
      <w:r>
        <w:t xml:space="preserve">, the variance of clone-mean expression divided by its permutation-null expectation.</w:t>
      </w:r>
    </w:p>
    <w:bookmarkEnd w:id="24"/>
    <w:bookmarkStart w:id="2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5"/>
    <w:bookmarkStart w:id="26"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(Peccoud and Ycart 1995)</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(Toni et al. 2009)</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(Bernton et al. 2019)</w:t>
      </w:r>
      <w:r>
        <w:t xml:space="preserve">.</w:t>
      </w:r>
    </w:p>
    <w:bookmarkEnd w:id="26"/>
    <w:bookmarkStart w:id="2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(Table S3). For the cisplatin case study the model is a resistance gene with slow promoter switching whose protein product protects against a dose-dependent death hazard and against a dose-dependent growth arrest (Methods above), with a 24-h cell cycle.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2-3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7"/>
    <w:bookmarkStart w:id="28"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(Zhang et al. 2017)</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melanoma case study uses a 30-h cell cycle, a pre-resistant fraction of 1:200 with a memory of five generations</w:t>
      </w:r>
      <w:r>
        <w:t xml:space="preserve"> </w:t>
      </w:r>
      <w:r>
        <w:t xml:space="preserve">(Shaffer et al. 2017, 2020)</w:t>
      </w:r>
      <w:r>
        <w:t xml:space="preserve">, drug effects at the fractional-killing dose (state-dependent death and growth arrest, and a ten-fold stabilisation of the resistant state by the drug, the drug-induced reprogramming of</w:t>
      </w:r>
      <w:r>
        <w:t xml:space="preserve"> </w:t>
      </w:r>
      <w:r>
        <w:t xml:space="preserve">Shaffer et al. (2017)</w:t>
      </w:r>
      <w:r>
        <w:t xml:space="preserve">), with or without a 50% fitness cost of the resistant state</w:t>
      </w:r>
      <w:r>
        <w:t xml:space="preserve"> </w:t>
      </w:r>
      <w:r>
        <w:t xml:space="preserve">(Das Thakur and Stuart 2013)</w:t>
      </w:r>
      <w:r>
        <w:t xml:space="preserve">; the temozolomide case study uses a 50-h cell cycle</w:t>
      </w:r>
      <w:r>
        <w:t xml:space="preserve"> </w:t>
      </w:r>
      <w:r>
        <w:t xml:space="preserve">(Lasri et al. 2020)</w:t>
      </w:r>
      <w:r>
        <w:t xml:space="preserve">, an elimination half-life of 2.1 h</w:t>
      </w:r>
      <w:r>
        <w:t xml:space="preserve"> </w:t>
      </w:r>
      <w:r>
        <w:t xml:space="preserve">(Ostermann et al. 2004)</w:t>
      </w:r>
      <w:r>
        <w:t xml:space="preserve">, the regimens of RTOG 0525</w:t>
      </w:r>
      <w:r>
        <w:t xml:space="preserve"> </w:t>
      </w:r>
      <w:r>
        <w:t xml:space="preserve">(Gilbert et al. 2013)</w:t>
      </w:r>
      <w:r>
        <w:t xml:space="preserve"> </w:t>
      </w:r>
      <w:r>
        <w:t xml:space="preserve">(200 mg/m² on days 1-5 or 100 mg/m² on days 1-21 of 28-day cycles, six cycles) and MGMT-expressing fractions of 1% and 30% for methylated and unmethylated promoters.</w:t>
      </w:r>
    </w:p>
    <w:bookmarkEnd w:id="28"/>
    <w:bookmarkStart w:id="29"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9"/>
    <w:bookmarkStart w:id="30"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(Friedman et al. 2006; Shahrezaei and Swain 2008)</w:t>
      </w:r>
      <w:r>
        <w:t xml:space="preserve">), by agreement between kernels, and by a two-sample comparison against JumpProcesses.jl</w:t>
      </w:r>
      <w:r>
        <w:t xml:space="preserve"> </w:t>
      </w:r>
      <w:r>
        <w:t xml:space="preserve">(Rackauckas and Nie 2017)</w:t>
      </w:r>
      <w:r>
        <w:t xml:space="preserve"> </w:t>
      </w:r>
      <w:r>
        <w:t xml:space="preserve">on the same model. Population-level properties were compared with the analytic expectations for cell-size scaling and concentration homeostasis</w:t>
      </w:r>
      <w:r>
        <w:t xml:space="preserve"> </w:t>
      </w:r>
      <w:r>
        <w:t xml:space="preserve">(Bertaux et al. 2018)</w:t>
      </w:r>
      <w:r>
        <w:t xml:space="preserve">, partitioning noise</w:t>
      </w:r>
      <w:r>
        <w:t xml:space="preserve"> </w:t>
      </w:r>
      <w:r>
        <w:t xml:space="preserve">(Huh and Paulsson 2011)</w:t>
      </w:r>
      <w:r>
        <w:t xml:space="preserve">, lineage versus population statistics</w:t>
      </w:r>
      <w:r>
        <w:t xml:space="preserve"> </w:t>
      </w:r>
      <w:r>
        <w:t xml:space="preserve">(Zhang et al. 2025)</w:t>
      </w:r>
      <w:r>
        <w:t xml:space="preserve"> </w:t>
      </w:r>
      <w:r>
        <w:t xml:space="preserve">and cell-cycle-dependent burst parameters</w:t>
      </w:r>
      <w:r>
        <w:t xml:space="preserve"> </w:t>
      </w:r>
      <w:r>
        <w:t xml:space="preserve">(Sukys and Grima 2025)</w:t>
      </w:r>
      <w:r>
        <w:t xml:space="preserve">. Persister simulations were compared with the quantitative signatures reported by</w:t>
      </w:r>
      <w:r>
        <w:t xml:space="preserve"> </w:t>
      </w:r>
      <w:r>
        <w:t xml:space="preserve">Iyer et al. (2025)</w:t>
      </w:r>
      <w:r>
        <w:t xml:space="preserve">,</w:t>
      </w:r>
      <w:r>
        <w:t xml:space="preserve"> </w:t>
      </w:r>
      <w:r>
        <w:t xml:space="preserve">Corigliano et al. (2025)</w:t>
      </w:r>
      <w:r>
        <w:t xml:space="preserve"> </w:t>
      </w:r>
      <w:r>
        <w:t xml:space="preserve">and</w:t>
      </w:r>
      <w:r>
        <w:t xml:space="preserve"> </w:t>
      </w:r>
      <w:r>
        <w:t xml:space="preserve">Harmange et al. (2023)</w:t>
      </w:r>
      <w:r>
        <w:t xml:space="preserve">, and with the phenotypic-selection model of</w:t>
      </w:r>
      <w:r>
        <w:t xml:space="preserve"> </w:t>
      </w:r>
      <w:r>
        <w:t xml:space="preserve">Lasri et al. (2020)</w:t>
      </w:r>
      <w:r>
        <w:t xml:space="preserve">. All scripts, seeds and outputs are in the</w:t>
      </w:r>
      <w:r>
        <w:t xml:space="preserve"> </w:t>
      </w:r>
      <w:r>
        <w:rPr>
          <w:rStyle w:val="VerbatimChar"/>
        </w:rPr>
        <w:t xml:space="preserve">paper/</w:t>
      </w:r>
      <w:r>
        <w:t xml:space="preserve"> </w:t>
      </w:r>
      <w:r>
        <w:t xml:space="preserve">directory of the repository.</w:t>
      </w:r>
    </w:p>
    <w:bookmarkEnd w:id="30"/>
    <w:bookmarkStart w:id="31"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(Huynh-Thu et al. 2010)</w:t>
      </w:r>
      <w:r>
        <w:t xml:space="preserve">, MAGIC</w:t>
      </w:r>
      <w:r>
        <w:t xml:space="preserve"> </w:t>
      </w:r>
      <w:r>
        <w:t xml:space="preserve">(Dijk et al. 2018)</w:t>
      </w:r>
      <w:r>
        <w:t xml:space="preserve"> </w:t>
      </w:r>
      <w:r>
        <w:t xml:space="preserve">and kNN-smoothing</w:t>
      </w:r>
      <w:r>
        <w:t xml:space="preserve"> </w:t>
      </w:r>
      <w:r>
        <w:t xml:space="preserve">(Wagner et al. 2018)</w:t>
      </w:r>
      <w:r>
        <w:t xml:space="preserve">. The test suite (Aqua quality checks and statistical tests) runs under GitHub Actions on Julia 1.10 and the latest release.</w:t>
      </w:r>
    </w:p>
    <w:bookmarkEnd w:id="31"/>
    <w:bookmarkEnd w:id="32"/>
    <w:bookmarkStart w:id="54" w:name="figure-legends"/>
    <w:p>
      <w:pPr>
        <w:pStyle w:val="Heading1"/>
      </w:pPr>
      <w:r>
        <w:t xml:space="preserve">Figure legends</w:t>
      </w:r>
    </w:p>
    <w:p>
      <w:pPr>
        <w:pStyle w:val="FirstParagraph"/>
      </w:pPr>
      <w:r>
        <w:drawing>
          <wp:inline>
            <wp:extent cx="5334000" cy="4396945"/>
            <wp:effectExtent b="0" l="0" r="0" t="0"/>
            <wp:docPr descr="" title="" id="34" name="Picture"/>
            <a:graphic>
              <a:graphicData uri="http://schemas.openxmlformats.org/drawingml/2006/picture">
                <pic:pic>
                  <pic:nvPicPr>
                    <pic:cNvPr descr="fig1_framework.png" id="35" name="Picture"/>
                    <pic:cNvPicPr>
                      <a:picLocks noChangeArrowheads="1" noChangeAspect="1"/>
                    </pic:cNvPicPr>
                  </pic:nvPicPr>
                  <pic:blipFill>
                    <a:blip r:embed="rId33"/>
                    <a:stretch>
                      <a:fillRect/>
                    </a:stretch>
                  </pic:blipFill>
                  <pic:spPr bwMode="auto">
                    <a:xfrm>
                      <a:off x="0" y="0"/>
                      <a:ext cx="5334000" cy="4396945"/>
                    </a:xfrm>
                    <a:prstGeom prst="rect">
                      <a:avLst/>
                    </a:prstGeom>
                    <a:noFill/>
                    <a:ln w="9525">
                      <a:noFill/>
                      <a:headEnd/>
                      <a:tailEnd/>
                    </a:ln>
                  </pic:spPr>
                </pic:pic>
              </a:graphicData>
            </a:graphic>
          </wp:inline>
        </w:drawing>
      </w:r>
    </w:p>
    <w:p>
      <w:pPr>
        <w:pStyle w:val="BodyText"/>
      </w:pPr>
      <w:r>
        <w:rPr>
          <w:b/>
          <w:bCs/>
        </w:rPr>
        <w:t xml:space="preserve">Figure 1. The Biomodelling.jl 2.0 framework.</w:t>
      </w:r>
      <w:r>
        <w:t xml:space="preserve"> </w:t>
      </w:r>
      <w:r>
        <w:t xml:space="preserve">(a) Each cell runs the stochastic kinetics of a reaction network (mass-action, Hill or custom propensities, explicit promoter states) at its current volume; volume grows exponentially, genes replicate at a set point of the cycle, and division follows a sizer, adder or timer rule with binomial partitioning of molecules and inheritance of promoter states. (b) Population control (constant size, free growth or logistic), the drug and perturbation layer (dose schedules, state-dependent death, growth inhibition, rate modulation, genetic perturbations) and the lineage table that records every cell’s ancestry, fate and state at birth and division. (c) Observation models (scRNA-seq with capture, depth, dropout and batch effects; smFISH; time-lapse reporters) and outputs (CSV, Newick, AnnData). (d) Downstream uses: lineage statistics, fluctuation tests, clonal memory scores, likelihood-free inference and benchmark generation. (e) A complete example in ten lines of code.</w:t>
      </w:r>
    </w:p>
    <w:p>
      <w:pPr>
        <w:pStyle w:val="BodyText"/>
      </w:pPr>
      <w:r>
        <w:drawing>
          <wp:inline>
            <wp:extent cx="5334000" cy="3314828"/>
            <wp:effectExtent b="0" l="0" r="0" t="0"/>
            <wp:docPr descr="" title="" id="37" name="Picture"/>
            <a:graphic>
              <a:graphicData uri="http://schemas.openxmlformats.org/drawingml/2006/picture">
                <pic:pic>
                  <pic:nvPicPr>
                    <pic:cNvPr descr="fig2_engine.png" id="38" name="Picture"/>
                    <pic:cNvPicPr>
                      <a:picLocks noChangeArrowheads="1" noChangeAspect="1"/>
                    </pic:cNvPicPr>
                  </pic:nvPicPr>
                  <pic:blipFill>
                    <a:blip r:embed="rId36"/>
                    <a:stretch>
                      <a:fillRect/>
                    </a:stretch>
                  </pic:blipFill>
                  <pic:spPr bwMode="auto">
                    <a:xfrm>
                      <a:off x="0" y="0"/>
                      <a:ext cx="5334000" cy="3314828"/>
                    </a:xfrm>
                    <a:prstGeom prst="rect">
                      <a:avLst/>
                    </a:prstGeom>
                    <a:noFill/>
                    <a:ln w="9525">
                      <a:noFill/>
                      <a:headEnd/>
                      <a:tailEnd/>
                    </a:ln>
                  </pic:spPr>
                </pic:pic>
              </a:graphicData>
            </a:graphic>
          </wp:inline>
        </w:drawing>
      </w:r>
    </w:p>
    <w:p>
      <w:pPr>
        <w:pStyle w:val="BodyText"/>
      </w:pPr>
      <w:r>
        <w:rPr>
          <w:b/>
          <w:bCs/>
        </w:rPr>
        <w:t xml:space="preserve">Figure 2. The engine is exact and agrees with an independent implementation.</w:t>
      </w:r>
      <w:r>
        <w:t xml:space="preserve"> </w:t>
      </w:r>
      <w:r>
        <w:t xml:space="preserve">(a) Stationary distribution of a birth-death process (bars: 50 000 simulated cells; line: Poisson). (b) Telegraph model in an intermediate and a bursty regime against the Beta-Poisson law. (c) Bursty protein production against the negative binomial. (d) Kolmogorov-Smirnov distance to the exact law for every kernel (n = 20 000; dotted line: 99% critical value) with wall-clock time per 10⁴ cells. (e) Telegraph model simulated with Biomodelling.jl and with JumpProcesses.jl on the same model; the two-sample KS statistic is below its 99% critical value. (f) Runtime of population simulations against the number of cells (10 genes) and genes (1 000 cells) for the exact and hybrid kernels.</w:t>
      </w:r>
    </w:p>
    <w:p>
      <w:pPr>
        <w:pStyle w:val="BodyText"/>
      </w:pPr>
      <w:r>
        <w:drawing>
          <wp:inline>
            <wp:extent cx="5334000" cy="3956192"/>
            <wp:effectExtent b="0" l="0" r="0" t="0"/>
            <wp:docPr descr="" title="" id="40" name="Picture"/>
            <a:graphic>
              <a:graphicData uri="http://schemas.openxmlformats.org/drawingml/2006/picture">
                <pic:pic>
                  <pic:nvPicPr>
                    <pic:cNvPr descr="fig3_growth.png" id="41" name="Picture"/>
                    <pic:cNvPicPr>
                      <a:picLocks noChangeArrowheads="1" noChangeAspect="1"/>
                    </pic:cNvPicPr>
                  </pic:nvPicPr>
                  <pic:blipFill>
                    <a:blip r:embed="rId39"/>
                    <a:stretch>
                      <a:fillRect/>
                    </a:stretch>
                  </pic:blipFill>
                  <pic:spPr bwMode="auto">
                    <a:xfrm>
                      <a:off x="0" y="0"/>
                      <a:ext cx="5334000" cy="3956192"/>
                    </a:xfrm>
                    <a:prstGeom prst="rect">
                      <a:avLst/>
                    </a:prstGeom>
                    <a:noFill/>
                    <a:ln w="9525">
                      <a:noFill/>
                      <a:headEnd/>
                      <a:tailEnd/>
                    </a:ln>
                  </pic:spPr>
                </pic:pic>
              </a:graphicData>
            </a:graphic>
          </wp:inline>
        </w:drawing>
      </w:r>
    </w:p>
    <w:p>
      <w:pPr>
        <w:pStyle w:val="BodyText"/>
      </w:pPr>
      <w:r>
        <w:rPr>
          <w:b/>
          <w:bCs/>
        </w:rPr>
        <w:t xml:space="preserve">Figure 3. Growth, division and partitioning generate memory, size scaling and cell-cycle effects.</w:t>
      </w:r>
      <w:r>
        <w:t xml:space="preserve"> </w:t>
      </w:r>
      <w:r>
        <w:t xml:space="preserve">(a) A single lineage: volume, mRNA and protein of a slowly switching gene, with the promoter-on state shaded. (b) mRNA count against cell volume for a fast-switching gene without replication (points, line: mean concentration × V) and with gene replication at mid-cycle (binned means). (c) Correlation of protein concentration at division between mothers and daughters, sisters and cousins as a function of the promoter switching rate; dotted: one over the cell-cycle time. (d) Memory timescale in time units against the measured cell-cycle time for two switching rates; dotted lines: 1/(k_on + k_off). (e) Coefficient of variation squared of a stable protein’s concentration across the population and along single lineages, for increasing partitioning noise and cell-cycle-time noise. (f) Telegraph parameters fitted to cells before replication (one gene copy), after replication (two copies) and pooled; dotted: per-allele values.</w:t>
      </w:r>
    </w:p>
    <w:p>
      <w:pPr>
        <w:pStyle w:val="BodyText"/>
      </w:pPr>
      <w:r>
        <w:drawing>
          <wp:inline>
            <wp:extent cx="5334000" cy="4868794"/>
            <wp:effectExtent b="0" l="0" r="0" t="0"/>
            <wp:docPr descr="" title="" id="43" name="Picture"/>
            <a:graphic>
              <a:graphicData uri="http://schemas.openxmlformats.org/drawingml/2006/picture">
                <pic:pic>
                  <pic:nvPicPr>
                    <pic:cNvPr descr="fig4_persisters.png" id="44" name="Picture"/>
                    <pic:cNvPicPr>
                      <a:picLocks noChangeArrowheads="1" noChangeAspect="1"/>
                    </pic:cNvPicPr>
                  </pic:nvPicPr>
                  <pic:blipFill>
                    <a:blip r:embed="rId42"/>
                    <a:stretch>
                      <a:fillRect/>
                    </a:stretch>
                  </pic:blipFill>
                  <pic:spPr bwMode="auto">
                    <a:xfrm>
                      <a:off x="0" y="0"/>
                      <a:ext cx="5334000" cy="4868794"/>
                    </a:xfrm>
                    <a:prstGeom prst="rect">
                      <a:avLst/>
                    </a:prstGeom>
                    <a:noFill/>
                    <a:ln w="9525">
                      <a:noFill/>
                      <a:headEnd/>
                      <a:tailEnd/>
                    </a:ln>
                  </pic:spPr>
                </pic:pic>
              </a:graphicData>
            </a:graphic>
          </wp:inline>
        </w:drawing>
      </w:r>
    </w:p>
    <w:p>
      <w:pPr>
        <w:pStyle w:val="BodyText"/>
      </w:pPr>
      <w:r>
        <w:rPr>
          <w:b/>
          <w:bCs/>
        </w:rPr>
        <w:t xml:space="preserve">Figure 4. A single resistance gene with slow promoter switching reproduces persister biology.</w:t>
      </w:r>
      <w:r>
        <w:t xml:space="preserve"> </w:t>
      </w:r>
      <w:r>
        <w:t xml:space="preserve">(a) Population size under continuous, pulsed and reduced-dose schedules (shading: drug present). (b) Kill curves at increasing dose. (c) Net population decay rate over the first 30 time units of treatment against dose, with the mean division time of cells born under drug (inset), which is unchanged. (d)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 (e) Effective number of clones (barcodes) before and after drug for pre-existing and drug-induced tolerance (mean ± s.d. of three seeds). (f) Surviving clones after drug without memory disruption, with promoter switching accelerated 20-fold from two cell-cycle times before the drug until the drug arrives, and with the acceleration maintained during exposure (mean ± s.d. of five seeds). (g) Fraction of high-expressing cells before, during and after a drug pulse for slow and fast switching (MGMT-like phenotypic selection). (h)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05927"/>
            <wp:effectExtent b="0" l="0" r="0" t="0"/>
            <wp:docPr descr="" title="" id="46" name="Picture"/>
            <a:graphic>
              <a:graphicData uri="http://schemas.openxmlformats.org/drawingml/2006/picture">
                <pic:pic>
                  <pic:nvPicPr>
                    <pic:cNvPr descr="fig5_benchmarks.png" id="47" name="Picture"/>
                    <pic:cNvPicPr>
                      <a:picLocks noChangeArrowheads="1" noChangeAspect="1"/>
                    </pic:cNvPicPr>
                  </pic:nvPicPr>
                  <pic:blipFill>
                    <a:blip r:embed="rId45"/>
                    <a:stretch>
                      <a:fillRect/>
                    </a:stretch>
                  </pic:blipFill>
                  <pic:spPr bwMode="auto">
                    <a:xfrm>
                      <a:off x="0" y="0"/>
                      <a:ext cx="5334000" cy="3805927"/>
                    </a:xfrm>
                    <a:prstGeom prst="rect">
                      <a:avLst/>
                    </a:prstGeom>
                    <a:noFill/>
                    <a:ln w="9525">
                      <a:noFill/>
                      <a:headEnd/>
                      <a:tailEnd/>
                    </a:ln>
                  </pic:spPr>
                </pic:pic>
              </a:graphicData>
            </a:graphic>
          </wp:inline>
        </w:drawing>
      </w:r>
    </w:p>
    <w:p>
      <w:pPr>
        <w:pStyle w:val="BodyText"/>
      </w:pPr>
      <w:r>
        <w:rPr>
          <w:b/>
          <w:bCs/>
        </w:rPr>
        <w:t xml:space="preserve">Figure 5. Ground-truth benchmarks.</w:t>
      </w:r>
      <w:r>
        <w:t xml:space="preserve"> </w:t>
      </w:r>
      <w:r>
        <w:t xml:space="preserve">(a) Clonal variance score against the known memory time of 40 independent genes, from true concentrations and from sequenced counts; dotted: cell-cycle time. (b)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random ranking. (c) Effect of kNN-smoothing and MAGIC imputation before inference. (d) Coefficient of determination of predicted log₂ fold changes after knocking down the five most connected regulators, for a no-change baseline and for propagation of observational correlations.</w:t>
      </w:r>
    </w:p>
    <w:p>
      <w:pPr>
        <w:pStyle w:val="BodyText"/>
      </w:pPr>
      <w:r>
        <w:drawing>
          <wp:inline>
            <wp:extent cx="5334000" cy="3406844"/>
            <wp:effectExtent b="0" l="0" r="0" t="0"/>
            <wp:docPr descr="" title="" id="49" name="Picture"/>
            <a:graphic>
              <a:graphicData uri="http://schemas.openxmlformats.org/drawingml/2006/picture">
                <pic:pic>
                  <pic:nvPicPr>
                    <pic:cNvPr descr="fig6_inference.png" id="50" name="Picture"/>
                    <pic:cNvPicPr>
                      <a:picLocks noChangeArrowheads="1" noChangeAspect="1"/>
                    </pic:cNvPicPr>
                  </pic:nvPicPr>
                  <pic:blipFill>
                    <a:blip r:embed="rId48"/>
                    <a:stretch>
                      <a:fillRect/>
                    </a:stretch>
                  </pic:blipFill>
                  <pic:spPr bwMode="auto">
                    <a:xfrm>
                      <a:off x="0" y="0"/>
                      <a:ext cx="5334000" cy="3406844"/>
                    </a:xfrm>
                    <a:prstGeom prst="rect">
                      <a:avLst/>
                    </a:prstGeom>
                    <a:noFill/>
                    <a:ln w="9525">
                      <a:noFill/>
                      <a:headEnd/>
                      <a:tailEnd/>
                    </a:ln>
                  </pic:spPr>
                </pic:pic>
              </a:graphicData>
            </a:graphic>
          </wp:inline>
        </w:drawing>
      </w:r>
    </w:p>
    <w:p>
      <w:pPr>
        <w:pStyle w:val="BodyText"/>
      </w:pPr>
      <w:r>
        <w:rPr>
          <w:b/>
          <w:bCs/>
        </w:rPr>
        <w:t xml:space="preserve">Figure 6. Inference with the forward model.</w:t>
      </w:r>
      <w:r>
        <w:t xml:space="preserve"> </w:t>
      </w:r>
      <w:r>
        <w:t xml:space="preserve">(a) Posterior distributions of telegraph parameters from ABC-SMC on a snapshot of non-dividing cells, with the truth and the exact maximum-likelihood estimate. (b) The same for a snapshot of a growing and dividing population: the naive telegraph fit is biased while division-aware ABC recovers the truth. (c) Posterior particles for the maximal death rate and the protection threshold inferred from a kill curve and sister fate concordance: the two parameters trade off along a ridge that contains the truth. (d) Posterior predictive kill curves simulated at the posterior median against the observed curve.</w:t>
      </w:r>
    </w:p>
    <w:p>
      <w:pPr>
        <w:pStyle w:val="BodyText"/>
      </w:pPr>
      <w:r>
        <w:drawing>
          <wp:inline>
            <wp:extent cx="5334000" cy="3715109"/>
            <wp:effectExtent b="0" l="0" r="0" t="0"/>
            <wp:docPr descr="" title="" id="52" name="Picture"/>
            <a:graphic>
              <a:graphicData uri="http://schemas.openxmlformats.org/drawingml/2006/picture">
                <pic:pic>
                  <pic:nvPicPr>
                    <pic:cNvPr descr="fig7_calibration.png" id="53" name="Picture"/>
                    <pic:cNvPicPr>
                      <a:picLocks noChangeArrowheads="1" noChangeAspect="1"/>
                    </pic:cNvPicPr>
                  </pic:nvPicPr>
                  <pic:blipFill>
                    <a:blip r:embed="rId51"/>
                    <a:stretch>
                      <a:fillRect/>
                    </a:stretch>
                  </pic:blipFill>
                  <pic:spPr bwMode="auto">
                    <a:xfrm>
                      <a:off x="0" y="0"/>
                      <a:ext cx="5334000" cy="3715109"/>
                    </a:xfrm>
                    <a:prstGeom prst="rect">
                      <a:avLst/>
                    </a:prstGeom>
                    <a:noFill/>
                    <a:ln w="9525">
                      <a:noFill/>
                      <a:headEnd/>
                      <a:tailEnd/>
                    </a:ln>
                  </pic:spPr>
                </pic:pic>
              </a:graphicData>
            </a:graphic>
          </wp:inline>
        </w:drawing>
      </w:r>
    </w:p>
    <w:p>
      <w:pPr>
        <w:pStyle w:val="BodyText"/>
      </w:pPr>
      <w:r>
        <w:rPr>
          <w:b/>
          <w:bCs/>
        </w:rPr>
        <w:t xml:space="preserve">Figure 7. Calibration to laboratory time-lapse data and validation on held-out conditions.</w:t>
      </w:r>
      <w:r>
        <w:t xml:space="preserve"> </w:t>
      </w:r>
      <w:r>
        <w:t xml:space="preserve">(a) Fates over 72 h of cisplatin of U2OS cells present at drug addition, observed by time-lapse microscopy</w:t>
      </w:r>
      <w:r>
        <w:t xml:space="preserve"> </w:t>
      </w:r>
      <w:r>
        <w:t xml:space="preserve">(Iyer et al. 2025)</w:t>
      </w:r>
      <w:r>
        <w:t xml:space="preserve"> </w:t>
      </w:r>
      <w:r>
        <w:t xml:space="preserve">(grey) and simulated by the calibrated model (colours; mean ± s.d. of four seeds); the model was calibrated on 7 and 13 µM and the 10 µM condition is predicted. (b) Predicted population size at the three concentrations and at 11.5 µM, from two days before the drug to seven days of exposure. (c) Correlation of death fates between sisters, first, second and third cousins present at drug addition, and between unrelated cells (mean ± s.d. of three seeds), against the observation that correlations extend to second but not third cousins. (d) Mean time to death of cells present at drug addition, and mean division time where at least 20 cells born under drug divided, against concentration (mean ± s.d. of four seeds). (e) Calibration landscape: every parameter set evaluated by the optimiser, coloured by its distance to the training data. (f) Calibrated parameters.</w:t>
      </w:r>
    </w:p>
    <w:p>
      <w:pPr>
        <w:pStyle w:val="BodyText"/>
      </w:pPr>
    </w:p>
    <w:p>
      <w:pPr>
        <w:pStyle w:val="BodyText"/>
      </w:pPr>
      <w:r>
        <w:rPr>
          <w:b/>
          <w:bCs/>
        </w:rPr>
        <w:t xml:space="preserve">Figure 8. Dose and schedule optimisation against clinical regimens.</w:t>
      </w:r>
      <w:r>
        <w:t xml:space="preserve"> </w:t>
      </w:r>
      <w:r>
        <w:t xml:space="preserve">(a-b) Population size under continuous dosing, the intermittent schedule of the SWOG S1320 trial (8-week lead-in, then 3 weeks off and 5 weeks on) and adaptive therapy (drug withdrawn below 50% of the initial size, resumed at the initial size) for a melanoma-like population with a rare, heritable pre-resistant state, without (a) and with (b) a fitness cost of the resistant state. (c) Time to progression (20% regrowth from the nadir; mean ± s.d. of four seeds) for the three schedules and two mechanisms. (d) Time to progression over intermittent schedules of given period and duty cycle (every schedule evaluated by the optimiser; star: best), for the two mechanisms. (e) Population size under the standard (5 of 28 days) and dose-dense (21 of 28 days) temozolomide regimens of the RTOG 0525 trial and a 21-day regimen at the standard cumulative dose, simulated with one-compartment pharmacokinetics (elimination half-life 2.1 h) for MGMT-methylated (1% MGMT-expressing cells) and unmethylated (30%) populations. (f) Depth of response over six cycles (mean ± s.d. of three seeds). (g) Final population size against the number of dosing days per 28-day cycle at equal cumulative dose.</w:t>
      </w:r>
    </w:p>
    <w:bookmarkEnd w:id="54"/>
    <w:bookmarkStart w:id="55" w:name="data-and-code-availability"/>
    <w:p>
      <w:pPr>
        <w:pStyle w:val="Heading1"/>
      </w:pPr>
      <w:r>
        <w:t xml:space="preserve">Data and code availability</w:t>
      </w:r>
    </w:p>
    <w:p>
      <w:pPr>
        <w:pStyle w:val="FirstParagraph"/>
      </w:pPr>
      <w:r>
        <w:t xml:space="preserve">Biomodelling.jl 2.0 is available under the MIT license at https://github.com/ayoublasri/Biomodelling.jl. The laboratory and clinical reference values used for calibration are transcribed, with provenance, in the</w:t>
      </w:r>
      <w:r>
        <w:t xml:space="preserve"> </w:t>
      </w:r>
      <w:r>
        <w:rPr>
          <w:rStyle w:val="VerbatimChar"/>
        </w:rPr>
        <w:t xml:space="preserve">paper/data/</w:t>
      </w:r>
      <w:r>
        <w:t xml:space="preserve"> </w:t>
      </w:r>
      <w:r>
        <w:t xml:space="preserve">directory of the repository. All other data in this article are synthetic and are regenerated, with fixed seeds, by the scripts in the</w:t>
      </w:r>
      <w:r>
        <w:t xml:space="preserve"> </w:t>
      </w:r>
      <w:r>
        <w:rPr>
          <w:rStyle w:val="VerbatimChar"/>
        </w:rPr>
        <w:t xml:space="preserve">paper/</w:t>
      </w:r>
      <w:r>
        <w:t xml:space="preserve"> </w:t>
      </w:r>
      <w:r>
        <w:t xml:space="preserve">directory of the repository (</w:t>
      </w:r>
      <w:r>
        <w:rPr>
          <w:rStyle w:val="VerbatimChar"/>
        </w:rPr>
        <w:t xml:space="preserve">julia paper/run_all.jl</w:t>
      </w:r>
      <w:r>
        <w:t xml:space="preserve"> </w:t>
      </w:r>
      <w:r>
        <w:t xml:space="preserve">followed by</w:t>
      </w:r>
      <w:r>
        <w:t xml:space="preserve"> </w:t>
      </w:r>
      <w:r>
        <w:rPr>
          <w:rStyle w:val="VerbatimChar"/>
        </w:rPr>
        <w:t xml:space="preserve">python paper/plot_all.py</w:t>
      </w:r>
      <w:r>
        <w:t xml:space="preserve">); the generated tables are archived with the release.</w:t>
      </w:r>
    </w:p>
    <w:bookmarkEnd w:id="55"/>
    <w:bookmarkStart w:id="56" w:name="author-contributions"/>
    <w:p>
      <w:pPr>
        <w:pStyle w:val="Heading1"/>
      </w:pPr>
      <w:r>
        <w:t xml:space="preserve">Author contributions</w:t>
      </w:r>
    </w:p>
    <w:p>
      <w:pPr>
        <w:pStyle w:val="FirstParagraph"/>
      </w:pPr>
      <w:r>
        <w:t xml:space="preserve">A.L. and M.S. conceived the project. [To be completed.]</w:t>
      </w:r>
    </w:p>
    <w:bookmarkEnd w:id="56"/>
    <w:bookmarkStart w:id="57" w:name="competing-interests"/>
    <w:p>
      <w:pPr>
        <w:pStyle w:val="Heading1"/>
      </w:pPr>
      <w:r>
        <w:t xml:space="preserve">Competing interests</w:t>
      </w:r>
    </w:p>
    <w:p>
      <w:pPr>
        <w:pStyle w:val="FirstParagraph"/>
      </w:pPr>
      <w:r>
        <w:t xml:space="preserve">The authors declare no competing interests.</w:t>
      </w:r>
    </w:p>
    <w:bookmarkEnd w:id="57"/>
    <w:bookmarkStart w:id="58" w:name="funding"/>
    <w:p>
      <w:pPr>
        <w:pStyle w:val="Heading1"/>
      </w:pPr>
      <w:r>
        <w:t xml:space="preserve">Funding</w:t>
      </w:r>
    </w:p>
    <w:p>
      <w:pPr>
        <w:pStyle w:val="FirstParagraph"/>
      </w:pPr>
      <w:r>
        <w:t xml:space="preserve">[To be completed.]</w:t>
      </w:r>
    </w:p>
    <w:bookmarkEnd w:id="58"/>
    <w:bookmarkStart w:id="140" w:name="references"/>
    <w:p>
      <w:pPr>
        <w:pStyle w:val="Heading1"/>
      </w:pPr>
      <w:r>
        <w:t xml:space="preserve">References</w:t>
      </w:r>
    </w:p>
    <w:bookmarkStart w:id="139" w:name="refs"/>
    <w:bookmarkStart w:id="60" w:name="ref-ahlmanneltze2025"/>
    <w:p>
      <w:pPr>
        <w:pStyle w:val="Bibliography"/>
      </w:pPr>
      <w:r>
        <w:t xml:space="preserve">Ahlmann-Eltze, Constantin, Wolfgang Huber, and Simon Anders. 2025.</w:t>
      </w:r>
      <w:r>
        <w:t xml:space="preserve"> </w:t>
      </w:r>
      <w:r>
        <w:t xml:space="preserve">“Deep-Learning-Based Gene Perturbation Effect Prediction Does Not yet Outperform Simple Linear Baselines.”</w:t>
      </w:r>
      <w:r>
        <w:t xml:space="preserve"> </w:t>
      </w:r>
      <w:r>
        <w:rPr>
          <w:i/>
          <w:iCs/>
        </w:rPr>
        <w:t xml:space="preserve">Nature Methods</w:t>
      </w:r>
      <w:r>
        <w:t xml:space="preserve"> </w:t>
      </w:r>
      <w:r>
        <w:t xml:space="preserve">22.</w:t>
      </w:r>
      <w:r>
        <w:t xml:space="preserve"> </w:t>
      </w:r>
      <w:hyperlink r:id="rId59">
        <w:r>
          <w:rPr>
            <w:rStyle w:val="Hyperlink"/>
          </w:rPr>
          <w:t xml:space="preserve">https://doi.org/10.1038/s41592-025-02772-6</w:t>
        </w:r>
      </w:hyperlink>
      <w:r>
        <w:t xml:space="preserve">.</w:t>
      </w:r>
    </w:p>
    <w:bookmarkEnd w:id="60"/>
    <w:bookmarkStart w:id="62" w:name="ref-algazi2020"/>
    <w:p>
      <w:pPr>
        <w:pStyle w:val="Bibliography"/>
      </w:pPr>
      <w:r>
        <w:t xml:space="preserve">Algazi, Alain P., Megan Othus, Adil I. Daud, et al. 2020.</w:t>
      </w:r>
      <w:r>
        <w:t xml:space="preserve"> </w:t>
      </w:r>
      <w:r>
        <w:t xml:space="preserve">“Continuous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w:t>
      </w:r>
      <w:r>
        <w:t xml:space="preserve"> </w:t>
      </w:r>
      <w:r>
        <w:rPr>
          <w:i/>
          <w:iCs/>
        </w:rPr>
        <w:t xml:space="preserve">Nature Medicine</w:t>
      </w:r>
      <w:r>
        <w:t xml:space="preserve"> </w:t>
      </w:r>
      <w:r>
        <w:t xml:space="preserve">26 (10): 1564–68.</w:t>
      </w:r>
      <w:r>
        <w:t xml:space="preserve"> </w:t>
      </w:r>
      <w:hyperlink r:id="rId61">
        <w:r>
          <w:rPr>
            <w:rStyle w:val="Hyperlink"/>
          </w:rPr>
          <w:t xml:space="preserve">https://doi.org/10.1038/s41591-020-1060-8</w:t>
        </w:r>
      </w:hyperlink>
      <w:r>
        <w:t xml:space="preserve">.</w:t>
      </w:r>
    </w:p>
    <w:bookmarkEnd w:id="62"/>
    <w:bookmarkStart w:id="64" w:name="ref-bernton2019"/>
    <w:p>
      <w:pPr>
        <w:pStyle w:val="Bibliography"/>
      </w:pPr>
      <w:r>
        <w:t xml:space="preserve">Bernton, Espen, Pierre E. Jacob, Mathieu Gerber, and Christian P. Robert. 2019.</w:t>
      </w:r>
      <w:r>
        <w:t xml:space="preserve"> </w:t>
      </w:r>
      <w:r>
        <w:t xml:space="preserve">“Approximate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w:t>
      </w:r>
      <w:r>
        <w:t xml:space="preserve"> </w:t>
      </w:r>
      <w:r>
        <w:rPr>
          <w:i/>
          <w:iCs/>
        </w:rPr>
        <w:t xml:space="preserve">Journal of the Royal Statistical Society: Series B</w:t>
      </w:r>
      <w:r>
        <w:t xml:space="preserve"> </w:t>
      </w:r>
      <w:r>
        <w:t xml:space="preserve">81 (2): 235–69.</w:t>
      </w:r>
      <w:r>
        <w:t xml:space="preserve"> </w:t>
      </w:r>
      <w:hyperlink r:id="rId63">
        <w:r>
          <w:rPr>
            <w:rStyle w:val="Hyperlink"/>
          </w:rPr>
          <w:t xml:space="preserve">https://doi.org/10.1111/rssb.12312</w:t>
        </w:r>
      </w:hyperlink>
      <w:r>
        <w:t xml:space="preserve">.</w:t>
      </w:r>
    </w:p>
    <w:bookmarkEnd w:id="64"/>
    <w:bookmarkStart w:id="66" w:name="ref-bertaux2018"/>
    <w:p>
      <w:pPr>
        <w:pStyle w:val="Bibliography"/>
      </w:pPr>
      <w:r>
        <w:t xml:space="preserve">Bertaux, François, Samuel Marguerat, and Vahid Shahrezaei. 2018.</w:t>
      </w:r>
      <w:r>
        <w:t xml:space="preserve"> </w:t>
      </w:r>
      <w:r>
        <w:t xml:space="preserve">“Division Rate, Cell Size and Proteome Allocation: Impact on Gene Expression Noise and Implications for the Dynamics of Genetic Circuits.”</w:t>
      </w:r>
      <w:r>
        <w:t xml:space="preserve"> </w:t>
      </w:r>
      <w:r>
        <w:rPr>
          <w:i/>
          <w:iCs/>
        </w:rPr>
        <w:t xml:space="preserve">Royal Society Open Science</w:t>
      </w:r>
      <w:r>
        <w:t xml:space="preserve"> </w:t>
      </w:r>
      <w:r>
        <w:t xml:space="preserve">5 (3): 172234.</w:t>
      </w:r>
      <w:r>
        <w:t xml:space="preserve"> </w:t>
      </w:r>
      <w:hyperlink r:id="rId65">
        <w:r>
          <w:rPr>
            <w:rStyle w:val="Hyperlink"/>
          </w:rPr>
          <w:t xml:space="preserve">https://doi.org/10.1098/rsos.172234</w:t>
        </w:r>
      </w:hyperlink>
      <w:r>
        <w:t xml:space="preserve">.</w:t>
      </w:r>
    </w:p>
    <w:bookmarkEnd w:id="66"/>
    <w:bookmarkStart w:id="68" w:name="ref-cannoodt2021"/>
    <w:p>
      <w:pPr>
        <w:pStyle w:val="Bibliography"/>
      </w:pPr>
      <w:r>
        <w:t xml:space="preserve">Cannoodt, Robrecht, Wouter Saelens, Louise Deconinck, and Yvan Saeys. 2021.</w:t>
      </w:r>
      <w:r>
        <w:t xml:space="preserve"> </w:t>
      </w:r>
      <w:r>
        <w:t xml:space="preserve">“Spearheading Future Omics Analyses Using Dyngen, a Multi-Modal Simulator of Single Cells.”</w:t>
      </w:r>
      <w:r>
        <w:t xml:space="preserve"> </w:t>
      </w:r>
      <w:r>
        <w:rPr>
          <w:i/>
          <w:iCs/>
        </w:rPr>
        <w:t xml:space="preserve">Nature Communications</w:t>
      </w:r>
      <w:r>
        <w:t xml:space="preserve"> </w:t>
      </w:r>
      <w:r>
        <w:t xml:space="preserve">12: 3942.</w:t>
      </w:r>
      <w:r>
        <w:t xml:space="preserve"> </w:t>
      </w:r>
      <w:hyperlink r:id="rId67">
        <w:r>
          <w:rPr>
            <w:rStyle w:val="Hyperlink"/>
          </w:rPr>
          <w:t xml:space="preserve">https://doi.org/10.1038/s41467-021-24152-2</w:t>
        </w:r>
      </w:hyperlink>
      <w:r>
        <w:t xml:space="preserve">.</w:t>
      </w:r>
    </w:p>
    <w:bookmarkEnd w:id="68"/>
    <w:bookmarkStart w:id="70" w:name="ref-cao2005"/>
    <w:p>
      <w:pPr>
        <w:pStyle w:val="Bibliography"/>
      </w:pPr>
      <w:r>
        <w:t xml:space="preserve">Cao, Yang, Daniel T. Gillespie, and Linda R. Petzold. 2005.</w:t>
      </w:r>
      <w:r>
        <w:t xml:space="preserve"> </w:t>
      </w:r>
      <w:r>
        <w:t xml:space="preserve">“Avoiding Negative Populations in Explicit</w:t>
      </w:r>
      <w:r>
        <w:t xml:space="preserve"> </w:t>
      </w:r>
      <w:r>
        <w:t xml:space="preserve">Poisson</w:t>
      </w:r>
      <w:r>
        <w:t xml:space="preserve"> </w:t>
      </w:r>
      <w:r>
        <w:t xml:space="preserve">Tau-Leaping.”</w:t>
      </w:r>
      <w:r>
        <w:t xml:space="preserve"> </w:t>
      </w:r>
      <w:r>
        <w:rPr>
          <w:i/>
          <w:iCs/>
        </w:rPr>
        <w:t xml:space="preserve">The Journal of Chemical Physics</w:t>
      </w:r>
      <w:r>
        <w:t xml:space="preserve"> </w:t>
      </w:r>
      <w:r>
        <w:t xml:space="preserve">123 (5): 054104.</w:t>
      </w:r>
      <w:r>
        <w:t xml:space="preserve"> </w:t>
      </w:r>
      <w:hyperlink r:id="rId69">
        <w:r>
          <w:rPr>
            <w:rStyle w:val="Hyperlink"/>
          </w:rPr>
          <w:t xml:space="preserve">https://doi.org/10.1063/1.1992473</w:t>
        </w:r>
      </w:hyperlink>
      <w:r>
        <w:t xml:space="preserve">.</w:t>
      </w:r>
    </w:p>
    <w:bookmarkEnd w:id="70"/>
    <w:bookmarkStart w:id="72" w:name="ref-cao2006"/>
    <w:p>
      <w:pPr>
        <w:pStyle w:val="Bibliography"/>
      </w:pPr>
      <w:r>
        <w:t xml:space="preserve">Cao, Yang, Daniel T. Gillespie, and Linda R. Petzold. 2006.</w:t>
      </w:r>
      <w:r>
        <w:t xml:space="preserve"> </w:t>
      </w:r>
      <w:r>
        <w:t xml:space="preserve">“Efficient Step Size Selection for the Tau-Leaping Simulation Method.”</w:t>
      </w:r>
      <w:r>
        <w:t xml:space="preserve"> </w:t>
      </w:r>
      <w:r>
        <w:rPr>
          <w:i/>
          <w:iCs/>
        </w:rPr>
        <w:t xml:space="preserve">The Journal of Chemical Physics</w:t>
      </w:r>
      <w:r>
        <w:t xml:space="preserve"> </w:t>
      </w:r>
      <w:r>
        <w:t xml:space="preserve">124 (4): 044109.</w:t>
      </w:r>
      <w:r>
        <w:t xml:space="preserve"> </w:t>
      </w:r>
      <w:hyperlink r:id="rId71">
        <w:r>
          <w:rPr>
            <w:rStyle w:val="Hyperlink"/>
          </w:rPr>
          <w:t xml:space="preserve">https://doi.org/10.1063/1.2159468</w:t>
        </w:r>
      </w:hyperlink>
      <w:r>
        <w:t xml:space="preserve">.</w:t>
      </w:r>
    </w:p>
    <w:bookmarkEnd w:id="72"/>
    <w:bookmarkStart w:id="74" w:name="ref-corigliano2025"/>
    <w:p>
      <w:pPr>
        <w:pStyle w:val="Bibliography"/>
      </w:pPr>
      <w:r>
        <w:t xml:space="preserve">Corigliano, Mattia, Alessandro Di Bernardo, Marco Cosentino Lagomarsino, and Simone Pompei. 2025.</w:t>
      </w:r>
      <w:r>
        <w:t xml:space="preserve"> </w:t>
      </w:r>
      <w:r>
        <w:t xml:space="preserve">“Optimal Treatment for Drug-Induced Cancer Persisters Involves Release Periods and Intermediate Drug Doses.”</w:t>
      </w:r>
      <w:r>
        <w:t xml:space="preserve"> </w:t>
      </w:r>
      <w:r>
        <w:rPr>
          <w:i/>
          <w:iCs/>
        </w:rPr>
        <w:t xml:space="preserve">PRX Life</w:t>
      </w:r>
      <w:r>
        <w:t xml:space="preserve">, ahead of print.</w:t>
      </w:r>
      <w:r>
        <w:t xml:space="preserve"> </w:t>
      </w:r>
      <w:hyperlink r:id="rId73">
        <w:r>
          <w:rPr>
            <w:rStyle w:val="Hyperlink"/>
          </w:rPr>
          <w:t xml:space="preserve">https://doi.org/10.1103/mh5v-lcyw</w:t>
        </w:r>
      </w:hyperlink>
      <w:r>
        <w:t xml:space="preserve">.</w:t>
      </w:r>
    </w:p>
    <w:bookmarkEnd w:id="74"/>
    <w:bookmarkStart w:id="76" w:name="ref-dasthakur2013"/>
    <w:p>
      <w:pPr>
        <w:pStyle w:val="Bibliography"/>
      </w:pPr>
      <w:r>
        <w:t xml:space="preserve">Das Thakur, Meghna, and Darrin D. Stuart. 2013.</w:t>
      </w:r>
      <w:r>
        <w:t xml:space="preserve"> </w:t>
      </w:r>
      <w:r>
        <w:t xml:space="preserve">“The Evolution of Melanoma Resistance Reveals Therapeutic Opportunities.”</w:t>
      </w:r>
      <w:r>
        <w:t xml:space="preserve"> </w:t>
      </w:r>
      <w:r>
        <w:rPr>
          <w:i/>
          <w:iCs/>
        </w:rPr>
        <w:t xml:space="preserve">Cancer Research</w:t>
      </w:r>
      <w:r>
        <w:t xml:space="preserve"> </w:t>
      </w:r>
      <w:r>
        <w:t xml:space="preserve">73 (20): 6106–10.</w:t>
      </w:r>
      <w:r>
        <w:t xml:space="preserve"> </w:t>
      </w:r>
      <w:hyperlink r:id="rId75">
        <w:r>
          <w:rPr>
            <w:rStyle w:val="Hyperlink"/>
          </w:rPr>
          <w:t xml:space="preserve">https://doi.org/10.1158/0008-5472.CAN-13-1633</w:t>
        </w:r>
      </w:hyperlink>
      <w:r>
        <w:t xml:space="preserve">.</w:t>
      </w:r>
    </w:p>
    <w:bookmarkEnd w:id="76"/>
    <w:bookmarkStart w:id="78" w:name="ref-dibaeinia2026context"/>
    <w:p>
      <w:pPr>
        <w:pStyle w:val="Bibliography"/>
      </w:pPr>
      <w:r>
        <w:t xml:space="preserve">Dibaeinia, Payam, S. Babu, M. Knudson, et al. 2026.</w:t>
      </w:r>
      <w:r>
        <w:t xml:space="preserve"> </w:t>
      </w:r>
      <w:r>
        <w:t xml:space="preserve">“Virtual Cells Need Context, Not Just Scale.”</w:t>
      </w:r>
      <w:r>
        <w:t xml:space="preserve"> </w:t>
      </w:r>
      <w:r>
        <w:rPr>
          <w:i/>
          <w:iCs/>
        </w:rPr>
        <w:t xml:space="preserve">bioRxiv</w:t>
      </w:r>
      <w:r>
        <w:t xml:space="preserve">, ahead of print.</w:t>
      </w:r>
      <w:r>
        <w:t xml:space="preserve"> </w:t>
      </w:r>
      <w:hyperlink r:id="rId77">
        <w:r>
          <w:rPr>
            <w:rStyle w:val="Hyperlink"/>
          </w:rPr>
          <w:t xml:space="preserve">https://doi.org/10.64898/2026.02.04.703804</w:t>
        </w:r>
      </w:hyperlink>
      <w:r>
        <w:t xml:space="preserve">.</w:t>
      </w:r>
    </w:p>
    <w:bookmarkEnd w:id="78"/>
    <w:bookmarkStart w:id="80" w:name="ref-dibaeinia2020"/>
    <w:p>
      <w:pPr>
        <w:pStyle w:val="Bibliography"/>
      </w:pPr>
      <w:r>
        <w:t xml:space="preserve">Dibaeinia, Payam, and Saurabh Sinha. 2020.</w:t>
      </w:r>
      <w:r>
        <w:t xml:space="preserve"> </w:t>
      </w:r>
      <w:r>
        <w:t xml:space="preserve">“</w:t>
      </w:r>
      <w:r>
        <w:t xml:space="preserve">SERGIO</w:t>
      </w:r>
      <w:r>
        <w:t xml:space="preserve">: A Single-Cell Expression Simulator Guided by Gene Regulatory Networks.”</w:t>
      </w:r>
      <w:r>
        <w:t xml:space="preserve"> </w:t>
      </w:r>
      <w:r>
        <w:rPr>
          <w:i/>
          <w:iCs/>
        </w:rPr>
        <w:t xml:space="preserve">Cell Systems</w:t>
      </w:r>
      <w:r>
        <w:t xml:space="preserve"> </w:t>
      </w:r>
      <w:r>
        <w:t xml:space="preserve">11 (3): 252–71.</w:t>
      </w:r>
      <w:r>
        <w:t xml:space="preserve"> </w:t>
      </w:r>
      <w:hyperlink r:id="rId79">
        <w:r>
          <w:rPr>
            <w:rStyle w:val="Hyperlink"/>
          </w:rPr>
          <w:t xml:space="preserve">https://doi.org/10.1016/j.cels.2020.08.003</w:t>
        </w:r>
      </w:hyperlink>
      <w:r>
        <w:t xml:space="preserve">.</w:t>
      </w:r>
    </w:p>
    <w:bookmarkEnd w:id="80"/>
    <w:bookmarkStart w:id="82" w:name="ref-vandijk2018"/>
    <w:p>
      <w:pPr>
        <w:pStyle w:val="Bibliography"/>
      </w:pPr>
      <w:r>
        <w:t xml:space="preserve">Dijk, David van, Roshan Sharma, Juozas Nainys, et al. 2018.</w:t>
      </w:r>
      <w:r>
        <w:t xml:space="preserve"> </w:t>
      </w:r>
      <w:r>
        <w:t xml:space="preserve">“Recovering Gene Interactions from Single-Cell Data Using Data Diffusion.”</w:t>
      </w:r>
      <w:r>
        <w:t xml:space="preserve"> </w:t>
      </w:r>
      <w:r>
        <w:rPr>
          <w:i/>
          <w:iCs/>
        </w:rPr>
        <w:t xml:space="preserve">Cell</w:t>
      </w:r>
      <w:r>
        <w:t xml:space="preserve"> </w:t>
      </w:r>
      <w:r>
        <w:t xml:space="preserve">174 (3): 716–29.</w:t>
      </w:r>
      <w:r>
        <w:t xml:space="preserve"> </w:t>
      </w:r>
      <w:hyperlink r:id="rId81">
        <w:r>
          <w:rPr>
            <w:rStyle w:val="Hyperlink"/>
          </w:rPr>
          <w:t xml:space="preserve">https://doi.org/10.1016/j.cell.2018.05.061</w:t>
        </w:r>
      </w:hyperlink>
      <w:r>
        <w:t xml:space="preserve">.</w:t>
      </w:r>
    </w:p>
    <w:bookmarkEnd w:id="82"/>
    <w:bookmarkStart w:id="84" w:name="ref-friedman2006"/>
    <w:p>
      <w:pPr>
        <w:pStyle w:val="Bibliography"/>
      </w:pPr>
      <w:r>
        <w:t xml:space="preserve">Friedman, Nir, Long Cai, and X. Sunney Xie. 2006.</w:t>
      </w:r>
      <w:r>
        <w:t xml:space="preserve"> </w:t>
      </w:r>
      <w:r>
        <w:t xml:space="preserve">“Linking Stochastic Dynamics to Population Distribution: An Analytical Framework of Gene Expression.”</w:t>
      </w:r>
      <w:r>
        <w:t xml:space="preserve"> </w:t>
      </w:r>
      <w:r>
        <w:rPr>
          <w:i/>
          <w:iCs/>
        </w:rPr>
        <w:t xml:space="preserve">Physical Review Letters</w:t>
      </w:r>
      <w:r>
        <w:t xml:space="preserve"> </w:t>
      </w:r>
      <w:r>
        <w:t xml:space="preserve">97 (16): 168302.</w:t>
      </w:r>
      <w:r>
        <w:t xml:space="preserve"> </w:t>
      </w:r>
      <w:hyperlink r:id="rId83">
        <w:r>
          <w:rPr>
            <w:rStyle w:val="Hyperlink"/>
          </w:rPr>
          <w:t xml:space="preserve">https://doi.org/10.1103/PhysRevLett.97.168302</w:t>
        </w:r>
      </w:hyperlink>
      <w:r>
        <w:t xml:space="preserve">.</w:t>
      </w:r>
    </w:p>
    <w:bookmarkEnd w:id="84"/>
    <w:bookmarkStart w:id="86" w:name="ref-ghosh2025powerseek"/>
    <w:p>
      <w:pPr>
        <w:pStyle w:val="Bibliography"/>
      </w:pPr>
      <w:r>
        <w:t xml:space="preserve">Ghosh, S., Shaon Chakrabarti, and Archishman Raju. 2025.</w:t>
      </w:r>
      <w:r>
        <w:t xml:space="preserve"> </w:t>
      </w:r>
      <w:r>
        <w:t xml:space="preserve">“Identifying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ahead of print.</w:t>
      </w:r>
      <w:r>
        <w:t xml:space="preserve"> </w:t>
      </w:r>
      <w:hyperlink r:id="rId85">
        <w:r>
          <w:rPr>
            <w:rStyle w:val="Hyperlink"/>
          </w:rPr>
          <w:t xml:space="preserve">https://doi.org/10.1101/2025.01.15.633183</w:t>
        </w:r>
      </w:hyperlink>
      <w:r>
        <w:t xml:space="preserve">.</w:t>
      </w:r>
    </w:p>
    <w:bookmarkEnd w:id="86"/>
    <w:bookmarkStart w:id="88" w:name="ref-gilbert2013"/>
    <w:p>
      <w:pPr>
        <w:pStyle w:val="Bibliography"/>
      </w:pPr>
      <w:r>
        <w:t xml:space="preserve">Gilbert, Mark R., Meihua Wang, Kenneth D. Aldape, et al. 2013.</w:t>
      </w:r>
      <w:r>
        <w:t xml:space="preserve"> </w:t>
      </w:r>
      <w:r>
        <w:t xml:space="preserve">“Dose-Dense Temozolomide for Newly Diagnosed Glioblastoma: A Randomized Phase</w:t>
      </w:r>
      <w:r>
        <w:t xml:space="preserve"> </w:t>
      </w:r>
      <w:r>
        <w:t xml:space="preserve">III</w:t>
      </w:r>
      <w:r>
        <w:t xml:space="preserve"> </w:t>
      </w:r>
      <w:r>
        <w:t xml:space="preserve">Clinical Trial.”</w:t>
      </w:r>
      <w:r>
        <w:t xml:space="preserve"> </w:t>
      </w:r>
      <w:r>
        <w:rPr>
          <w:i/>
          <w:iCs/>
        </w:rPr>
        <w:t xml:space="preserve">Journal of Clinical Oncology</w:t>
      </w:r>
      <w:r>
        <w:t xml:space="preserve"> </w:t>
      </w:r>
      <w:r>
        <w:t xml:space="preserve">31 (32): 4085–91.</w:t>
      </w:r>
      <w:r>
        <w:t xml:space="preserve"> </w:t>
      </w:r>
      <w:hyperlink r:id="rId87">
        <w:r>
          <w:rPr>
            <w:rStyle w:val="Hyperlink"/>
          </w:rPr>
          <w:t xml:space="preserve">https://doi.org/10.1200/JCO.2013.49.6968</w:t>
        </w:r>
      </w:hyperlink>
      <w:r>
        <w:t xml:space="preserve">.</w:t>
      </w:r>
    </w:p>
    <w:bookmarkEnd w:id="88"/>
    <w:bookmarkStart w:id="90" w:name="ref-gillespie1977"/>
    <w:p>
      <w:pPr>
        <w:pStyle w:val="Bibliography"/>
      </w:pPr>
      <w:r>
        <w:t xml:space="preserve">Gillespie, Daniel T. 1977.</w:t>
      </w:r>
      <w:r>
        <w:t xml:space="preserve"> </w:t>
      </w:r>
      <w:r>
        <w:t xml:space="preserve">“Exact Stochastic Simulation of Coupled Chemical Reactions.”</w:t>
      </w:r>
      <w:r>
        <w:t xml:space="preserve"> </w:t>
      </w:r>
      <w:r>
        <w:rPr>
          <w:i/>
          <w:iCs/>
        </w:rPr>
        <w:t xml:space="preserve">The Journal of Physical Chemistry</w:t>
      </w:r>
      <w:r>
        <w:t xml:space="preserve"> </w:t>
      </w:r>
      <w:r>
        <w:t xml:space="preserve">81 (25): 2340–61.</w:t>
      </w:r>
      <w:r>
        <w:t xml:space="preserve"> </w:t>
      </w:r>
      <w:hyperlink r:id="rId89">
        <w:r>
          <w:rPr>
            <w:rStyle w:val="Hyperlink"/>
          </w:rPr>
          <w:t xml:space="preserve">https://doi.org/10.1021/j100540a008</w:t>
        </w:r>
      </w:hyperlink>
      <w:r>
        <w:t xml:space="preserve">.</w:t>
      </w:r>
    </w:p>
    <w:bookmarkEnd w:id="90"/>
    <w:bookmarkStart w:id="92" w:name="ref-gillespie2001"/>
    <w:p>
      <w:pPr>
        <w:pStyle w:val="Bibliography"/>
      </w:pPr>
      <w:r>
        <w:t xml:space="preserve">Gillespie, Daniel T. 2001.</w:t>
      </w:r>
      <w:r>
        <w:t xml:space="preserve"> </w:t>
      </w:r>
      <w:r>
        <w:t xml:space="preserve">“Approximate Accelerated Stochastic Simulation of Chemically Reacting Systems.”</w:t>
      </w:r>
      <w:r>
        <w:t xml:space="preserve"> </w:t>
      </w:r>
      <w:r>
        <w:rPr>
          <w:i/>
          <w:iCs/>
        </w:rPr>
        <w:t xml:space="preserve">The Journal of Chemical Physics</w:t>
      </w:r>
      <w:r>
        <w:t xml:space="preserve"> </w:t>
      </w:r>
      <w:r>
        <w:t xml:space="preserve">115 (4): 1716–33.</w:t>
      </w:r>
      <w:r>
        <w:t xml:space="preserve"> </w:t>
      </w:r>
      <w:hyperlink r:id="rId91">
        <w:r>
          <w:rPr>
            <w:rStyle w:val="Hyperlink"/>
          </w:rPr>
          <w:t xml:space="preserve">https://doi.org/10.1063/1.1378322</w:t>
        </w:r>
      </w:hyperlink>
      <w:r>
        <w:t xml:space="preserve">.</w:t>
      </w:r>
    </w:p>
    <w:bookmarkEnd w:id="92"/>
    <w:bookmarkStart w:id="94" w:name="ref-harmange2023"/>
    <w:p>
      <w:pPr>
        <w:pStyle w:val="Bibliography"/>
      </w:pPr>
      <w:r>
        <w:t xml:space="preserve">Harmange, Guillaume, Raúl A. Reyes Hueros, Dylan L. Schaff, et al. 2023.</w:t>
      </w:r>
      <w:r>
        <w:t xml:space="preserve"> </w:t>
      </w:r>
      <w:r>
        <w:t xml:space="preserve">“Disrupting Cellular Memory to Overcome Drug Resistance.”</w:t>
      </w:r>
      <w:r>
        <w:t xml:space="preserve"> </w:t>
      </w:r>
      <w:r>
        <w:rPr>
          <w:i/>
          <w:iCs/>
        </w:rPr>
        <w:t xml:space="preserve">Nature Communications</w:t>
      </w:r>
      <w:r>
        <w:t xml:space="preserve"> </w:t>
      </w:r>
      <w:r>
        <w:t xml:space="preserve">14: 7130.</w:t>
      </w:r>
      <w:r>
        <w:t xml:space="preserve"> </w:t>
      </w:r>
      <w:hyperlink r:id="rId93">
        <w:r>
          <w:rPr>
            <w:rStyle w:val="Hyperlink"/>
          </w:rPr>
          <w:t xml:space="preserve">https://doi.org/10.1038/s41467-023-41811-8</w:t>
        </w:r>
      </w:hyperlink>
      <w:r>
        <w:t xml:space="preserve">.</w:t>
      </w:r>
    </w:p>
    <w:bookmarkEnd w:id="94"/>
    <w:bookmarkStart w:id="96" w:name="ref-huh2011"/>
    <w:p>
      <w:pPr>
        <w:pStyle w:val="Bibliography"/>
      </w:pPr>
      <w:r>
        <w:t xml:space="preserve">Huh, Dann, and Johan Paulsson. 2011.</w:t>
      </w:r>
      <w:r>
        <w:t xml:space="preserve"> </w:t>
      </w:r>
      <w:r>
        <w:t xml:space="preserve">“Non-Genetic Heterogeneity from Stochastic Partitioning at Cell Division.”</w:t>
      </w:r>
      <w:r>
        <w:t xml:space="preserve"> </w:t>
      </w:r>
      <w:r>
        <w:rPr>
          <w:i/>
          <w:iCs/>
        </w:rPr>
        <w:t xml:space="preserve">Nature Genetics</w:t>
      </w:r>
      <w:r>
        <w:t xml:space="preserve"> </w:t>
      </w:r>
      <w:r>
        <w:t xml:space="preserve">43 (2): 95–100.</w:t>
      </w:r>
      <w:r>
        <w:t xml:space="preserve"> </w:t>
      </w:r>
      <w:hyperlink r:id="rId95">
        <w:r>
          <w:rPr>
            <w:rStyle w:val="Hyperlink"/>
          </w:rPr>
          <w:t xml:space="preserve">https://doi.org/10.1038/ng.729</w:t>
        </w:r>
      </w:hyperlink>
      <w:r>
        <w:t xml:space="preserve">.</w:t>
      </w:r>
    </w:p>
    <w:bookmarkEnd w:id="96"/>
    <w:bookmarkStart w:id="98" w:name="ref-huynhthu2010"/>
    <w:p>
      <w:pPr>
        <w:pStyle w:val="Bibliography"/>
      </w:pPr>
      <w:r>
        <w:t xml:space="preserve">Huynh-Thu, Vân Anh, Alexandre Irrthum, Louis Wehenkel, and Pierre Geurts. 2010.</w:t>
      </w:r>
      <w:r>
        <w:t xml:space="preserve"> </w:t>
      </w:r>
      <w:r>
        <w:t xml:space="preserve">“Inferring Regulatory Networks from Expression Data Using Tree-Based Methods.”</w:t>
      </w:r>
      <w:r>
        <w:t xml:space="preserve"> </w:t>
      </w:r>
      <w:r>
        <w:rPr>
          <w:i/>
          <w:iCs/>
        </w:rPr>
        <w:t xml:space="preserve">PLoS ONE</w:t>
      </w:r>
      <w:r>
        <w:t xml:space="preserve"> </w:t>
      </w:r>
      <w:r>
        <w:t xml:space="preserve">5 (9): e12776.</w:t>
      </w:r>
      <w:r>
        <w:t xml:space="preserve"> </w:t>
      </w:r>
      <w:hyperlink r:id="rId97">
        <w:r>
          <w:rPr>
            <w:rStyle w:val="Hyperlink"/>
          </w:rPr>
          <w:t xml:space="preserve">https://doi.org/10.1371/journal.pone.0012776</w:t>
        </w:r>
      </w:hyperlink>
      <w:r>
        <w:t xml:space="preserve">.</w:t>
      </w:r>
    </w:p>
    <w:bookmarkEnd w:id="98"/>
    <w:bookmarkStart w:id="100" w:name="ref-iyer2025"/>
    <w:p>
      <w:pPr>
        <w:pStyle w:val="Bibliography"/>
      </w:pPr>
      <w:r>
        <w:t xml:space="preserve">Iyer, Anton, Adrian Alva, Adrián E. Granada, and Shaon Chakrabarti. 2025.</w:t>
      </w:r>
      <w:r>
        <w:t xml:space="preserve"> </w:t>
      </w:r>
      <w:r>
        <w:t xml:space="preserve">“Inheritable Cell-States Shape Drug-Persister Correlations and Population Dynamics in Cancer Cells.”</w:t>
      </w:r>
      <w:r>
        <w:t xml:space="preserve"> </w:t>
      </w:r>
      <w:r>
        <w:rPr>
          <w:i/>
          <w:iCs/>
        </w:rPr>
        <w:t xml:space="preserve">PLoS Computational Biology</w:t>
      </w:r>
      <w:r>
        <w:t xml:space="preserve"> </w:t>
      </w:r>
      <w:r>
        <w:t xml:space="preserve">21 (9): e1013446.</w:t>
      </w:r>
      <w:r>
        <w:t xml:space="preserve"> </w:t>
      </w:r>
      <w:hyperlink r:id="rId99">
        <w:r>
          <w:rPr>
            <w:rStyle w:val="Hyperlink"/>
          </w:rPr>
          <w:t xml:space="preserve">https://doi.org/10.1371/journal.pcbi.1013446</w:t>
        </w:r>
      </w:hyperlink>
      <w:r>
        <w:t xml:space="preserve">.</w:t>
      </w:r>
    </w:p>
    <w:bookmarkEnd w:id="100"/>
    <w:bookmarkStart w:id="102" w:name="ref-lasri2020"/>
    <w:p>
      <w:pPr>
        <w:pStyle w:val="Bibliography"/>
      </w:pPr>
      <w:r>
        <w:t xml:space="preserve">Lasri, Ayoub, Viktorija Juric, Maité Verreault, et al. 2020.</w:t>
      </w:r>
      <w:r>
        <w:t xml:space="preserve"> </w:t>
      </w:r>
      <w:r>
        <w:t xml:space="preserve">“Phenotypic Selection Through Cell Death: Stochastic Modelling of</w:t>
      </w:r>
      <w:r>
        <w:t xml:space="preserve"> </w:t>
      </w:r>
      <w:r>
        <w:t xml:space="preserve">O</w:t>
      </w:r>
      <w:r>
        <w:t xml:space="preserve">-6-Methylguanine-</w:t>
      </w:r>
      <w:r>
        <w:t xml:space="preserve">DNA</w:t>
      </w:r>
      <w:r>
        <w:t xml:space="preserve"> </w:t>
      </w:r>
      <w:r>
        <w:t xml:space="preserve">Methyltransferase Dynamics.”</w:t>
      </w:r>
      <w:r>
        <w:t xml:space="preserve"> </w:t>
      </w:r>
      <w:r>
        <w:rPr>
          <w:i/>
          <w:iCs/>
        </w:rPr>
        <w:t xml:space="preserve">Royal Society Open Science</w:t>
      </w:r>
      <w:r>
        <w:t xml:space="preserve"> </w:t>
      </w:r>
      <w:r>
        <w:t xml:space="preserve">7 (7): 191243.</w:t>
      </w:r>
      <w:r>
        <w:t xml:space="preserve"> </w:t>
      </w:r>
      <w:hyperlink r:id="rId101">
        <w:r>
          <w:rPr>
            <w:rStyle w:val="Hyperlink"/>
          </w:rPr>
          <w:t xml:space="preserve">https://doi.org/10.1098/rsos.191243</w:t>
        </w:r>
      </w:hyperlink>
      <w:r>
        <w:t xml:space="preserve">.</w:t>
      </w:r>
    </w:p>
    <w:bookmarkEnd w:id="102"/>
    <w:bookmarkStart w:id="104" w:name="ref-lasri2022"/>
    <w:p>
      <w:pPr>
        <w:pStyle w:val="Bibliography"/>
      </w:pPr>
      <w:r>
        <w:t xml:space="preserve">Lasri, Ayoub, Vahid Shahrezaei, and Marc Sturrock. 2022.</w:t>
      </w:r>
      <w:r>
        <w:t xml:space="preserve"> </w:t>
      </w:r>
      <w:r>
        <w:t xml:space="preserve">“Benchmarking Imputation Methods for Network Inference Using a Novel Method of Synthetic</w:t>
      </w:r>
      <w:r>
        <w:t xml:space="preserve"> </w:t>
      </w:r>
      <w:r>
        <w:t xml:space="preserve">scRNA-seq</w:t>
      </w:r>
      <w:r>
        <w:t xml:space="preserve"> </w:t>
      </w:r>
      <w:r>
        <w:t xml:space="preserve">Data Generation.”</w:t>
      </w:r>
      <w:r>
        <w:t xml:space="preserve"> </w:t>
      </w:r>
      <w:r>
        <w:rPr>
          <w:i/>
          <w:iCs/>
        </w:rPr>
        <w:t xml:space="preserve">BMC Bioinformatics</w:t>
      </w:r>
      <w:r>
        <w:t xml:space="preserve"> </w:t>
      </w:r>
      <w:r>
        <w:t xml:space="preserve">23: 236.</w:t>
      </w:r>
      <w:r>
        <w:t xml:space="preserve"> </w:t>
      </w:r>
      <w:hyperlink r:id="rId103">
        <w:r>
          <w:rPr>
            <w:rStyle w:val="Hyperlink"/>
          </w:rPr>
          <w:t xml:space="preserve">https://doi.org/10.1186/s12859-022-04778-9</w:t>
        </w:r>
      </w:hyperlink>
      <w:r>
        <w:t xml:space="preserve">.</w:t>
      </w:r>
    </w:p>
    <w:bookmarkEnd w:id="104"/>
    <w:bookmarkStart w:id="106" w:name="ref-li2025scmultisim"/>
    <w:p>
      <w:pPr>
        <w:pStyle w:val="Bibliography"/>
      </w:pPr>
      <w:r>
        <w:t xml:space="preserve">Li, Hechen, Ziqi Zhang, Michael Squires, Xi Chen, and Xiuwei Zhang. 2025.</w:t>
      </w:r>
      <w:r>
        <w:t xml:space="preserve"> </w:t>
      </w:r>
      <w:r>
        <w:t xml:space="preserve">“</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ahead of print.</w:t>
      </w:r>
      <w:r>
        <w:t xml:space="preserve"> </w:t>
      </w:r>
      <w:hyperlink r:id="rId105">
        <w:r>
          <w:rPr>
            <w:rStyle w:val="Hyperlink"/>
          </w:rPr>
          <w:t xml:space="preserve">https://doi.org/10.1038/s41592-025-02651-0</w:t>
        </w:r>
      </w:hyperlink>
      <w:r>
        <w:t xml:space="preserve">.</w:t>
      </w:r>
    </w:p>
    <w:bookmarkEnd w:id="106"/>
    <w:bookmarkStart w:id="108" w:name="ref-lin2025memory"/>
    <w:p>
      <w:pPr>
        <w:pStyle w:val="Bibliography"/>
      </w:pPr>
      <w:r>
        <w:t xml:space="preserve">Lin, Yongjie, Xiangru Chen, Long Wu, Yutong Zhou, and Yihan Lin. 2026.</w:t>
      </w:r>
      <w:r>
        <w:t xml:space="preserve"> </w:t>
      </w:r>
      <w:r>
        <w:t xml:space="preserve">“Widespread Transcriptional Memory Shapes Heritable States and Functional Heterogeneity in Cancer and Stem Cells.”</w:t>
      </w:r>
      <w:r>
        <w:t xml:space="preserve"> </w:t>
      </w:r>
      <w:r>
        <w:rPr>
          <w:i/>
          <w:iCs/>
        </w:rPr>
        <w:t xml:space="preserve">Cell Systems</w:t>
      </w:r>
      <w:r>
        <w:t xml:space="preserve"> </w:t>
      </w:r>
      <w:r>
        <w:t xml:space="preserve">17 (7): 101621.</w:t>
      </w:r>
      <w:r>
        <w:t xml:space="preserve"> </w:t>
      </w:r>
      <w:hyperlink r:id="rId107">
        <w:r>
          <w:rPr>
            <w:rStyle w:val="Hyperlink"/>
          </w:rPr>
          <w:t xml:space="preserve">https://doi.org/10.1016/j.cels.2026.101621</w:t>
        </w:r>
      </w:hyperlink>
      <w:r>
        <w:t xml:space="preserve">.</w:t>
      </w:r>
    </w:p>
    <w:bookmarkEnd w:id="108"/>
    <w:bookmarkStart w:id="110" w:name="ref-ostermann2004"/>
    <w:p>
      <w:pPr>
        <w:pStyle w:val="Bibliography"/>
      </w:pPr>
      <w:r>
        <w:t xml:space="preserve">Ostermann, Sandrine, Chantal Csajka, Thierry Buclin, et al. 2004.</w:t>
      </w:r>
      <w:r>
        <w:t xml:space="preserve"> </w:t>
      </w:r>
      <w:r>
        <w:t xml:space="preserve">“Plasma and Cerebrospinal Fluid Population Pharmacokinetics of Temozolomide in Malignant Glioma Patients.”</w:t>
      </w:r>
      <w:r>
        <w:t xml:space="preserve"> </w:t>
      </w:r>
      <w:r>
        <w:rPr>
          <w:i/>
          <w:iCs/>
        </w:rPr>
        <w:t xml:space="preserve">Clinical Cancer Research</w:t>
      </w:r>
      <w:r>
        <w:t xml:space="preserve"> </w:t>
      </w:r>
      <w:r>
        <w:t xml:space="preserve">10 (11): 3728–36.</w:t>
      </w:r>
      <w:r>
        <w:t xml:space="preserve"> </w:t>
      </w:r>
      <w:hyperlink r:id="rId109">
        <w:r>
          <w:rPr>
            <w:rStyle w:val="Hyperlink"/>
          </w:rPr>
          <w:t xml:space="preserve">https://doi.org/10.1158/1078-0432.CCR-03-0807</w:t>
        </w:r>
      </w:hyperlink>
      <w:r>
        <w:t xml:space="preserve">.</w:t>
      </w:r>
    </w:p>
    <w:bookmarkEnd w:id="110"/>
    <w:bookmarkStart w:id="112" w:name="ref-pan2022tedsim"/>
    <w:p>
      <w:pPr>
        <w:pStyle w:val="Bibliography"/>
      </w:pPr>
      <w:r>
        <w:t xml:space="preserve">Pan, Xinhai, Hechen Li, and Xiuwei Zhang. 2022.</w:t>
      </w:r>
      <w:r>
        <w:t xml:space="preserve"> </w:t>
      </w:r>
      <w:r>
        <w:t xml:space="preserve">“</w:t>
      </w:r>
      <w:r>
        <w:t xml:space="preserve">TedSim</w:t>
      </w:r>
      <w:r>
        <w:t xml:space="preserve">: Temporal Dynamics Simulation of Single-Cell</w:t>
      </w:r>
      <w:r>
        <w:t xml:space="preserve"> </w:t>
      </w:r>
      <w:r>
        <w:t xml:space="preserve">RNA</w:t>
      </w:r>
      <w:r>
        <w:t xml:space="preserve"> </w:t>
      </w:r>
      <w:r>
        <w:t xml:space="preserve">Sequencing Data and Cell Division History.”</w:t>
      </w:r>
      <w:r>
        <w:t xml:space="preserve"> </w:t>
      </w:r>
      <w:r>
        <w:rPr>
          <w:i/>
          <w:iCs/>
        </w:rPr>
        <w:t xml:space="preserve">Nucleic Acids Research</w:t>
      </w:r>
      <w:r>
        <w:t xml:space="preserve"> </w:t>
      </w:r>
      <w:r>
        <w:t xml:space="preserve">50 (8): 4272–88.</w:t>
      </w:r>
      <w:r>
        <w:t xml:space="preserve"> </w:t>
      </w:r>
      <w:hyperlink r:id="rId111">
        <w:r>
          <w:rPr>
            <w:rStyle w:val="Hyperlink"/>
          </w:rPr>
          <w:t xml:space="preserve">https://doi.org/10.1093/nar/gkac235</w:t>
        </w:r>
      </w:hyperlink>
      <w:r>
        <w:t xml:space="preserve">.</w:t>
      </w:r>
    </w:p>
    <w:bookmarkEnd w:id="112"/>
    <w:bookmarkStart w:id="114" w:name="ref-peccoud1995"/>
    <w:p>
      <w:pPr>
        <w:pStyle w:val="Bibliography"/>
      </w:pPr>
      <w:r>
        <w:t xml:space="preserve">Peccoud, Jean, and Bernard Ycart. 1995.</w:t>
      </w:r>
      <w:r>
        <w:t xml:space="preserve"> </w:t>
      </w:r>
      <w:r>
        <w:t xml:space="preserve">“Markovian Modeling of Gene-Product Synthesis.”</w:t>
      </w:r>
      <w:r>
        <w:t xml:space="preserve"> </w:t>
      </w:r>
      <w:r>
        <w:rPr>
          <w:i/>
          <w:iCs/>
        </w:rPr>
        <w:t xml:space="preserve">Theoretical Population Biology</w:t>
      </w:r>
      <w:r>
        <w:t xml:space="preserve"> </w:t>
      </w:r>
      <w:r>
        <w:t xml:space="preserve">48 (2): 222–34.</w:t>
      </w:r>
      <w:r>
        <w:t xml:space="preserve"> </w:t>
      </w:r>
      <w:hyperlink r:id="rId113">
        <w:r>
          <w:rPr>
            <w:rStyle w:val="Hyperlink"/>
          </w:rPr>
          <w:t xml:space="preserve">https://doi.org/10.1006/tpbi.1995.1027</w:t>
        </w:r>
      </w:hyperlink>
      <w:r>
        <w:t xml:space="preserve">.</w:t>
      </w:r>
    </w:p>
    <w:bookmarkEnd w:id="114"/>
    <w:bookmarkStart w:id="116" w:name="ref-piho2025abm"/>
    <w:p>
      <w:pPr>
        <w:pStyle w:val="Bibliography"/>
      </w:pPr>
      <w:r>
        <w:t xml:space="preserve">Piho, Paul, and Philipp Thomas. 2026.</w:t>
      </w:r>
      <w:r>
        <w:t xml:space="preserve"> </w:t>
      </w:r>
      <w:r>
        <w:t xml:space="preserve">“</w:t>
      </w:r>
      <w:r>
        <w:t xml:space="preserve">AgentBasedModeling.jl</w:t>
      </w:r>
      <w:r>
        <w:t xml:space="preserve">: A Tool for Stochastic Simulation of Structured Population Dynamics.”</w:t>
      </w:r>
      <w:r>
        <w:t xml:space="preserve"> </w:t>
      </w:r>
      <w:r>
        <w:rPr>
          <w:i/>
          <w:iCs/>
        </w:rPr>
        <w:t xml:space="preserve">PLoS Computational Biology</w:t>
      </w:r>
      <w:r>
        <w:t xml:space="preserve"> </w:t>
      </w:r>
      <w:r>
        <w:t xml:space="preserve">22 (7): e1014366.</w:t>
      </w:r>
      <w:r>
        <w:t xml:space="preserve"> </w:t>
      </w:r>
      <w:hyperlink r:id="rId115">
        <w:r>
          <w:rPr>
            <w:rStyle w:val="Hyperlink"/>
          </w:rPr>
          <w:t xml:space="preserve">https://doi.org/10.1371/journal.pcbi.1014366</w:t>
        </w:r>
      </w:hyperlink>
      <w:r>
        <w:t xml:space="preserve">.</w:t>
      </w:r>
    </w:p>
    <w:bookmarkEnd w:id="116"/>
    <w:bookmarkStart w:id="118" w:name="ref-sciml"/>
    <w:p>
      <w:pPr>
        <w:pStyle w:val="Bibliography"/>
      </w:pPr>
      <w:r>
        <w:t xml:space="preserve">Rackauckas, Christopher, and Qing Nie. 2017.</w:t>
      </w:r>
      <w:r>
        <w:t xml:space="preserve"> </w:t>
      </w:r>
      <w:r>
        <w:t xml:space="preserve">“</w:t>
      </w:r>
      <w:r>
        <w:t xml:space="preserve">DifferentialEquations.jl</w:t>
      </w:r>
      <w:r>
        <w:t xml:space="preserve"> </w:t>
      </w:r>
      <w:r>
        <w:t xml:space="preserve">– a Performant and Feature-Rich Ecosystem for Solving Differential Equations in</w:t>
      </w:r>
      <w:r>
        <w:t xml:space="preserve"> </w:t>
      </w:r>
      <w:r>
        <w:t xml:space="preserve">Julia</w:t>
      </w:r>
      <w:r>
        <w:t xml:space="preserve">.”</w:t>
      </w:r>
      <w:r>
        <w:t xml:space="preserve"> </w:t>
      </w:r>
      <w:r>
        <w:t xml:space="preserve">In</w:t>
      </w:r>
      <w:r>
        <w:t xml:space="preserve"> </w:t>
      </w:r>
      <w:r>
        <w:rPr>
          <w:i/>
          <w:iCs/>
        </w:rPr>
        <w:t xml:space="preserve">Journal of Open Research Software</w:t>
      </w:r>
      <w:r>
        <w:t xml:space="preserve">, No. 1, vol. 5.</w:t>
      </w:r>
      <w:r>
        <w:t xml:space="preserve"> </w:t>
      </w:r>
      <w:hyperlink r:id="rId117">
        <w:r>
          <w:rPr>
            <w:rStyle w:val="Hyperlink"/>
          </w:rPr>
          <w:t xml:space="preserve">https://doi.org/10.5334/jors.151</w:t>
        </w:r>
      </w:hyperlink>
      <w:r>
        <w:t xml:space="preserve">.</w:t>
      </w:r>
    </w:p>
    <w:bookmarkEnd w:id="118"/>
    <w:bookmarkStart w:id="120" w:name="ref-shaffer2017"/>
    <w:p>
      <w:pPr>
        <w:pStyle w:val="Bibliography"/>
      </w:pPr>
      <w:r>
        <w:t xml:space="preserve">Shaffer, Sydney M., Margaret C. Dunagin, Stefan R. Torborg, et al. 2017.</w:t>
      </w:r>
      <w:r>
        <w:t xml:space="preserve"> </w:t>
      </w:r>
      <w:r>
        <w:t xml:space="preserve">“Rare Cell Variability and Drug-Induced Reprogramming as a Mode of Cancer Drug Resistance.”</w:t>
      </w:r>
      <w:r>
        <w:t xml:space="preserve"> </w:t>
      </w:r>
      <w:r>
        <w:rPr>
          <w:i/>
          <w:iCs/>
        </w:rPr>
        <w:t xml:space="preserve">Nature</w:t>
      </w:r>
      <w:r>
        <w:t xml:space="preserve"> </w:t>
      </w:r>
      <w:r>
        <w:t xml:space="preserve">546: 431–35.</w:t>
      </w:r>
      <w:r>
        <w:t xml:space="preserve"> </w:t>
      </w:r>
      <w:hyperlink r:id="rId119">
        <w:r>
          <w:rPr>
            <w:rStyle w:val="Hyperlink"/>
          </w:rPr>
          <w:t xml:space="preserve">https://doi.org/10.1038/nature22794</w:t>
        </w:r>
      </w:hyperlink>
      <w:r>
        <w:t xml:space="preserve">.</w:t>
      </w:r>
    </w:p>
    <w:bookmarkEnd w:id="120"/>
    <w:bookmarkStart w:id="122" w:name="ref-shaffer2020"/>
    <w:p>
      <w:pPr>
        <w:pStyle w:val="Bibliography"/>
      </w:pPr>
      <w:r>
        <w:t xml:space="preserve">Shaffer, Sydney M., Benjamin L. Emert, Raul A. Reyes Hueros, et al. 2020.</w:t>
      </w:r>
      <w:r>
        <w:t xml:space="preserve"> </w:t>
      </w:r>
      <w:r>
        <w:t xml:space="preserve">“Memory Sequencing Reveals Heritable Single-Cell Gene Expression Programs Associated with Distinct Cellular Behaviors.”</w:t>
      </w:r>
      <w:r>
        <w:t xml:space="preserve"> </w:t>
      </w:r>
      <w:r>
        <w:rPr>
          <w:i/>
          <w:iCs/>
        </w:rPr>
        <w:t xml:space="preserve">Cell</w:t>
      </w:r>
      <w:r>
        <w:t xml:space="preserve"> </w:t>
      </w:r>
      <w:r>
        <w:t xml:space="preserve">182 (4): 947–59.</w:t>
      </w:r>
      <w:r>
        <w:t xml:space="preserve"> </w:t>
      </w:r>
      <w:hyperlink r:id="rId121">
        <w:r>
          <w:rPr>
            <w:rStyle w:val="Hyperlink"/>
          </w:rPr>
          <w:t xml:space="preserve">https://doi.org/10.1016/j.cell.2020.07.003</w:t>
        </w:r>
      </w:hyperlink>
      <w:r>
        <w:t xml:space="preserve">.</w:t>
      </w:r>
    </w:p>
    <w:bookmarkEnd w:id="122"/>
    <w:bookmarkStart w:id="124" w:name="ref-shahrezaei2008"/>
    <w:p>
      <w:pPr>
        <w:pStyle w:val="Bibliography"/>
      </w:pPr>
      <w:r>
        <w:t xml:space="preserve">Shahrezaei, Vahid, and Peter S. Swain. 2008.</w:t>
      </w:r>
      <w:r>
        <w:t xml:space="preserve"> </w:t>
      </w:r>
      <w:r>
        <w:t xml:space="preserve">“Analytical Distributions for Stochastic Gene Expression.”</w:t>
      </w:r>
      <w:r>
        <w:t xml:space="preserve"> </w:t>
      </w:r>
      <w:r>
        <w:rPr>
          <w:i/>
          <w:iCs/>
        </w:rPr>
        <w:t xml:space="preserve">Proceedings of the National Academy of Sciences</w:t>
      </w:r>
      <w:r>
        <w:t xml:space="preserve"> </w:t>
      </w:r>
      <w:r>
        <w:t xml:space="preserve">105 (45): 17256–61.</w:t>
      </w:r>
      <w:r>
        <w:t xml:space="preserve"> </w:t>
      </w:r>
      <w:hyperlink r:id="rId123">
        <w:r>
          <w:rPr>
            <w:rStyle w:val="Hyperlink"/>
          </w:rPr>
          <w:t xml:space="preserve">https://doi.org/10.1073/pnas.0803850105</w:t>
        </w:r>
      </w:hyperlink>
      <w:r>
        <w:t xml:space="preserve">.</w:t>
      </w:r>
    </w:p>
    <w:bookmarkEnd w:id="124"/>
    <w:bookmarkStart w:id="126" w:name="ref-sukys2025"/>
    <w:p>
      <w:pPr>
        <w:pStyle w:val="Bibliography"/>
      </w:pPr>
      <w:r>
        <w:t xml:space="preserve">Sukys, Augustinas, and Ramon Grima. 2025.</w:t>
      </w:r>
      <w:r>
        <w:t xml:space="preserve"> </w:t>
      </w:r>
      <w:r>
        <w:t xml:space="preserve">“Cell-Cycle Dependence of Bursty Gene Expression: Insights from Fitting Mechanistic Models to Single-Cell</w:t>
      </w:r>
      <w:r>
        <w:t xml:space="preserve"> </w:t>
      </w:r>
      <w:r>
        <w:t xml:space="preserve">RNA-seq</w:t>
      </w:r>
      <w:r>
        <w:t xml:space="preserve"> </w:t>
      </w:r>
      <w:r>
        <w:t xml:space="preserve">Data.”</w:t>
      </w:r>
      <w:r>
        <w:t xml:space="preserve"> </w:t>
      </w:r>
      <w:r>
        <w:rPr>
          <w:i/>
          <w:iCs/>
        </w:rPr>
        <w:t xml:space="preserve">Nucleic Acids Research</w:t>
      </w:r>
      <w:r>
        <w:t xml:space="preserve"> </w:t>
      </w:r>
      <w:r>
        <w:t xml:space="preserve">53 (7): gkaf295.</w:t>
      </w:r>
      <w:r>
        <w:t xml:space="preserve"> </w:t>
      </w:r>
      <w:hyperlink r:id="rId125">
        <w:r>
          <w:rPr>
            <w:rStyle w:val="Hyperlink"/>
          </w:rPr>
          <w:t xml:space="preserve">https://doi.org/10.1093/nar/gkaf295</w:t>
        </w:r>
      </w:hyperlink>
      <w:r>
        <w:t xml:space="preserve">.</w:t>
      </w:r>
    </w:p>
    <w:bookmarkEnd w:id="126"/>
    <w:bookmarkStart w:id="128" w:name="ref-toni2009"/>
    <w:p>
      <w:pPr>
        <w:pStyle w:val="Bibliography"/>
      </w:pPr>
      <w:r>
        <w:t xml:space="preserve">Toni, Tina, David Welch, Natalja Strelkowa, Andreas Ipsen, and Michael P. H. Stumpf. 2009.</w:t>
      </w:r>
      <w:r>
        <w:t xml:space="preserve"> </w:t>
      </w:r>
      <w:r>
        <w:t xml:space="preserve">“Approximate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 (31): 187–202.</w:t>
      </w:r>
      <w:r>
        <w:t xml:space="preserve"> </w:t>
      </w:r>
      <w:hyperlink r:id="rId127">
        <w:r>
          <w:rPr>
            <w:rStyle w:val="Hyperlink"/>
          </w:rPr>
          <w:t xml:space="preserve">https://doi.org/10.1098/rsif.2008.0172</w:t>
        </w:r>
      </w:hyperlink>
      <w:r>
        <w:t xml:space="preserve">.</w:t>
      </w:r>
    </w:p>
    <w:bookmarkEnd w:id="128"/>
    <w:bookmarkStart w:id="130" w:name="ref-vollenweider2026"/>
    <w:p>
      <w:pPr>
        <w:pStyle w:val="Bibliography"/>
      </w:pPr>
      <w:r>
        <w:t xml:space="preserve">Vollenweider, Michael Samir, and Peter Bühlmann. 2026.</w:t>
      </w:r>
      <w:r>
        <w:t xml:space="preserve"> </w:t>
      </w:r>
      <w:r>
        <w:t xml:space="preserve">“Signal, Bounds, and Baselines: Principles for Rigorous Evaluation of High-Dimensional Biological Perturbation Prediction.”</w:t>
      </w:r>
      <w:r>
        <w:t xml:space="preserve"> </w:t>
      </w:r>
      <w:r>
        <w:rPr>
          <w:i/>
          <w:iCs/>
        </w:rPr>
        <w:t xml:space="preserve">bioRxiv</w:t>
      </w:r>
      <w:r>
        <w:t xml:space="preserve">, ahead of print.</w:t>
      </w:r>
      <w:r>
        <w:t xml:space="preserve"> </w:t>
      </w:r>
      <w:hyperlink r:id="rId129">
        <w:r>
          <w:rPr>
            <w:rStyle w:val="Hyperlink"/>
          </w:rPr>
          <w:t xml:space="preserve">https://doi.org/10.64898/2026.04.20.719650</w:t>
        </w:r>
      </w:hyperlink>
      <w:r>
        <w:t xml:space="preserve">.</w:t>
      </w:r>
    </w:p>
    <w:bookmarkEnd w:id="130"/>
    <w:bookmarkStart w:id="132" w:name="ref-wagner2018"/>
    <w:p>
      <w:pPr>
        <w:pStyle w:val="Bibliography"/>
      </w:pPr>
      <w:r>
        <w:t xml:space="preserve">Wagner, Florian, Yun Yan, and Itai Yanai. 2018.</w:t>
      </w:r>
      <w:r>
        <w:t xml:space="preserve"> </w:t>
      </w:r>
      <w:r>
        <w:t xml:space="preserve">“K-Nearest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ahead of print.</w:t>
      </w:r>
      <w:r>
        <w:t xml:space="preserve"> </w:t>
      </w:r>
      <w:hyperlink r:id="rId131">
        <w:r>
          <w:rPr>
            <w:rStyle w:val="Hyperlink"/>
          </w:rPr>
          <w:t xml:space="preserve">https://doi.org/10.1101/217737</w:t>
        </w:r>
      </w:hyperlink>
      <w:r>
        <w:t xml:space="preserve">.</w:t>
      </w:r>
    </w:p>
    <w:bookmarkEnd w:id="132"/>
    <w:bookmarkStart w:id="134" w:name="ref-zhang2017adaptive"/>
    <w:p>
      <w:pPr>
        <w:pStyle w:val="Bibliography"/>
      </w:pPr>
      <w:r>
        <w:t xml:space="preserve">Zhang, Jingsong, Jessica J. Cunningham, Joel S. Brown, and Robert A. Gatenby. 2017.</w:t>
      </w:r>
      <w:r>
        <w:t xml:space="preserve"> </w:t>
      </w:r>
      <w:r>
        <w:t xml:space="preserve">“Integrating Evolutionary Dynamics into Treatment of Metastatic Castrate-Resistant Prostate Cancer.”</w:t>
      </w:r>
      <w:r>
        <w:t xml:space="preserve"> </w:t>
      </w:r>
      <w:r>
        <w:rPr>
          <w:i/>
          <w:iCs/>
        </w:rPr>
        <w:t xml:space="preserve">Nature Communications</w:t>
      </w:r>
      <w:r>
        <w:t xml:space="preserve"> </w:t>
      </w:r>
      <w:r>
        <w:t xml:space="preserve">8: 1816.</w:t>
      </w:r>
      <w:r>
        <w:t xml:space="preserve"> </w:t>
      </w:r>
      <w:hyperlink r:id="rId133">
        <w:r>
          <w:rPr>
            <w:rStyle w:val="Hyperlink"/>
          </w:rPr>
          <w:t xml:space="preserve">https://doi.org/10.1038/s41467-017-01968-5</w:t>
        </w:r>
      </w:hyperlink>
      <w:r>
        <w:t xml:space="preserve">.</w:t>
      </w:r>
    </w:p>
    <w:bookmarkEnd w:id="134"/>
    <w:bookmarkStart w:id="136" w:name="ref-zhang2025"/>
    <w:p>
      <w:pPr>
        <w:pStyle w:val="Bibliography"/>
      </w:pPr>
      <w:r>
        <w:t xml:space="preserve">Zhang, Zhanhao, Iryna Zabaikina, César Nieto, Zahra Vahdat, Pavol Bokes, and Abhyudai Singh. 2025.</w:t>
      </w:r>
      <w:r>
        <w:t xml:space="preserve"> </w:t>
      </w:r>
      <w:r>
        <w:t xml:space="preserve">“Stochastic Gene Expression in Proliferating Cells: Differing Noise Intensity in Single-Cell and Population Perspectives.”</w:t>
      </w:r>
      <w:r>
        <w:t xml:space="preserve"> </w:t>
      </w:r>
      <w:r>
        <w:rPr>
          <w:i/>
          <w:iCs/>
        </w:rPr>
        <w:t xml:space="preserve">PLoS Computational Biology</w:t>
      </w:r>
      <w:r>
        <w:t xml:space="preserve"> </w:t>
      </w:r>
      <w:r>
        <w:t xml:space="preserve">21: e1013014.</w:t>
      </w:r>
      <w:r>
        <w:t xml:space="preserve"> </w:t>
      </w:r>
      <w:hyperlink r:id="rId135">
        <w:r>
          <w:rPr>
            <w:rStyle w:val="Hyperlink"/>
          </w:rPr>
          <w:t xml:space="preserve">https://doi.org/10.1371/journal.pcbi.1013014</w:t>
        </w:r>
      </w:hyperlink>
      <w:r>
        <w:t xml:space="preserve">.</w:t>
      </w:r>
    </w:p>
    <w:bookmarkEnd w:id="136"/>
    <w:bookmarkStart w:id="138" w:name="ref-zinati2024groundgan"/>
    <w:p>
      <w:pPr>
        <w:pStyle w:val="Bibliography"/>
      </w:pPr>
      <w:r>
        <w:t xml:space="preserve">Zinati, Yazdan, Abdulrahman Takiddeen, and Amin Emad. 2024.</w:t>
      </w:r>
      <w:r>
        <w:t xml:space="preserve"> </w:t>
      </w:r>
      <w:r>
        <w:t xml:space="preserve">“</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w:t>
      </w:r>
      <w:r>
        <w:t xml:space="preserve"> </w:t>
      </w:r>
      <w:r>
        <w:rPr>
          <w:i/>
          <w:iCs/>
        </w:rPr>
        <w:t xml:space="preserve">Nature Communications</w:t>
      </w:r>
      <w:r>
        <w:t xml:space="preserve"> </w:t>
      </w:r>
      <w:r>
        <w:t xml:space="preserve">15: 4055.</w:t>
      </w:r>
      <w:r>
        <w:t xml:space="preserve"> </w:t>
      </w:r>
      <w:hyperlink r:id="rId137">
        <w:r>
          <w:rPr>
            <w:rStyle w:val="Hyperlink"/>
          </w:rPr>
          <w:t xml:space="preserve">https://doi.org/10.1038/s41467-024-48516-6</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113" Target="https://doi.org/10.1006/tpbi.1995.1027" TargetMode="External" /><Relationship Type="http://schemas.openxmlformats.org/officeDocument/2006/relationships/hyperlink" Id="rId81" Target="https://doi.org/10.1016/j.cell.2018.05.061" TargetMode="External" /><Relationship Type="http://schemas.openxmlformats.org/officeDocument/2006/relationships/hyperlink" Id="rId121" Target="https://doi.org/10.1016/j.cell.2020.07.003" TargetMode="External" /><Relationship Type="http://schemas.openxmlformats.org/officeDocument/2006/relationships/hyperlink" Id="rId79" Target="https://doi.org/10.1016/j.cels.2020.08.003" TargetMode="External" /><Relationship Type="http://schemas.openxmlformats.org/officeDocument/2006/relationships/hyperlink" Id="rId107" Target="https://doi.org/10.1016/j.cels.2026.101621" TargetMode="External" /><Relationship Type="http://schemas.openxmlformats.org/officeDocument/2006/relationships/hyperlink" Id="rId89" Target="https://doi.org/10.1021/j100540a008" TargetMode="External" /><Relationship Type="http://schemas.openxmlformats.org/officeDocument/2006/relationships/hyperlink" Id="rId119" Target="https://doi.org/10.1038/nature22794" TargetMode="External" /><Relationship Type="http://schemas.openxmlformats.org/officeDocument/2006/relationships/hyperlink" Id="rId95" Target="https://doi.org/10.1038/ng.729" TargetMode="External" /><Relationship Type="http://schemas.openxmlformats.org/officeDocument/2006/relationships/hyperlink" Id="rId133" Target="https://doi.org/10.1038/s41467-017-01968-5" TargetMode="External" /><Relationship Type="http://schemas.openxmlformats.org/officeDocument/2006/relationships/hyperlink" Id="rId67"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37" Target="https://doi.org/10.1038/s41467-024-48516-6" TargetMode="External" /><Relationship Type="http://schemas.openxmlformats.org/officeDocument/2006/relationships/hyperlink" Id="rId61" Target="https://doi.org/10.1038/s41591-020-1060-8" TargetMode="External" /><Relationship Type="http://schemas.openxmlformats.org/officeDocument/2006/relationships/hyperlink" Id="rId105" Target="https://doi.org/10.1038/s41592-025-02651-0" TargetMode="External" /><Relationship Type="http://schemas.openxmlformats.org/officeDocument/2006/relationships/hyperlink" Id="rId59" Target="https://doi.org/10.1038/s41592-025-02772-6" TargetMode="External" /><Relationship Type="http://schemas.openxmlformats.org/officeDocument/2006/relationships/hyperlink" Id="rId91" Target="https://doi.org/10.1063/1.1378322" TargetMode="External" /><Relationship Type="http://schemas.openxmlformats.org/officeDocument/2006/relationships/hyperlink" Id="rId69" Target="https://doi.org/10.1063/1.1992473" TargetMode="External" /><Relationship Type="http://schemas.openxmlformats.org/officeDocument/2006/relationships/hyperlink" Id="rId71" Target="https://doi.org/10.1063/1.2159468" TargetMode="External" /><Relationship Type="http://schemas.openxmlformats.org/officeDocument/2006/relationships/hyperlink" Id="rId123" Target="https://doi.org/10.1073/pnas.0803850105" TargetMode="External" /><Relationship Type="http://schemas.openxmlformats.org/officeDocument/2006/relationships/hyperlink" Id="rId111" Target="https://doi.org/10.1093/nar/gkac235" TargetMode="External" /><Relationship Type="http://schemas.openxmlformats.org/officeDocument/2006/relationships/hyperlink" Id="rId125" Target="https://doi.org/10.1093/nar/gkaf295" TargetMode="External" /><Relationship Type="http://schemas.openxmlformats.org/officeDocument/2006/relationships/hyperlink" Id="rId127" Target="https://doi.org/10.1098/rsif.2008.0172" TargetMode="External" /><Relationship Type="http://schemas.openxmlformats.org/officeDocument/2006/relationships/hyperlink" Id="rId65" Target="https://doi.org/10.1098/rsos.172234" TargetMode="External" /><Relationship Type="http://schemas.openxmlformats.org/officeDocument/2006/relationships/hyperlink" Id="rId101" Target="https://doi.org/10.1098/rsos.191243" TargetMode="External" /><Relationship Type="http://schemas.openxmlformats.org/officeDocument/2006/relationships/hyperlink" Id="rId85" Target="https://doi.org/10.1101/2025.01.15.633183" TargetMode="External" /><Relationship Type="http://schemas.openxmlformats.org/officeDocument/2006/relationships/hyperlink" Id="rId131" Target="https://doi.org/10.1101/217737" TargetMode="External" /><Relationship Type="http://schemas.openxmlformats.org/officeDocument/2006/relationships/hyperlink" Id="rId83" Target="https://doi.org/10.1103/PhysRevLett.97.168302" TargetMode="External" /><Relationship Type="http://schemas.openxmlformats.org/officeDocument/2006/relationships/hyperlink" Id="rId73" Target="https://doi.org/10.1103/mh5v-lcyw" TargetMode="External" /><Relationship Type="http://schemas.openxmlformats.org/officeDocument/2006/relationships/hyperlink" Id="rId63" Target="https://doi.org/10.1111/rssb.12312" TargetMode="External" /><Relationship Type="http://schemas.openxmlformats.org/officeDocument/2006/relationships/hyperlink" Id="rId75" Target="https://doi.org/10.1158/0008-5472.CAN-13-1633" TargetMode="External" /><Relationship Type="http://schemas.openxmlformats.org/officeDocument/2006/relationships/hyperlink" Id="rId109" Target="https://doi.org/10.1158/1078-0432.CCR-03-0807" TargetMode="External" /><Relationship Type="http://schemas.openxmlformats.org/officeDocument/2006/relationships/hyperlink" Id="rId103" Target="https://doi.org/10.1186/s12859-022-04778-9" TargetMode="External" /><Relationship Type="http://schemas.openxmlformats.org/officeDocument/2006/relationships/hyperlink" Id="rId87" Target="https://doi.org/10.1200/JCO.2013.49.6968" TargetMode="External" /><Relationship Type="http://schemas.openxmlformats.org/officeDocument/2006/relationships/hyperlink" Id="rId135" Target="https://doi.org/10.1371/journal.pcbi.1013014" TargetMode="External" /><Relationship Type="http://schemas.openxmlformats.org/officeDocument/2006/relationships/hyperlink" Id="rId99" Target="https://doi.org/10.1371/journal.pcbi.1013446" TargetMode="External" /><Relationship Type="http://schemas.openxmlformats.org/officeDocument/2006/relationships/hyperlink" Id="rId115" Target="https://doi.org/10.1371/journal.pcbi.1014366" TargetMode="External" /><Relationship Type="http://schemas.openxmlformats.org/officeDocument/2006/relationships/hyperlink" Id="rId97" Target="https://doi.org/10.1371/journal.pone.0012776" TargetMode="External" /><Relationship Type="http://schemas.openxmlformats.org/officeDocument/2006/relationships/hyperlink" Id="rId117" Target="https://doi.org/10.5334/jors.151" TargetMode="External" /><Relationship Type="http://schemas.openxmlformats.org/officeDocument/2006/relationships/hyperlink" Id="rId77" Target="https://doi.org/10.64898/2026.02.04.703804" TargetMode="External" /><Relationship Type="http://schemas.openxmlformats.org/officeDocument/2006/relationships/hyperlink" Id="rId129"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6/tpbi.1995.1027" TargetMode="External" /><Relationship Type="http://schemas.openxmlformats.org/officeDocument/2006/relationships/hyperlink" Id="rId81" Target="https://doi.org/10.1016/j.cell.2018.05.061" TargetMode="External" /><Relationship Type="http://schemas.openxmlformats.org/officeDocument/2006/relationships/hyperlink" Id="rId121" Target="https://doi.org/10.1016/j.cell.2020.07.003" TargetMode="External" /><Relationship Type="http://schemas.openxmlformats.org/officeDocument/2006/relationships/hyperlink" Id="rId79" Target="https://doi.org/10.1016/j.cels.2020.08.003" TargetMode="External" /><Relationship Type="http://schemas.openxmlformats.org/officeDocument/2006/relationships/hyperlink" Id="rId107" Target="https://doi.org/10.1016/j.cels.2026.101621" TargetMode="External" /><Relationship Type="http://schemas.openxmlformats.org/officeDocument/2006/relationships/hyperlink" Id="rId89" Target="https://doi.org/10.1021/j100540a008" TargetMode="External" /><Relationship Type="http://schemas.openxmlformats.org/officeDocument/2006/relationships/hyperlink" Id="rId119" Target="https://doi.org/10.1038/nature22794" TargetMode="External" /><Relationship Type="http://schemas.openxmlformats.org/officeDocument/2006/relationships/hyperlink" Id="rId95" Target="https://doi.org/10.1038/ng.729" TargetMode="External" /><Relationship Type="http://schemas.openxmlformats.org/officeDocument/2006/relationships/hyperlink" Id="rId133" Target="https://doi.org/10.1038/s41467-017-01968-5" TargetMode="External" /><Relationship Type="http://schemas.openxmlformats.org/officeDocument/2006/relationships/hyperlink" Id="rId67"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37" Target="https://doi.org/10.1038/s41467-024-48516-6" TargetMode="External" /><Relationship Type="http://schemas.openxmlformats.org/officeDocument/2006/relationships/hyperlink" Id="rId61" Target="https://doi.org/10.1038/s41591-020-1060-8" TargetMode="External" /><Relationship Type="http://schemas.openxmlformats.org/officeDocument/2006/relationships/hyperlink" Id="rId105" Target="https://doi.org/10.1038/s41592-025-02651-0" TargetMode="External" /><Relationship Type="http://schemas.openxmlformats.org/officeDocument/2006/relationships/hyperlink" Id="rId59" Target="https://doi.org/10.1038/s41592-025-02772-6" TargetMode="External" /><Relationship Type="http://schemas.openxmlformats.org/officeDocument/2006/relationships/hyperlink" Id="rId91" Target="https://doi.org/10.1063/1.1378322" TargetMode="External" /><Relationship Type="http://schemas.openxmlformats.org/officeDocument/2006/relationships/hyperlink" Id="rId69" Target="https://doi.org/10.1063/1.1992473" TargetMode="External" /><Relationship Type="http://schemas.openxmlformats.org/officeDocument/2006/relationships/hyperlink" Id="rId71" Target="https://doi.org/10.1063/1.2159468" TargetMode="External" /><Relationship Type="http://schemas.openxmlformats.org/officeDocument/2006/relationships/hyperlink" Id="rId123" Target="https://doi.org/10.1073/pnas.0803850105" TargetMode="External" /><Relationship Type="http://schemas.openxmlformats.org/officeDocument/2006/relationships/hyperlink" Id="rId111" Target="https://doi.org/10.1093/nar/gkac235" TargetMode="External" /><Relationship Type="http://schemas.openxmlformats.org/officeDocument/2006/relationships/hyperlink" Id="rId125" Target="https://doi.org/10.1093/nar/gkaf295" TargetMode="External" /><Relationship Type="http://schemas.openxmlformats.org/officeDocument/2006/relationships/hyperlink" Id="rId127" Target="https://doi.org/10.1098/rsif.2008.0172" TargetMode="External" /><Relationship Type="http://schemas.openxmlformats.org/officeDocument/2006/relationships/hyperlink" Id="rId65" Target="https://doi.org/10.1098/rsos.172234" TargetMode="External" /><Relationship Type="http://schemas.openxmlformats.org/officeDocument/2006/relationships/hyperlink" Id="rId101" Target="https://doi.org/10.1098/rsos.191243" TargetMode="External" /><Relationship Type="http://schemas.openxmlformats.org/officeDocument/2006/relationships/hyperlink" Id="rId85" Target="https://doi.org/10.1101/2025.01.15.633183" TargetMode="External" /><Relationship Type="http://schemas.openxmlformats.org/officeDocument/2006/relationships/hyperlink" Id="rId131" Target="https://doi.org/10.1101/217737" TargetMode="External" /><Relationship Type="http://schemas.openxmlformats.org/officeDocument/2006/relationships/hyperlink" Id="rId83" Target="https://doi.org/10.1103/PhysRevLett.97.168302" TargetMode="External" /><Relationship Type="http://schemas.openxmlformats.org/officeDocument/2006/relationships/hyperlink" Id="rId73" Target="https://doi.org/10.1103/mh5v-lcyw" TargetMode="External" /><Relationship Type="http://schemas.openxmlformats.org/officeDocument/2006/relationships/hyperlink" Id="rId63" Target="https://doi.org/10.1111/rssb.12312" TargetMode="External" /><Relationship Type="http://schemas.openxmlformats.org/officeDocument/2006/relationships/hyperlink" Id="rId75" Target="https://doi.org/10.1158/0008-5472.CAN-13-1633" TargetMode="External" /><Relationship Type="http://schemas.openxmlformats.org/officeDocument/2006/relationships/hyperlink" Id="rId109" Target="https://doi.org/10.1158/1078-0432.CCR-03-0807" TargetMode="External" /><Relationship Type="http://schemas.openxmlformats.org/officeDocument/2006/relationships/hyperlink" Id="rId103" Target="https://doi.org/10.1186/s12859-022-04778-9" TargetMode="External" /><Relationship Type="http://schemas.openxmlformats.org/officeDocument/2006/relationships/hyperlink" Id="rId87" Target="https://doi.org/10.1200/JCO.2013.49.6968" TargetMode="External" /><Relationship Type="http://schemas.openxmlformats.org/officeDocument/2006/relationships/hyperlink" Id="rId135" Target="https://doi.org/10.1371/journal.pcbi.1013014" TargetMode="External" /><Relationship Type="http://schemas.openxmlformats.org/officeDocument/2006/relationships/hyperlink" Id="rId99" Target="https://doi.org/10.1371/journal.pcbi.1013446" TargetMode="External" /><Relationship Type="http://schemas.openxmlformats.org/officeDocument/2006/relationships/hyperlink" Id="rId115" Target="https://doi.org/10.1371/journal.pcbi.1014366" TargetMode="External" /><Relationship Type="http://schemas.openxmlformats.org/officeDocument/2006/relationships/hyperlink" Id="rId97" Target="https://doi.org/10.1371/journal.pone.0012776" TargetMode="External" /><Relationship Type="http://schemas.openxmlformats.org/officeDocument/2006/relationships/hyperlink" Id="rId117" Target="https://doi.org/10.5334/jors.151" TargetMode="External" /><Relationship Type="http://schemas.openxmlformats.org/officeDocument/2006/relationships/hyperlink" Id="rId77" Target="https://doi.org/10.64898/2026.02.04.703804" TargetMode="External" /><Relationship Type="http://schemas.openxmlformats.org/officeDocument/2006/relationships/hyperlink" Id="rId129"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Biomodelling.jl 2.0: mechanistic simulation of heritable gene-expression states, cell division and drug response for single-cell benchmarking and persister biology</dc:title>
  <dc:creator>Ayoub Lasri1; Marc Sturrock1</dc:creator>
  <cp:keywords>stochastic simulation, gene expression noise, cell division, drug-tolerant persisters, single-cell RNA-seq, lineage tracing, approximate Bayesian computation, Julia</cp:keywords>
  <dcterms:created xsi:type="dcterms:W3CDTF">2026-09-19T12:11:29Z</dcterms:created>
  <dcterms:modified xsi:type="dcterms:W3CDTF">2026-09-19T12:11:29Z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Calibrated to published time-lapse measurements of cisplatin-treated cells, the persister model predicts the fates of cells at a held-out concentration, the biphasic kill curve, the extent of lineage correlations and the dose-invariance of single-cell timing; used as a schedule testbed with a built-in optimiser, it reproduces the outcomes of continuous versus intermittent BRAF/MEK inhibition in the SWOG S1320 trial and of intermittent dosing in xenografts, attributes their difference to the fitness of resistant cells without drug, and evaluates standard against dose-dense temozolomide regimens with pharmacokinetics. Biomodelling.jl 2.0 is open source (MIT) at https://github.com/ayoublasri/Biomodelling.jl.</vt:lpwstr>
  </property>
  <property fmtid="{D5CDD505-2E9C-101B-9397-08002B2CF9AE}" pid="3" name="bibliography">
    <vt:lpwstr/>
  </property>
  <property fmtid="{D5CDD505-2E9C-101B-9397-08002B2CF9AE}" pid="4" name="date">
    <vt:lpwstr>1 Department of Physiology and Medical Physics, Royal College of Surgeons in Ireland, Dublin, Ireland</vt:lpwstr>
  </property>
</Properties>
</file>