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Biomodelling.jl 2.0: mechanistic simulation of heritable gene-expression states, cell division and drug response for single-cell benchmarking and persister biology</w:t>
      </w:r>
    </w:p>
    <w:p>
      <w:pPr>
        <w:pStyle w:val="Author"/>
      </w:pPr>
      <w:r>
        <w:t xml:space="preserve">Ayoub Lasri</w:t>
      </w:r>
      <w:r>
        <w:rPr>
          <w:vertAlign w:val="superscript"/>
        </w:rPr>
        <w:t xml:space="preserve">1</w:t>
      </w:r>
    </w:p>
    <w:p>
      <w:pPr>
        <w:pStyle w:val="Author"/>
      </w:pPr>
      <w:r>
        <w:t xml:space="preserve">Marc Sturrock</w:t>
      </w:r>
      <w:r>
        <w:rPr>
          <w:vertAlign w:val="superscript"/>
        </w:rPr>
        <w:t xml:space="preserve">1</w:t>
      </w:r>
    </w:p>
    <w:p>
      <w:pPr>
        <w:pStyle w:val="Date"/>
      </w:pPr>
      <w:r>
        <w:rPr>
          <w:vertAlign w:val="superscript"/>
        </w:rPr>
        <w:t xml:space="preserve">1</w:t>
      </w:r>
      <w:r>
        <w:t xml:space="preserve"> </w:t>
      </w:r>
      <w:r>
        <w:t xml:space="preserve">Department of Physiology and Medical Physics, Royal College of Surgeons in Ireland, Dublin, Ireland</w:t>
      </w:r>
    </w:p>
    <w:p>
      <w:pPr>
        <w:pStyle w:val="AbstractTitle"/>
      </w:pPr>
      <w:r>
        <w:t xml:space="preserve">Abstract</w:t>
      </w:r>
    </w:p>
    <w:p>
      <w:pPr>
        <w:pStyle w:val="Abstract"/>
      </w:pPr>
      <w:r>
        <w:t xml:space="preserve">Non-genetic heterogeneity, and in particular expression states that are inherited across cell divisions, decides which cancer cells survive drug treatment, yet the simulators used to benchmark single-cell methods model neither cell growth nor division, and therefore cannot generate such states from first principles. We present Biomodelling.jl 2.0, a rewrite of a Julia framework for stochastic simulation of gene regulatory networks inside growing, dividing and drug-treated cell populations. The framework couples exact, hybrid and adaptive stochastic kinetics to exponential growth, volume-scaled transcription, gene replication, division with binomial partitioning and promoter inheritance, and population control; adds dose schedules, state-dependent death, growth inhibition and genetic perturbations; records every cell’s lineage; converts molecule counts into scRNA-seq, smFISH and time-lapse observations; and provides likelihood-free inference. We validate the engine against exact stationary distributions and an independent implementation, show that growth and division alone reproduce published results on cell-size scaling, partitioning noise, lineage-versus-population statistics and cell-cycle-dependent bursting, and demonstrate that a single resistance gene with slow promoter switching reproduces the signatures of drug-tolerant persisters reported in recent experiments and models: dose-dependent decay with unchanged division times, correlated fates of related cells, preserved or collapsed barcode diversity, loss of resistance when memory is disrupted during exposure, an intermediate-dose optimum for drug-induced tolerance, and stable inheritance of a selected phenotype. Used as a ground-truth generator, the framework evaluates memory-gene detection, network inference under the confounds of growth and sequencing, imputation and perturbation-prediction baselines; used as an inference engine, it recovers kinetic and drug parameters from snapshot and lineage data and quantifies the bias of ignoring division. Calibrated to published time-lapse measurements of cisplatin-treated cells, the persister model predicts the fates of cells at a held-out concentration, the biphasic kill curve, the extent of lineage correlations and the dose-invariance of single-cell timing; used as a schedule testbed with a built-in optimiser, it reproduces the outcomes of continuous versus intermittent BRAF/MEK inhibition in the SWOG S1320 trial and of intermittent dosing in xenografts, attributes their difference to the fitness of resistant cells without drug, and evaluates standard against dose-dense temozolomide regimens with pharmacokinetics. Biomodelling.jl 2.0 is open source (MIT) at https://github.com/ayoublasri/Biomodelling.jl.</w:t>
      </w:r>
    </w:p>
    <w:bookmarkStart w:id="9" w:name="introduction"/>
    <w:p>
      <w:pPr>
        <w:pStyle w:val="Heading1"/>
      </w:pPr>
      <w:r>
        <w:t xml:space="preserve">Introduction</w:t>
      </w:r>
    </w:p>
    <w:p>
      <w:pPr>
        <w:pStyle w:val="FirstParagraph"/>
      </w:pPr>
      <w:r>
        <w:t xml:space="preserve">Single-cell technologies have made non-genetic heterogeneity a central object of study in cell biology and drug discovery. Isogenic cells differ in their transcriptional states, these states are often inherited across several divisions, and the inherited states decide cell fate under stress: drug-tolerant persister cells that survive targeted or cytotoxic therapy arise from pre-existing or drug-induced expression states rather than from mutations</w:t>
      </w:r>
      <w:r>
        <w:t xml:space="preserve"> </w:t>
      </w:r>
      <w:r>
        <w:t xml:space="preserve">(Shaffer et al. 2017, 2020; Harmange et al. 2023; Iyer et al. 2025; Lin et al. 2026)</w:t>
      </w:r>
      <w:r>
        <w:t xml:space="preserve">. Lineage-resolved single-cell experiments now quantify this memory directly, showing that the fates of sisters and cousins are correlated, that clonal barcode diversity is preserved or collapsed depending on whether tolerance pre-exists or is induced, and that the timescale of expression fluctuations relative to the cell cycle determines which genes carry memory</w:t>
      </w:r>
      <w:r>
        <w:t xml:space="preserve"> </w:t>
      </w:r>
      <w:r>
        <w:t xml:space="preserve">(Iyer et al. 2025; Lin et al. 2026; Ghosh et al. 2025)</w:t>
      </w:r>
      <w:r>
        <w:t xml:space="preserve">. In parallel, mechanistic analyses of single-cell RNA-sequencing data have established that transcriptional kinetics can only be inferred correctly when gene copy number, cell age and partitioning at division are modelled explicitly</w:t>
      </w:r>
      <w:r>
        <w:t xml:space="preserve"> </w:t>
      </w:r>
      <w:r>
        <w:t xml:space="preserve">(Sukys and Grima 2025; Zhang et al. 2025)</w:t>
      </w:r>
      <w:r>
        <w:t xml:space="preserve">, and evaluations of</w:t>
      </w:r>
      <w:r>
        <w:t xml:space="preserve"> </w:t>
      </w:r>
      <w:r>
        <w:t xml:space="preserve">“virtual cell”</w:t>
      </w:r>
      <w:r>
        <w:t xml:space="preserve"> </w:t>
      </w:r>
      <w:r>
        <w:t xml:space="preserve">models for perturbation prediction have found that deep-learning approaches still fail to beat simple baselines, largely because they lack mechanism and causal structure</w:t>
      </w:r>
      <w:r>
        <w:t xml:space="preserve"> </w:t>
      </w:r>
      <w:r>
        <w:t xml:space="preserve">(Ahlmann-Eltze et al. 2025; Vollenweider and Bühlmann 2026; Dibaeinia et al. 2026)</w:t>
      </w:r>
      <w:r>
        <w:t xml:space="preserve">.</w:t>
      </w:r>
    </w:p>
    <w:p>
      <w:pPr>
        <w:pStyle w:val="BodyText"/>
      </w:pPr>
      <w:r>
        <w:t xml:space="preserve">These developments create a demand that existing simulators do not meet. Simulators used to benchmark single-cell methods, such as SERGIO, dyngen, scMultiSim and GRouNdGAN</w:t>
      </w:r>
      <w:r>
        <w:t xml:space="preserve"> </w:t>
      </w:r>
      <w:r>
        <w:t xml:space="preserve">(Dibaeinia and Sinha 2020; Cannoodt et al. 2021; Li et al. 2025; Zinati et al. 2024)</w:t>
      </w:r>
      <w:r>
        <w:t xml:space="preserve">, model regulation and technical noise but not cell growth, volume-dependent transcription, gene replication or the partitioning of molecules at division; lineage simulators such as TedSim</w:t>
      </w:r>
      <w:r>
        <w:t xml:space="preserve"> </w:t>
      </w:r>
      <w:r>
        <w:t xml:space="preserve">(Pan et al. 2022)</w:t>
      </w:r>
      <w:r>
        <w:t xml:space="preserve"> </w:t>
      </w:r>
      <w:r>
        <w:t xml:space="preserve">generate division trees but attach phenomenological, largely Markovian expression to them. As a consequence none of them can produce expression memory, cell-size scaling, cell-cycle-dependent bursting or persister dynamics from first principles, and none provides the ground truth needed to test the methods that are now being developed for exactly those phenomena. Stochastic simulators of growing and dividing cells exist</w:t>
      </w:r>
      <w:r>
        <w:t xml:space="preserve"> </w:t>
      </w:r>
      <w:r>
        <w:t xml:space="preserve">(Bertaux et al. 2018; Piho and Thomas 2026)</w:t>
      </w:r>
      <w:r>
        <w:t xml:space="preserve"> </w:t>
      </w:r>
      <w:r>
        <w:t xml:space="preserve">but stop at the single-cell state: they do not provide drug response, lineage statistics, observation models, inference or benchmark generation.</w:t>
      </w:r>
    </w:p>
    <w:p>
      <w:pPr>
        <w:pStyle w:val="BodyText"/>
      </w:pPr>
      <w:r>
        <w:t xml:space="preserve">Biomodelling.jl was introduced as a generator of synthetic scRNA-seq data from stochastic gene regulatory networks in growing and dividing cells, and was used to benchmark imputation methods for network inference</w:t>
      </w:r>
      <w:r>
        <w:t xml:space="preserve"> </w:t>
      </w:r>
      <w:r>
        <w:t xml:space="preserve">(Lasri et al. 2022)</w:t>
      </w:r>
      <w:r>
        <w:t xml:space="preserve">. Its distinguishing feature, the coupling of stochastic reaction kinetics to exponential growth, volume-scaled transcription and binomial partitioning at division, is precisely the mechanism behind the heritable states discussed above. Here we present version 2.0, a rewrite that turns this feature into a complete framework for the mechanistic study of heritable expression states, drug tolerance and single-cell benchmarking. The package adds (i) a typed model layer with mass-action, Hill and custom kinetics and explicit promoter states; (ii) exact, hybrid and adaptive stochastic kernels validated against analytic laws and an independent implementation; (iii) a population layer with sizer, adder and timer division control, binomial or over-dispersed partitioning, promoter inheritance, gene replication and constant-size, free-growth or logistic population control; (iv) a drug and perturbation layer with dose schedules, pharmacokinetics, state-dependent death, growth inhibition, drug-induced rate changes and genetic perturbations; (v) complete lineage records with heritability, autocorrelation, fluctuation-test and clonal-memory statistics; (vi) observation models for scRNA-seq, smFISH and time-lapse reporters with AnnData output; and (vii) likelihood-free inference and the exact telegraph likelihood.</w:t>
      </w:r>
    </w:p>
    <w:p>
      <w:pPr>
        <w:pStyle w:val="BodyText"/>
      </w:pPr>
      <w:r>
        <w:t xml:space="preserve">We validate the engine against exact stationary distributions and against JumpProcesses.jl,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signatures of drug-tolerant persisters reported in recent experimental and theoretical work: dose-dependent population decay with unchanged single-cell division times, correlated fates of related cells, preserved or collapsed barcode diversity, loss of resistance when memory is disrupted during exposure, an intermediate-dose optimum for drug-induced tolerance, and stable inheritance of a selected phenotype. We then use the framework as a ground-truth generator to evaluate memory-gene detection, network inference under the confounds of growth and sequencing, imputation, and perturbation-prediction baselines, show that the same forward model supports parameter inference from snapshot and lineage data and quantifies the bias incurred by ignoring division, calibrate the persister model to published time-lapse data and validate it on held-out conditions, and finally use it, with a built-in schedule optimiser, to evaluate clinical dosing regimens and to search for better ones.</w:t>
      </w:r>
    </w:p>
    <w:bookmarkEnd w:id="9"/>
    <w:bookmarkStart w:id="18" w:name="results"/>
    <w:p>
      <w:pPr>
        <w:pStyle w:val="Heading1"/>
      </w:pPr>
      <w:r>
        <w:t xml:space="preserve">Results</w:t>
      </w:r>
    </w:p>
    <w:bookmarkStart w:id="10" w:name="Xc6f6304d11b674a0a63cd4836c8b87658dd755c"/>
    <w:p>
      <w:pPr>
        <w:pStyle w:val="Heading2"/>
      </w:pPr>
      <w:r>
        <w:t xml:space="preserve">A layered framework for stochastic simulation in growing, dividing and drug-treated populations</w:t>
      </w:r>
    </w:p>
    <w:p>
      <w:pPr>
        <w:pStyle w:val="FirstParagraph"/>
      </w:pPr>
      <w:r>
        <w:t xml:space="preserve">Biomodelling.jl 2.0 is organised in layers (Figure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of molecules, and controls the population size (constant size by Moran-like replacement, free growth, or logistic). A drug and perturbation layer applies dose schedules, state-dependent death, growth inhibition, drug-induced rate changes and genetic perturbations. Every cell’s ancestry, fate and state at birth and division are recorded in a lineage table, from which heritability, autocorrelation, memory timescales, fluctuation-test and clonal-memory statistics are computed. Observation models convert true counts into scRNA-seq, smFISH or time-lapse measurements, and the same forward model drives likelihood-free inference. Table 1 compares these capabilities with those of the simulators most used to benchmark single-cell methods.</w:t>
      </w:r>
    </w:p>
    <w:p>
      <w:pPr>
        <w:pStyle w:val="BodyText"/>
      </w:pPr>
      <w:r>
        <w:t xml:space="preserve">Table 1. Capabilities of single-cell simulators (✓ native; ○ partial or phenomenological; – absent). ABM.jl, AgentBasedModeling.jl; v1.x and v2.0, Biomodelling.jl versions.</w:t>
      </w:r>
    </w:p>
    <w:tbl>
      <w:tblPr>
        <w:tblStyle w:val="Table"/>
        <w:tblW w:type="pct" w:w="5000"/>
        <w:tblLayout w:type="fixed"/>
        <w:tblLook w:firstRow="1" w:lastRow="0" w:firstColumn="0" w:lastColumn="0" w:noHBand="0" w:noVBand="0" w:val="0020"/>
      </w:tblPr>
      <w:tblGrid>
        <w:gridCol w:w="2527"/>
        <w:gridCol w:w="589"/>
        <w:gridCol w:w="589"/>
        <w:gridCol w:w="758"/>
        <w:gridCol w:w="674"/>
        <w:gridCol w:w="589"/>
        <w:gridCol w:w="758"/>
        <w:gridCol w:w="589"/>
        <w:gridCol w:w="421"/>
        <w:gridCol w:w="421"/>
      </w:tblGrid>
      <w:tr>
        <w:trPr>
          <w:tblHeader w:val="on"/>
        </w:trPr>
        <w:tc>
          <w:tcPr/>
          <w:p>
            <w:pPr>
              <w:pStyle w:val="Compact"/>
              <w:jc w:val="left"/>
            </w:pPr>
            <w:r>
              <w:t xml:space="preserve">Capability</w:t>
            </w:r>
          </w:p>
        </w:tc>
        <w:tc>
          <w:tcPr/>
          <w:p>
            <w:pPr>
              <w:pStyle w:val="Compact"/>
            </w:pPr>
            <w:r>
              <w:t xml:space="preserve">SERGIO</w:t>
            </w:r>
          </w:p>
        </w:tc>
        <w:tc>
          <w:tcPr/>
          <w:p>
            <w:pPr>
              <w:pStyle w:val="Compac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pPr>
            <w:r>
              <w:t xml:space="preserve">TedSim</w:t>
            </w:r>
          </w:p>
        </w:tc>
        <w:tc>
          <w:tcPr/>
          <w:p>
            <w:pPr>
              <w:pStyle w:val="Compact"/>
              <w:jc w:val="left"/>
            </w:pPr>
            <w:r>
              <w:t xml:space="preserve">Lineage-</w:t>
            </w:r>
            <w:r>
              <w:t xml:space="preserve"> </w:t>
            </w:r>
            <w:r>
              <w:t xml:space="preserve">Sim</w:t>
            </w:r>
          </w:p>
        </w:tc>
        <w:tc>
          <w:tcPr/>
          <w:p>
            <w:pPr>
              <w:pStyle w:val="Compact"/>
            </w:pPr>
            <w:r>
              <w:t xml:space="preserve">ABM.jl</w:t>
            </w:r>
          </w:p>
        </w:tc>
        <w:tc>
          <w:tcPr/>
          <w:p>
            <w:pPr>
              <w:pStyle w:val="Compact"/>
            </w:pPr>
            <w:r>
              <w:t xml:space="preserve">v1.x</w:t>
            </w:r>
          </w:p>
        </w:tc>
        <w:tc>
          <w:tcPr/>
          <w:p>
            <w:pPr>
              <w:pStyle w:val="Compac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Cell growth, volume-scaled</w:t>
            </w:r>
            <w:r>
              <w:t xml:space="preserve"> </w:t>
            </w:r>
            <w:r>
              <w:t xml:space="preserve">transcription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replication / cell-</w:t>
            </w:r>
            <w:r>
              <w:t xml:space="preserve"> </w:t>
            </w:r>
            <w:r>
              <w:t xml:space="preserve">cycle copy number</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Division with molecular</w:t>
            </w:r>
            <w:r>
              <w:t xml:space="preserve"> </w:t>
            </w:r>
            <w:r>
              <w:t xml:space="preserve">partitioning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Heritable promoter states,</w:t>
            </w:r>
            <w:r>
              <w:t xml:space="preserve"> </w:t>
            </w:r>
            <w:r>
              <w:t xml:space="preserve">expression memory</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Lineage tree with per-cell</w:t>
            </w:r>
            <w:r>
              <w:t xml:space="preserve"> </w:t>
            </w:r>
            <w:r>
              <w:t xml:space="preserve">fates</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scRNA-seq observation model</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smFISH / time-lapse</w:t>
            </w:r>
            <w:r>
              <w:t xml:space="preserve"> </w:t>
            </w:r>
            <w:r>
              <w:t xml:space="preserve">observation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Parameter inference from</w:t>
            </w:r>
            <w:r>
              <w:t xml:space="preserve"> </w:t>
            </w:r>
            <w:r>
              <w:t xml:space="preserve">data</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AnnData output</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10"/>
    <w:bookmarkStart w:id="11" w:name="X9ee2a68a6d8bf472bdfcfacc785641eb8079b6e"/>
    <w:p>
      <w:pPr>
        <w:pStyle w:val="Heading2"/>
      </w:pPr>
      <w:r>
        <w:t xml:space="preserve">The engine is exact and agrees with an independent implementation</w:t>
      </w:r>
    </w:p>
    <w:p>
      <w:pPr>
        <w:pStyle w:val="FirstParagraph"/>
      </w:pPr>
      <w:r>
        <w:t xml:space="preserve">We first verified the kernels against exact stationary laws (Figure 2). For a birth-death process the simulated distribution of 50 000 cells is indistinguishable from the Poisson law (Figure 2a); for the telegraph model in an intermediate and in a bursty regime it matches the Beta-Poisson distribution of</w:t>
      </w:r>
      <w:r>
        <w:t xml:space="preserve"> </w:t>
      </w:r>
      <w:r>
        <w:t xml:space="preserve">Peccoud and Ycart (1995)</w:t>
      </w:r>
      <w:r>
        <w:t xml:space="preserve"> </w:t>
      </w:r>
      <w:r>
        <w:t xml:space="preserve">(Figure 2b); and for bursty protein production it matches the negative binomial (Figure 2c). Across kernels, Kolmogorov-Smirnov distances to the exact law with 20 000 cells are below the 99% critical value for the direct method and for the hybrid and adaptive schemes at their default tolerances, at wall-clock costs of 0.25 s to 0.91 s per 10⁴ cells (Figure 2d). Simulating the same telegraph model with JumpProcesses.jl gives distributions whose two-sample Kolmogorov-Smirnov statistic against Biomodelling.jl is 0.0034 (99% critical value 0.0163; Figure 2e), with a 6.2-fold (in favour of JumpProcesses.jl) difference in serial wall-clock time. Population simulations scale linearly with the number of cells and approximately linearly with the number of reactions: 2.6 s for 5000 cells × 10 telegraph genes × 200 steps (hybrid kernel) with four threads (Figure 2f).</w:t>
      </w:r>
    </w:p>
    <w:bookmarkEnd w:id="11"/>
    <w:bookmarkStart w:id="12" w:name="X0ce03d895f8b454003cbc49e5e85b40213ac265"/>
    <w:p>
      <w:pPr>
        <w:pStyle w:val="Heading2"/>
      </w:pPr>
      <w:r>
        <w:t xml:space="preserve">Growth, division and partitioning generate expression memory, size scaling and cell-cycle effects</w:t>
      </w:r>
    </w:p>
    <w:p>
      <w:pPr>
        <w:pStyle w:val="FirstParagraph"/>
      </w:pPr>
      <w:r>
        <w:t xml:space="preserve">The physiology of the population layer is sufficient to produce the properties of single-cell data that phenomenological simulators must impose by hand (Figure 3). In a single lineage of a slowly switching gene, mRNA and protein track volume within a cycle and are halved at division, while the promoter state, inherited by both daughters, persists over many divisions (Figure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(Figure 3b), the copy-number effect that mechanistic fits to scRNA-seq data must account for</w:t>
      </w:r>
      <w:r>
        <w:t xml:space="preserve"> </w:t>
      </w:r>
      <w:r>
        <w:t xml:space="preserve">(Sukys and Grima 2025)</w:t>
      </w:r>
      <w:r>
        <w:t xml:space="preserve">. Correlations of protein concentration at division between mothers and daughters, sisters and cousins decrease from 0.94 to 0.02 as the promoter switching rate crosses the inverse cell-cycle time (Figure 3c), with sisters more correlated than mother-daughter pairs and cousins less,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(Figure 3d). Following</w:t>
      </w:r>
      <w:r>
        <w:t xml:space="preserve"> </w:t>
      </w:r>
      <w:r>
        <w:t xml:space="preserve">Zhang et al. (2025)</w:t>
      </w:r>
      <w:r>
        <w:t xml:space="preserve">, the coefficient of variation of a stable protein’s concentration is larger across the population than along single lineages, whether or not cell-cycle times are noisy, and over-dispersed partitioning adds variability in both perspectives (Figure 3e). Finally, telegraph parameters fitted separately to cells before and after replication differ by the expected factor of two in burst frequency, and a fit that ignores the cell cycle returns intermediate values (Figure 3f).</w:t>
      </w:r>
    </w:p>
    <w:bookmarkEnd w:id="12"/>
    <w:bookmarkStart w:id="13" w:name="X6473de47bf05e4ad3eebffd0a77166f76a5d720"/>
    <w:p>
      <w:pPr>
        <w:pStyle w:val="Heading2"/>
      </w:pPr>
      <w:r>
        <w:t xml:space="preserve">A single resistance gene with slow promoter switching reproduces persister biology</w:t>
      </w:r>
    </w:p>
    <w:p>
      <w:pPr>
        <w:pStyle w:val="FirstParagraph"/>
      </w:pPr>
      <w:r>
        <w:t xml:space="preserve">To test whether heritable expression states suffice to reproduce the observed phenomenology of drug-tolerant persisters, we coupled a resistance gene with slow promoter switching (memory timescale 45 time units, cell-cycle time 20) to a death hazard that acts on the drug dose and is suppressed by the concentration of the gene’s protein product (Methods). Under continuous, pulsed and reduced-dose schedules the population first collapses as low-expressing cells die and then regrows from the high-expressing survivors (Figure 4a); kill curves are biphasic with a surviving fraction that decreases with dose (Figure 4b). The net rate of population decline over the first 30 time units of treatment rises from 0.023 to 0.050 per time unit between doses 0.5 and 2 (2.1-fold), while the mean division time of cells born under drug changes by only 0.0% and the mean time to death of killed cells only moves from 8.5 to 6.2 time units (Figure 4c), reproducing the observation of</w:t>
      </w:r>
      <w:r>
        <w:t xml:space="preserve"> </w:t>
      </w:r>
      <w:r>
        <w:t xml:space="preserve">Iyer et al. (2025)</w:t>
      </w:r>
      <w:r>
        <w:t xml:space="preserve"> </w:t>
      </w:r>
      <w:r>
        <w:t xml:space="preserve">that population decay depends strongly on dose even though single-cell division and death times barely do, because fate is decided by cell states present before the drug. Accordingly, related cells born in the 25 time units before the drug share the fate of their lineages (extinction, or survival of at least one descendant): a cell whose sister founded a surviving lineage does so itself with probability 0.39, against a marginal probability of 0.08 (4.8-fold enrichment over 1830 sister pairs; 2.9-fold for cousins), whereas in the fast-switching control, in which survival is rarer, the conditional and marginal probabilities coincide (0.03 versus 0.02; Figure 4d). When tolerance pre-exists, survivors descend from a minority of founder clones and the effective number of clones drops from 491 to 89, whereas when tolerance is drug-induced (the drug raises the promoter activation rate of every cell) barcode diversity is largely preserved (165 of 492; Figure 4e), the discriminating signature used in barcoding experiments</w:t>
      </w:r>
      <w:r>
        <w:t xml:space="preserve"> </w:t>
      </w:r>
      <w:r>
        <w:t xml:space="preserve">(Shaffer et al. 2017; Iyer et al. 2025)</w:t>
      </w:r>
      <w:r>
        <w:t xml:space="preserve">. Disrupting expression memory changes this outcome: accelerating promoter switching 20-fold from two cell-cycle times before the drug, as memory-disrupting epigenetic compounds do</w:t>
      </w:r>
      <w:r>
        <w:t xml:space="preserve"> </w:t>
      </w:r>
      <w:r>
        <w:t xml:space="preserve">(Harmange et al. 2023)</w:t>
      </w:r>
      <w:r>
        <w:t xml:space="preserve">, leaves the number of surviving clones unchanged when the acceleration stops at the moment the drug arrives (98 versus 120 clones), because it reshuffles which cells are in the resistant state without changing their number, but reduces it to 7 clones (10 cells, against 792) when the acceleration continues during exposure (Figure 4f), because resistant cells now leave the protected state within a fraction of the time they need to establish a colony: in the model, memory must be disrupted while the drug is present. A transient drug pulse enriches high-expressing cells and, with slow switching, the enrichment persists for many generations after the drug is removed, whereas with fast switching it relaxes within a few cycles (Figure 4g): the phenotypic selection with stable inheritance of the original MGMT model</w:t>
      </w:r>
      <w:r>
        <w:t xml:space="preserve"> </w:t>
      </w:r>
      <w:r>
        <w:t xml:space="preserve">(Lasri et al. 2020)</w:t>
      </w:r>
      <w:r>
        <w:t xml:space="preserve">. Finally, scanning release periods and doses of intermittent schedules (Figure 4h; net growth rate of the population over a 200-time-unit course), the most effective schedule is release period 0, dose 2 (growth rate +0.004 per time unit) for pre-existing tolerance, release period 10, dose 2 (growth rate -0.016 per time unit) when the resistant state carries a fitness cost, and release period 10, dose 1 (growth rate +0.009 per time unit) for drug-induced tolerance (the drug raising the promoter activation rate 100-fold at dose 1). Without a fitness cost, therefore, nothing beats continuous dosing at the highest dose and every release period lets the resistant subpopulation regrow. With a fitness cost of the resistant state the population declines under every schedule with dose ≥ 0.5, and release periods of up to 10 time units are as effective as continuous dosing (-0.013 per time unit under continuous dose 2), because cells that leave the resistant state during the holiday are killed on re-exposure. For drug-induced tolerance the ranking of doses reverses: the highest dose induces tolerance in more cells than it kills, so dose 1 outperforms dose 2 at every release period (release period 10, dose 1 (growth rate +0.009 per time unit), against +0.012 for continuous dose 2), the intermediate-dose optimum reported by</w:t>
      </w:r>
      <w:r>
        <w:t xml:space="preserve"> </w:t>
      </w:r>
      <w:r>
        <w:t xml:space="preserve">Corigliano et al. (2025)</w:t>
      </w:r>
      <w:r>
        <w:t xml:space="preserve">; the benefit of release periods reported in that work does not appear in this model, in which the induced state decays at the same rate with and without drug, so that a holiday only postpones the death of reverting cells while all cells grow.</w:t>
      </w:r>
    </w:p>
    <w:bookmarkEnd w:id="13"/>
    <w:bookmarkStart w:id="14" w:name="X9cd648870167c6db33c0fff253d6de318a899c7"/>
    <w:p>
      <w:pPr>
        <w:pStyle w:val="Heading2"/>
      </w:pPr>
      <w:r>
        <w:t xml:space="preserve">Ground truth for memory genes, network inference, imputation and perturbation prediction</w:t>
      </w:r>
    </w:p>
    <w:p>
      <w:pPr>
        <w:pStyle w:val="FirstParagraph"/>
      </w:pPr>
      <w:r>
        <w:t xml:space="preserve">Because every cell’s clone, lineage and true state are known, the framework supplies ground truth that observational data cannot (Figure 5). For 40 independent genes whose memory times span three decades, MemorySeq-style clonal variance scores computed on true concentrations rise from 1.0 for genes with memory times far below the cell-cycle time to 29.6 for the slowest genes, and the ranking is preserved when scores are computed on sequenced counts at 20% capture efficiency (Figure 5a); the score separates genes with memory times above the cycle time from the rest with an area under the receiver operating curve of 1.00 (true) and 0.99 (sequenced). For a 30-gene network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0.08 for a random ranking), because volume and gene copy number induce positive correlations between all genes. Normalising counts to concentrations removes the volume effect but recovers little (0.18 and 0.18), since the dependence of expression on copy number and cell age remains, whereas regressing expression on the true cell-cycle covariates (copy number and age, which the simulation provides and which cell-cycle scoring approximates in real data) before inference recovers most of the loss (0.46 and 0.30). Sequencing at 15% capture efficiency lowers accuracy further (0.11 for raw and 0.24 for library-size-normalised counts with Pearson correlation; 0.07 and 0.08 with GENIE3; Figure 5b). Imputation with kNN-smoothing and MAGIC before inference changes the area under the precision-recall curve by +0.05 to +0.21 (Pearson correlation) (Figure 5c), consistent with the conclusions of the original benchmark</w:t>
      </w:r>
      <w:r>
        <w:t xml:space="preserve"> </w:t>
      </w:r>
      <w:r>
        <w:t xml:space="preserve">(Lasri et al. 2022)</w:t>
      </w:r>
      <w:r>
        <w:t xml:space="preserve">. Finally, knocking down the five most connected regulators of a 20-gene network produces true fold changes that a no-change baseline and the propagation of observational correlations predict with coefficients of determination of -0.16 and -0.23 respectively (Figure 5d), illustrating how causal, out-of-distribution ground truth can be generated for the evaluation of perturbation-prediction models</w:t>
      </w:r>
      <w:r>
        <w:t xml:space="preserve"> </w:t>
      </w:r>
      <w:r>
        <w:t xml:space="preserve">(Ahlmann-Eltze et al. 2025; Vollenweider and Bühlmann 2026)</w:t>
      </w:r>
      <w:r>
        <w:t xml:space="preserve">.</w:t>
      </w:r>
    </w:p>
    <w:bookmarkEnd w:id="14"/>
    <w:bookmarkStart w:id="15" w:name="Xdfe33f2d29911b71b893bffc11219e23edbf454"/>
    <w:p>
      <w:pPr>
        <w:pStyle w:val="Heading2"/>
      </w:pPr>
      <w:r>
        <w:t xml:space="preserve">The forward model supports inference and quantifies the bias of ignoring division</w:t>
      </w:r>
    </w:p>
    <w:p>
      <w:pPr>
        <w:pStyle w:val="FirstParagraph"/>
      </w:pPr>
      <w:r>
        <w:t xml:space="preserve">On a snapshot of 2 000 non-dividing cells, ABC-SMC with log-uniform priors over three decades and the Wasserstein distance between simulated and observed counts</w:t>
      </w:r>
      <w:r>
        <w:t xml:space="preserve"> </w:t>
      </w:r>
      <w:r>
        <w:t xml:space="preserve">(Bernton et al. 2019)</w:t>
      </w:r>
      <w:r>
        <w:t xml:space="preserve"> </w:t>
      </w:r>
      <w:r>
        <w:t xml:space="preserve">concentrates on the true telegraph parameters and agrees with the exact maximum-likelihood estimate (Figure 6a; posterior medians (0.31, 0.60, 20.9) for truth (0.3, 0.6, 20)), with the broadest posterior on k_off, the parameter that a single snapshot constrains least. On a snapshot of a growing and dividing population with volume-scaled transcription and mid-cycle replication, the naive telegraph fit is biased (k_on = 0.47, k_off = 1.95, k_tx = 71.5) because volume and copy number inflate counts and their dispersion, whereas ABC with the population simulator as forward model recovers the truth ((0.30, 0.68, 20.8); Figure 6b). Drug parameters can be inferred from population data in the same way: from a kill curve and the concordance of sister fates, the posterior over the maximal death rate and the protection threshold is a ridge (weighted correlation of log h_max and log K of -0.85) on which the truth (0.5, 150) lies (Figure 6c), and posterior predictive kill curves simulated at the posterior median reproduce the observed one (Figure 6d): the two summaries constrain the product of death rate and unprotected fraction, and separating the two parameters requires a measurement of the protective protein, an example of the experimental-design questions the forward model can answer before an experiment is run.</w:t>
      </w:r>
    </w:p>
    <w:bookmarkEnd w:id="15"/>
    <w:bookmarkStart w:id="16" w:name="X9127e981dd342706dc2bd484113b0f729438709"/>
    <w:p>
      <w:pPr>
        <w:pStyle w:val="Heading2"/>
      </w:pPr>
      <w:r>
        <w:t xml:space="preserve">The persister model calibrates to laboratory time-lapse data and predicts held-out conditions</w:t>
      </w:r>
    </w:p>
    <w:p>
      <w:pPr>
        <w:pStyle w:val="FirstParagraph"/>
      </w:pPr>
      <w:r>
        <w:t xml:space="preserve">A simulator is only useful for treatment questions if it can be fitted to the data a laboratory actually produces and then predicts what it was not fitted to. We therefore calibrated the resistance-gene model to the time-lapse measurements of</w:t>
      </w:r>
      <w:r>
        <w:t xml:space="preserve"> </w:t>
      </w:r>
      <w:r>
        <w:t xml:space="preserve">Iyer et al. (2025)</w:t>
      </w:r>
      <w:r>
        <w:t xml:space="preserve">, who tracked U2OS cells for three days under 7, 10 and 13 µM cisplatin and recorded, for every cell present at drug addition, whether it died, divided or survived without dividing (Table S3). Six parameters (promoter switching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to the fate fractions at 7 and 13 µM by simulated moments with common random numbers, with a weak prior keeping the memory of the resistant state near the two to three generations that the same study inferred from lineage correlations (Methods). The calibrated model (Figure 7f; memory 2.8 generations, resistant fraction 15.2%, EC</w:t>
      </w:r>
      <m:oMath>
        <m:sSub>
          <m:e>
            <m:r>
              <m:t>​</m:t>
            </m:r>
          </m:e>
          <m:sub>
            <m:r>
              <m:t>50</m:t>
            </m:r>
          </m:sub>
        </m:sSub>
      </m:oMath>
      <w:r>
        <w:t xml:space="preserve"> </w:t>
      </w:r>
      <w:r>
        <w:t xml:space="preserve">16.7 µM) reproduces the training fractions with a root-mean-square error of 0.071 and predicts the held-out 10 µM condition with an error of 0.093 (observed died, divided and survived fractions 0.28, 0.31 and 0.41; predicted 0.39, 0.20 and 0.41; Figure 7a). Properties that were not fitted can then be compared with the data. Death fates are correlated between sisters (0.09), first cousins (0.06) and second cousins (0.05) and the correlation decays to 0.02 for third cousins and 0.00 for unrelated cells (Figure 7c), the pattern reported for HCT116 lineages. The mean time to death changes by only 8% between 7 and 13 µM while the death fraction rises from 0.13 to 0.59 (Figure 7d), the dose-invariance of single-cell timing that motivated the original study, and arises here because the dose changes the fraction of unprotected cells rather than their kinetics. The predicted kill curves (Figure 7b) are steeper at 13 µM in their first two days than in their second half (1.5-fold), but the calibrated memory of 2.8 generations is too short to produce the plateau that HCT116 cells reach after about 100 h: in the model, cells leave the resistant state within days and are then killed. Reproducing the plateau requires a longer memory or a drug-induced stabilisation of the resistant state, which is exactly the kind of conclusion a calibrated forward model can draw and a lineage-tracing experiment can test. The calibration landscape (Figure 7e) shows how the fitted death rate and EC</w:t>
      </w:r>
      <m:oMath>
        <m:sSub>
          <m:e>
            <m:r>
              <m:t>​</m:t>
            </m:r>
          </m:e>
          <m:sub>
            <m:r>
              <m:t>50</m:t>
            </m:r>
          </m:sub>
        </m:sSub>
      </m:oMath>
      <w:r>
        <w:t xml:space="preserve"> </w:t>
      </w:r>
      <w:r>
        <w:t xml:space="preserve">are constrained by the fate fractions alone; the same protocol, with the same functions, applies to any observable that a laboratory records.</w:t>
      </w:r>
    </w:p>
    <w:bookmarkEnd w:id="16"/>
    <w:bookmarkStart w:id="17" w:name="Xd56bc4e7d40795b987986d7bf1b24271e096039"/>
    <w:p>
      <w:pPr>
        <w:pStyle w:val="Heading2"/>
      </w:pPr>
      <w:r>
        <w:t xml:space="preserve">Dose and schedule optimisation against clinical regimens</w:t>
      </w:r>
    </w:p>
    <w:p>
      <w:pPr>
        <w:pStyle w:val="FirstParagraph"/>
      </w:pPr>
      <w:r>
        <w:t xml:space="preserve">With a calibrated model the framework becomes a schedule testbed. We first asked which dosing schedule best delays regrowth of a melanoma-like population with a rare, heritable pre-resistant state</w:t>
      </w:r>
      <w:r>
        <w:t xml:space="preserve"> </w:t>
      </w:r>
      <w:r>
        <w:t xml:space="preserve">(Shaffer et al. 2017)</w:t>
      </w:r>
      <w:r>
        <w:t xml:space="preserve"> </w:t>
      </w:r>
      <w:r>
        <w:t xml:space="preserve">treated at a fractional-killing dose, comparing continuous dosing with the intermittent schedule of the SWOG S1320 trial, in which patients received a continuous 8-week lead-in and were then randomised to continuous dosing or to cycles of 3 weeks off and 5 weeks on</w:t>
      </w:r>
      <w:r>
        <w:t xml:space="preserve"> </w:t>
      </w:r>
      <w:r>
        <w:t xml:space="preserve">(Algazi et al. 2020)</w:t>
      </w:r>
      <w:r>
        <w:t xml:space="preserve">, and with adaptive therapy, in which the drug is withdrawn when the population has shrunk to half its initial size and resumed when it regrows to the initial size</w:t>
      </w:r>
      <w:r>
        <w:t xml:space="preserve"> </w:t>
      </w:r>
      <w:r>
        <w:t xml:space="preserve">(Zhang et al. 2017)</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 The answer depends on two properties of the resistant cells (Figure 8a-d). When the resistant state is fully protective and carries no fitness cost, as the lineage data of</w:t>
      </w:r>
      <w:r>
        <w:t xml:space="preserve"> </w:t>
      </w:r>
      <w:r>
        <w:t xml:space="preserve">Iyer et al. (2025)</w:t>
      </w:r>
      <w:r>
        <w:t xml:space="preserve"> </w:t>
      </w:r>
      <w:r>
        <w:t xml:space="preserve">indicate for pre-existing tolerance, resistant cells grow at the same rate with or without drug, holidays only let sensitive cells regrow and be killed again, and the three schedules lose control after 23, 26 and 27 weeks (continuous, intermittent, adaptive), the intermittent schedule delivering 65% of the cumulative dose. When resistant cells pay a 50% fitness cost in the absence of drug, the drug addiction that made intermittent dosing superior in patient-derived xenografts</w:t>
      </w:r>
      <w:r>
        <w:t xml:space="preserve"> </w:t>
      </w:r>
      <w:r>
        <w:t xml:space="preserve">(Das Thakur and Stuart 2013)</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The optimiser makes the dependence explicit (Figure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The model therefore reproduces both the clinical and the preclinical outcome and attributes their difference to measurable properties of the resistant cells, their growth under drug and their fitness without it, which the framework can estimate from growth and lineage data before a schedule is chosen.</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t xml:space="preserve"> </w:t>
      </w:r>
      <w:r>
        <w:t xml:space="preserve">(Gilbert et al. 2013)</w:t>
      </w:r>
      <w:r>
        <w:t xml:space="preserve">. We simulated both regimens with one-compartment pharmacokinetics (elimination half-life 2.1 h;</w:t>
      </w:r>
      <w:r>
        <w:t xml:space="preserve"> </w:t>
      </w:r>
      <w:r>
        <w:t xml:space="preserve">Ostermann et al. (2004)</w:t>
      </w:r>
      <w:r>
        <w:t xml:space="preserve">) on populations in which 1% (methylated) or 30% (unmethylated) of cells express MGMT, with MGMT protein protecting cells from the drug (the phenotypic-selection model of</w:t>
      </w:r>
      <w:r>
        <w:t xml:space="preserve"> </w:t>
      </w:r>
      <w:r>
        <w:t xml:space="preserve">Lasri et al. (2020)</w:t>
      </w:r>
      <w:r>
        <w:t xml:space="preserve">) and either stable or consumed by the drug, as a suicide enzyme is (Figure 8f,g).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When the drug consumes MGMT, prolonged exposure depletes the protection of expressing cells: in the methylated population the dose-dense regimen deepens its response to 1.24 log</w:t>
      </w:r>
      <m:oMath>
        <m:sSub>
          <m:e>
            <m:r>
              <m:t>​</m:t>
            </m:r>
          </m:e>
          <m:sub>
            <m:r>
              <m:t>10</m:t>
            </m:r>
          </m:sub>
        </m:sSub>
      </m:oMath>
      <w:r>
        <w:t xml:space="preserve"> </w:t>
      </w:r>
      <w:r>
        <w:t xml:space="preserve">units against 0.21 for the standard regimen, and in the unmethylated population, where 30% of cells start protected, both regimens improve (final size 1.7 and 1.4 times the initial size, against 4.9 and 3.6 with stable MGMT) but neither controls the population, so the difference between the arms stays small (0.14 against 0.17 log</w:t>
      </w:r>
      <m:oMath>
        <m:sSub>
          <m:e>
            <m:r>
              <m:t>​</m:t>
            </m:r>
          </m:e>
          <m:sub>
            <m:r>
              <m:t>10</m:t>
            </m:r>
          </m:sub>
        </m:sSub>
      </m:oMath>
      <w:r>
        <w:t xml:space="preserve"> </w:t>
      </w:r>
      <w:r>
        <w:t xml:space="preserve">units), as in the trial. At the standard cumulative dose the number of dosing days per cycle that minimises the final population is 9 (methylated) and 9 (unmethylated) with stable MGMT and 9 and 5 when MGMT is consumed (Figure 8h). These simulations are not fits to the trial, whose end points depend on much that the model omits, including dose-limiting toxicity, but they turn the rationale of dose-dense dosing into a quantitative prediction and identify the measurement that decides between regimens: how fast the drug consumes MGMT in the tumour.</w:t>
      </w:r>
    </w:p>
    <w:bookmarkEnd w:id="17"/>
    <w:bookmarkEnd w:id="18"/>
    <w:bookmarkStart w:id="19" w:name="discussion"/>
    <w:p>
      <w:pPr>
        <w:pStyle w:val="Heading1"/>
      </w:pPr>
      <w:r>
        <w:t xml:space="preserve">Discussion</w:t>
      </w:r>
    </w:p>
    <w:p>
      <w:pPr>
        <w:pStyle w:val="FirstParagraph"/>
      </w:pPr>
      <w:r>
        <w:t xml:space="preserve">Biomodelling.jl 2.0 occupies a niche that the single-cell field currently lacks: a mechanistic simulator in which expression memory, cell-size effects, cell-cycle dependence and drug-tolerant persistence are consequences of explicit biophysics rather than assumptions of a generative model. Three uses follow. First, as a hypothesis engine for non-genetic drug tolerance, it lets one ask which schedule, which combination or which memory-modulating pretreatment minimises the long-term fitness of a treated population, with cell-level rules that can be matched to time-lapse and lineage-tracing data. Second, as a ground-truth generator, it produces data with known memory genes, known networks, known perturbation effects and known lineage trees, which is what methods such as MemorySeq-style scores, Power-Seek, lineage-aware models and virtual-cell benchmarks require to be evaluated fairly, and which existing simulators cannot provide. Third, as a likelihood-free inference engine, it allows mechanistic parameters to be estimated from the kinds of data that are now routinely collected, while quantifying the bias of simpler models.</w:t>
      </w:r>
    </w:p>
    <w:p>
      <w:pPr>
        <w:pStyle w:val="BodyText"/>
      </w:pPr>
      <w:r>
        <w:t xml:space="preserve">The calibration and schedule studies illustrate the workflow we propose for in silico single-cell pharmacology: declare the training and validation observables before fitting, fit by simulated moments or ABC with common random numbers, validate on conditions and statistics that were not fitted, and only then compare regimens, reporting outcomes that map onto clinical end points (time to progression from the nadir, depth of response, cumulative dose). The two case studies show why mechanism matters: the same schedule question, continuous or intermittent dosing, has opposite answers depending on whether resistant cells pay a fitness cost without drug, and the trial and xenograft outcomes that seemed to contradict each other are both reproduced once that property is set. Because the framework simulates the lineage-resolved, single-cell data from which such properties are measured, it can also say which experiment would resolve the question before a trial is designed.</w:t>
      </w:r>
    </w:p>
    <w:p>
      <w:pPr>
        <w:pStyle w:val="BodyText"/>
      </w:pPr>
      <w:r>
        <w:t xml:space="preserve">Several limitations delimit the current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as in Figure 6. The persister case study is deliberately minimal, a single resistance gene with slow switching; its calibration used fate fractions transcribed from a published study rather than raw tracks, and the clinical case studies use literature values for cell-cycle times, resistant fractions and pharmacokinetics rather than patient-specific measurements, so their conclusions are about mechanisms and rankings, not about absolute survival times. The Catalyst.jl bridge planned for interoperability with the SciML ecosystem is not part of this release. Finally, the benchmark results should be read as demonstrations of what the framework makes possible rather than as verdicts on the methods compared, which were run with default settings on small networks.</w:t>
      </w:r>
    </w:p>
    <w:p>
      <w:pPr>
        <w:pStyle w:val="BodyText"/>
      </w:pPr>
      <w:r>
        <w:t xml:space="preserve">Future work will add spatial coupling through neighbourhood-dependent rates, cell-cell communication, chromatin states with their own inheritance rules, and neural simulation-based inference on top of the existing forward model. Because the framework is deterministic given a seed, fast enough to simulate tens of thousands of cells in minutes, and outputs AnnData files, it can be dropped into existing single-cell analysis pipelines as a source of mechanistically grounded synthetic data, and into virtual-cell training and evaluation as a source of causal, out-of-distribution contexts.</w:t>
      </w:r>
    </w:p>
    <w:bookmarkEnd w:id="19"/>
    <w:bookmarkStart w:id="32" w:name="methods"/>
    <w:p>
      <w:pPr>
        <w:pStyle w:val="Heading1"/>
      </w:pPr>
      <w:r>
        <w:t xml:space="preserve">Methods</w:t>
      </w:r>
    </w:p>
    <w:bookmarkStart w:id="20"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sepChr m:val=""/>
                  <m:end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r>
          <m:rPr>
            <m:sty m:val="p"/>
          </m:rPr>
          <m:t>(</m:t>
        </m:r>
        <m:r>
          <m:t>1</m:t>
        </m:r>
        <m:r>
          <m:rPr>
            <m:sty m:val="p"/>
          </m:rPr>
          <m:t>−</m:t>
        </m:r>
        <m:r>
          <m:t>b</m:t>
        </m:r>
        <m:r>
          <m:rPr>
            <m:sty m:val="p"/>
          </m:rPr>
          <m:t>)</m:t>
        </m:r>
        <m:r>
          <m:t>F</m:t>
        </m:r>
        <m:r>
          <m:rPr>
            <m:sty m:val="p"/>
          </m:rPr>
          <m:t>(</m:t>
        </m:r>
        <m:r>
          <m:rPr>
            <m:sty m:val="bi"/>
          </m:rPr>
          <m:t>c</m:t>
        </m:r>
        <m:r>
          <m:rPr>
            <m:sty m:val="p"/>
          </m:rPr>
          <m:t>)</m:t>
        </m:r>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r>
          <m:rPr>
            <m:sty m:val="p"/>
          </m:rPr>
          <m:t>(</m:t>
        </m:r>
        <m:sSubSup>
          <m:e>
            <m:r>
              <m:t>K</m:t>
            </m:r>
          </m:e>
          <m:sub>
            <m:r>
              <m:t>j</m:t>
            </m:r>
          </m:sub>
          <m:sup>
            <m:sSub>
              <m:e>
                <m:r>
                  <m:t>n</m:t>
                </m:r>
              </m:e>
              <m:sub>
                <m:r>
                  <m:t>j</m:t>
                </m:r>
              </m:sub>
            </m:sSub>
          </m:sup>
        </m:sSubSup>
        <m:r>
          <m:rPr>
            <m:sty m:val="p"/>
          </m:rPr>
          <m:t>+</m:t>
        </m:r>
        <m:sSubSup>
          <m:e>
            <m:r>
              <m:t>c</m:t>
            </m:r>
          </m:e>
          <m:sub>
            <m:r>
              <m:t>j</m:t>
            </m:r>
          </m:sub>
          <m:sup>
            <m:sSub>
              <m:e>
                <m:r>
                  <m:t>n</m:t>
                </m:r>
              </m:e>
              <m:sub>
                <m:r>
                  <m:t>j</m:t>
                </m:r>
              </m:sub>
            </m:sSub>
          </m:sup>
        </m:sSubSup>
        <m:r>
          <m:rPr>
            <m:sty m:val="p"/>
          </m:rPr>
          <m:t>)</m:t>
        </m:r>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r>
              <m:rPr>
                <m:sty m:val="p"/>
              </m:rPr>
              <m:t>(</m:t>
            </m:r>
          </m:e>
        </m:nary>
        <m:r>
          <m:t>1</m:t>
        </m:r>
        <m:r>
          <m:rPr>
            <m:sty m:val="p"/>
          </m:rPr>
          <m:t>−</m:t>
        </m:r>
        <m:sSub>
          <m:e>
            <m:r>
              <m:t>h</m:t>
            </m:r>
          </m:e>
          <m:sub>
            <m:r>
              <m:t>j</m:t>
            </m:r>
          </m:sub>
        </m:sSub>
        <m:r>
          <m:rPr>
            <m:sty m:val="p"/>
          </m:rPr>
          <m:t>)</m:t>
        </m:r>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20"/>
    <w:bookmarkStart w:id="21"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t xml:space="preserve"> </w:t>
      </w:r>
      <w:r>
        <w:t xml:space="preserve">(Gillespie 1977)</w:t>
      </w:r>
      <w:r>
        <w:t xml:space="preserve"> </w:t>
      </w:r>
      <w:r>
        <w:t xml:space="preserve">with propensities updated through a species-reaction dependency graph; fixed-step Poisson tau-leaping</w:t>
      </w:r>
      <w:r>
        <w:t xml:space="preserve"> </w:t>
      </w:r>
      <w:r>
        <w:t xml:space="preserve">(Gillespie 2001)</w:t>
      </w:r>
      <w:r>
        <w:t xml:space="preserve">; a hybrid scheme in which a leap that would drive any species negative is rejected and the interval is instead simulated exactly (this is the exact version of the</w:t>
      </w:r>
      <w:r>
        <w:t xml:space="preserve"> </w:t>
      </w:r>
      <w:r>
        <w:t xml:space="preserve">“switching”</w:t>
      </w:r>
      <w:r>
        <w:t xml:space="preserve"> </w:t>
      </w:r>
      <w:r>
        <w:t xml:space="preserve">scheme of version 1); and adaptive tau-leaping with the step-size selection of</w:t>
      </w:r>
      <w:r>
        <w:t xml:space="preserve"> </w:t>
      </w:r>
      <w:r>
        <w:t xml:space="preserve">Cao et al. (2006)</w:t>
      </w:r>
      <w:r>
        <w:t xml:space="preserve"> </w:t>
      </w:r>
      <w:r>
        <w:t xml:space="preserve">and the critical-reaction partition of</w:t>
      </w:r>
      <w:r>
        <w:t xml:space="preserve"> </w:t>
      </w:r>
      <w:r>
        <w:t xml:space="preserve">Cao et al. (2005)</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Every kernel takes an explicit random number generator.</w:t>
      </w:r>
    </w:p>
    <w:bookmarkEnd w:id="21"/>
    <w:bookmarkStart w:id="22"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rPr>
            <m:sty m:val="p"/>
          </m:rP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cr m:val="script"/>
            <m:sty m:val="p"/>
          </m:rPr>
          <m:t>N</m:t>
        </m:r>
        <m:r>
          <m:rPr>
            <m:sty m:val="p"/>
          </m:rPr>
          <m:t>(</m:t>
        </m:r>
        <m:r>
          <m:t>0.5</m:t>
        </m:r>
        <m:r>
          <m:rPr>
            <m:sty m:val="p"/>
          </m:rPr>
          <m:t>,</m:t>
        </m:r>
        <m:sSup>
          <m:e>
            <m:r>
              <m:t>σ</m:t>
            </m:r>
          </m:e>
          <m:sup>
            <m:r>
              <m:t>2</m:t>
            </m:r>
          </m:sup>
        </m:sSup>
        <m:r>
          <m:rPr>
            <m:sty m:val="p"/>
          </m:rPr>
          <m:t>)</m:t>
        </m:r>
      </m:oMath>
      <w:r>
        <w:t xml:space="preserve"> </w:t>
      </w:r>
      <w:r>
        <w:t xml:space="preserve">(clipped to</w:t>
      </w:r>
      <w:r>
        <w:t xml:space="preserve"> </w:t>
      </w:r>
      <m:oMath>
        <m:r>
          <m:rPr>
            <m:sty m:val="p"/>
          </m:rPr>
          <m:t>[</m:t>
        </m:r>
        <m:r>
          <m:t>0.05</m:t>
        </m:r>
        <m:r>
          <m:rPr>
            <m:sty m:val="p"/>
          </m:rPr>
          <m:t>,</m:t>
        </m:r>
        <m:r>
          <m:t>0.95</m:t>
        </m:r>
        <m:r>
          <m:rPr>
            <m:sty m:val="p"/>
          </m:rPr>
          <m:t>]</m:t>
        </m:r>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22"/>
    <w:bookmarkStart w:id="23" w:name="drug-and-perturbation-layer"/>
    <w:p>
      <w:pPr>
        <w:pStyle w:val="Heading2"/>
      </w:pPr>
      <w:r>
        <w:t xml:space="preserve">Drug and perturbation layer</w:t>
      </w:r>
    </w:p>
    <w:p>
      <w:pPr>
        <w:pStyle w:val="FirstParagraph"/>
      </w:pPr>
      <w:r>
        <w:t xml:space="preserve">A perturbation combines a dose schedule</w:t>
      </w:r>
      <w:r>
        <w:t xml:space="preserve"> </w:t>
      </w:r>
      <m:oMath>
        <m:r>
          <m:t>d</m:t>
        </m:r>
        <m:r>
          <m:rPr>
            <m:sty m:val="p"/>
          </m:rPr>
          <m:t>(</m:t>
        </m:r>
        <m:r>
          <m:t>t</m:t>
        </m:r>
        <m:r>
          <m:rPr>
            <m:sty m:val="p"/>
          </m:rPr>
          <m:t>)</m:t>
        </m:r>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rPr>
                <m:sty m:val="p"/>
              </m:rPr>
              <m:t>Δ</m:t>
            </m:r>
            <m:r>
              <m:t>t</m:t>
            </m:r>
          </m:sup>
        </m:sSup>
      </m:oMath>
      <w:r>
        <w:t xml:space="preserve">); growth inhibition by</w:t>
      </w:r>
      <w:r>
        <w:t xml:space="preserve"> </w:t>
      </w:r>
      <m:oMath>
        <m:r>
          <m:t>1</m:t>
        </m:r>
        <m:r>
          <m:rPr>
            <m:sty m:val="p"/>
          </m:rPr>
          <m:t>/</m:t>
        </m:r>
        <m:r>
          <m:rPr>
            <m:sty m:val="p"/>
          </m:rPr>
          <m:t>(</m:t>
        </m:r>
        <m:r>
          <m:t>1</m:t>
        </m:r>
        <m:r>
          <m:rPr>
            <m:sty m:val="p"/>
          </m:rPr>
          <m:t>+</m:t>
        </m:r>
        <m:r>
          <m:rPr>
            <m:sty m:val="p"/>
          </m:rPr>
          <m:t>(</m:t>
        </m:r>
        <m:r>
          <m:t>d</m:t>
        </m:r>
        <m:r>
          <m:rPr>
            <m:sty m:val="p"/>
          </m:rPr>
          <m:t>/</m:t>
        </m:r>
        <m:sSub>
          <m:e>
            <m:r>
              <m:rPr>
                <m:sty m:val="p"/>
              </m:rPr>
              <m:t>I</m:t>
            </m:r>
            <m:r>
              <m:rPr>
                <m:sty m:val="p"/>
              </m:rPr>
              <m:t>C</m:t>
            </m:r>
          </m:e>
          <m:sub>
            <m:r>
              <m:t>50</m:t>
            </m:r>
          </m:sub>
        </m:sSub>
        <m:sSup>
          <m:e>
            <m:r>
              <m:rPr>
                <m:sty m:val="p"/>
              </m:rPr>
              <m:t>)</m:t>
            </m:r>
          </m:e>
          <m:sup>
            <m:r>
              <m:t>m</m:t>
            </m:r>
          </m:sup>
        </m:sSup>
        <m:r>
          <m:rPr>
            <m:sty m:val="p"/>
          </m:rPr>
          <m:t>)</m:t>
        </m:r>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r>
          <m:rPr>
            <m:sty m:val="p"/>
          </m:rPr>
          <m:t>(</m:t>
        </m:r>
        <m:sSup>
          <m:e>
            <m:r>
              <m:t>K</m:t>
            </m:r>
          </m:e>
          <m:sup>
            <m:r>
              <m:t>q</m:t>
            </m:r>
          </m:sup>
        </m:sSup>
        <m:r>
          <m:rPr>
            <m:sty m:val="p"/>
          </m:rPr>
          <m:t>+</m:t>
        </m:r>
        <m:sSubSup>
          <m:e>
            <m:r>
              <m:t>c</m:t>
            </m:r>
          </m:e>
          <m:sub>
            <m:r>
              <m:t>P</m:t>
            </m:r>
          </m:sub>
          <m:sup>
            <m:r>
              <m:t> </m:t>
            </m:r>
            <m:r>
              <m:t>q</m:t>
            </m:r>
          </m:sup>
        </m:sSubSup>
        <m:r>
          <m:rPr>
            <m:sty m:val="p"/>
          </m:rPr>
          <m:t>)</m:t>
        </m:r>
      </m:oMath>
      <w:r>
        <w:t xml:space="preserve">, on the growth rate; multiplicative modulation of any parameter by a function of the dose; and genetic perturbations (knockdown, knockout, over-expression) of any parameter in a random fraction of cells, the flag being inherited by daughters.</w:t>
      </w:r>
    </w:p>
    <w:bookmarkEnd w:id="23"/>
    <w:bookmarkStart w:id="24"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t xml:space="preserve"> </w:t>
      </w:r>
      <w:r>
        <w:t xml:space="preserve">(Shaffer et al. 2020)</w:t>
      </w:r>
      <w:r>
        <w:t xml:space="preserve">, the variance of clone-mean expression divided by its permutation-null expectation.</w:t>
      </w:r>
    </w:p>
    <w:bookmarkEnd w:id="24"/>
    <w:bookmarkStart w:id="25"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or as AnnData-compatible HDF5 files.</w:t>
      </w:r>
    </w:p>
    <w:bookmarkEnd w:id="25"/>
    <w:bookmarkStart w:id="26" w:name="inference"/>
    <w:p>
      <w:pPr>
        <w:pStyle w:val="Heading2"/>
      </w:pPr>
      <w:r>
        <w:t xml:space="preserve">Inference</w:t>
      </w:r>
    </w:p>
    <w:p>
      <w:pPr>
        <w:pStyle w:val="FirstParagraph"/>
      </w:pPr>
      <w:r>
        <w:t xml:space="preserve">Snapshot counts of a gene in non-dividing cells follow the Beta-Poisson law of the telegraph model</w:t>
      </w:r>
      <w:r>
        <w:t xml:space="preserve"> </w:t>
      </w:r>
      <w:r>
        <w:t xml:space="preserve">(Peccoud and Ycart 1995)</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t xml:space="preserve"> </w:t>
      </w:r>
      <w:r>
        <w:t xml:space="preserve">(Toni et al. 2009)</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t xml:space="preserve"> </w:t>
      </w:r>
      <w:r>
        <w:t xml:space="preserve">(Bernton et al. 2019)</w:t>
      </w:r>
      <w:r>
        <w:t xml:space="preserve">.</w:t>
      </w:r>
    </w:p>
    <w:bookmarkEnd w:id="26"/>
    <w:bookmarkStart w:id="27"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(Table S3). For the cisplatin case study the model is a resistance gene with slow promoter switching whose protein product protects against a dose-dependent death hazard and against a dose-dependent growth arrest (Methods above), with a 24-h cell cycle.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2-3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27"/>
    <w:bookmarkStart w:id="28"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t xml:space="preserve"> </w:t>
      </w:r>
      <w:r>
        <w:t xml:space="preserve">(Zhang et al. 2017)</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gene-expression rates are scaled to the hour (mRNA half-life 7 h, protein half-life 35 h) and founders are drawn from the stationary distribution of promoter states. The melanoma case uses a pre-resistant fraction of 1:200 with a memory of five generations</w:t>
      </w:r>
      <w:r>
        <w:t xml:space="preserve"> </w:t>
      </w:r>
      <w:r>
        <w:t xml:space="preserve">(Shaffer et al. 2017, 2020)</w:t>
      </w:r>
      <w:r>
        <w:t xml:space="preserve"> </w:t>
      </w:r>
      <w:r>
        <w:t xml:space="preserve">and drug effects at the fractional-killing dose: sensitive cells arrest and die with a half-life of two weeks, cells in the resistant state are protected, and the drug stabilises the resistant state ten-fold (the drug-induced reprogramming of</w:t>
      </w:r>
      <w:r>
        <w:t xml:space="preserve"> </w:t>
      </w:r>
      <w:r>
        <w:t xml:space="preserve">Shaffer et al. (2017)</w:t>
      </w:r>
      <w:r>
        <w:t xml:space="preserve">). Three variants of the resistant state are compared: full protection without cost; a 50% fitness cost in the absence of drug</w:t>
      </w:r>
      <w:r>
        <w:t xml:space="preserve"> </w:t>
      </w:r>
      <w:r>
        <w:t xml:space="preserve">(Das Thakur and Stuart 2013)</w:t>
      </w:r>
      <w:r>
        <w:t xml:space="preserve">; and partial protection, in which resistant cells grow at half speed under drug. Progression is scored in two ways: from the nadir, as in RECIST (a 20% increase in diameter, taken as a 1.73-fold increase in cell number, after the 8-week lead-in), and as loss of control, the time after randomisation at which the population exceeds 120% of its pre-treatment size, the end point of adaptive-therapy studies, which is the one used to compare schedules that deliberately let the tumour regrow. The temozolomide case uses an elimination half-life of 2.1 h</w:t>
      </w:r>
      <w:r>
        <w:t xml:space="preserve"> </w:t>
      </w:r>
      <w:r>
        <w:t xml:space="preserve">(Ostermann et al. 2004)</w:t>
      </w:r>
      <w:r>
        <w:t xml:space="preserve">, the regimens of RTOG 0525</w:t>
      </w:r>
      <w:r>
        <w:t xml:space="preserve"> </w:t>
      </w:r>
      <w:r>
        <w:t xml:space="preserve">(Gilbert et al. 2013)</w:t>
      </w:r>
      <w:r>
        <w:t xml:space="preserve"> </w:t>
      </w:r>
      <w:r>
        <w:t xml:space="preserve">(200 mg/m² on days 1-5 or 100 mg/m² on days 1-21 of 28-day cycles, six cycles), MGMT-expressing fractions of 1% and 30% for methylated and unmethylated promoters, and MGMT either stable or consumed by the drug (its degradation rate increased 20-fold at the standard peak concentration), the suicide-enzyme behaviour that motivated dose-dense schedules.</w:t>
      </w:r>
    </w:p>
    <w:bookmarkEnd w:id="28"/>
    <w:bookmarkStart w:id="29"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29"/>
    <w:bookmarkStart w:id="30"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t xml:space="preserve"> </w:t>
      </w:r>
      <w:r>
        <w:t xml:space="preserve">(Friedman et al. 2006; Shahrezaei and Swain 2008)</w:t>
      </w:r>
      <w:r>
        <w:t xml:space="preserve">), by agreement between kernels, and by a two-sample comparison against JumpProcesses.jl</w:t>
      </w:r>
      <w:r>
        <w:t xml:space="preserve"> </w:t>
      </w:r>
      <w:r>
        <w:t xml:space="preserve">(Rackauckas and Nie 2017)</w:t>
      </w:r>
      <w:r>
        <w:t xml:space="preserve"> </w:t>
      </w:r>
      <w:r>
        <w:t xml:space="preserve">on the same model. Population-level properties were compared with the analytic expectations for cell-size scaling and concentration homeostasis</w:t>
      </w:r>
      <w:r>
        <w:t xml:space="preserve"> </w:t>
      </w:r>
      <w:r>
        <w:t xml:space="preserve">(Bertaux et al. 2018)</w:t>
      </w:r>
      <w:r>
        <w:t xml:space="preserve">, partitioning noise</w:t>
      </w:r>
      <w:r>
        <w:t xml:space="preserve"> </w:t>
      </w:r>
      <w:r>
        <w:t xml:space="preserve">(Huh and Paulsson 2011)</w:t>
      </w:r>
      <w:r>
        <w:t xml:space="preserve">, lineage versus population statistics</w:t>
      </w:r>
      <w:r>
        <w:t xml:space="preserve"> </w:t>
      </w:r>
      <w:r>
        <w:t xml:space="preserve">(Zhang et al. 2025)</w:t>
      </w:r>
      <w:r>
        <w:t xml:space="preserve"> </w:t>
      </w:r>
      <w:r>
        <w:t xml:space="preserve">and cell-cycle-dependent burst parameters</w:t>
      </w:r>
      <w:r>
        <w:t xml:space="preserve"> </w:t>
      </w:r>
      <w:r>
        <w:t xml:space="preserve">(Sukys and Grima 2025)</w:t>
      </w:r>
      <w:r>
        <w:t xml:space="preserve">. Persister simulations were compared with the quantitative signatures reported by</w:t>
      </w:r>
      <w:r>
        <w:t xml:space="preserve"> </w:t>
      </w:r>
      <w:r>
        <w:t xml:space="preserve">Iyer et al. (2025)</w:t>
      </w:r>
      <w:r>
        <w:t xml:space="preserve">,</w:t>
      </w:r>
      <w:r>
        <w:t xml:space="preserve"> </w:t>
      </w:r>
      <w:r>
        <w:t xml:space="preserve">Corigliano et al. (2025)</w:t>
      </w:r>
      <w:r>
        <w:t xml:space="preserve"> </w:t>
      </w:r>
      <w:r>
        <w:t xml:space="preserve">and</w:t>
      </w:r>
      <w:r>
        <w:t xml:space="preserve"> </w:t>
      </w:r>
      <w:r>
        <w:t xml:space="preserve">Harmange et al. (2023)</w:t>
      </w:r>
      <w:r>
        <w:t xml:space="preserve">, and with the phenotypic-selection model of</w:t>
      </w:r>
      <w:r>
        <w:t xml:space="preserve"> </w:t>
      </w:r>
      <w:r>
        <w:t xml:space="preserve">Lasri et al. (2020)</w:t>
      </w:r>
      <w:r>
        <w:t xml:space="preserve">. All scripts, seeds and outputs are in the</w:t>
      </w:r>
      <w:r>
        <w:t xml:space="preserve"> </w:t>
      </w:r>
      <w:r>
        <w:rPr>
          <w:rStyle w:val="VerbatimChar"/>
        </w:rPr>
        <w:t xml:space="preserve">paper/</w:t>
      </w:r>
      <w:r>
        <w:t xml:space="preserve"> </w:t>
      </w:r>
      <w:r>
        <w:t xml:space="preserve">directory of the repository.</w:t>
      </w:r>
    </w:p>
    <w:bookmarkEnd w:id="30"/>
    <w:bookmarkStart w:id="31"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t xml:space="preserve"> </w:t>
      </w:r>
      <w:r>
        <w:t xml:space="preserve">(Huynh-Thu et al. 2010)</w:t>
      </w:r>
      <w:r>
        <w:t xml:space="preserve">, MAGIC</w:t>
      </w:r>
      <w:r>
        <w:t xml:space="preserve"> </w:t>
      </w:r>
      <w:r>
        <w:t xml:space="preserve">(Dijk et al. 2018)</w:t>
      </w:r>
      <w:r>
        <w:t xml:space="preserve"> </w:t>
      </w:r>
      <w:r>
        <w:t xml:space="preserve">and kNN-smoothing</w:t>
      </w:r>
      <w:r>
        <w:t xml:space="preserve"> </w:t>
      </w:r>
      <w:r>
        <w:t xml:space="preserve">(Wagner et al. 2018)</w:t>
      </w:r>
      <w:r>
        <w:t xml:space="preserve">. The test suite (Aqua quality checks and statistical tests) runs under GitHub Actions on Julia 1.10 and the latest release.</w:t>
      </w:r>
    </w:p>
    <w:bookmarkEnd w:id="31"/>
    <w:bookmarkEnd w:id="32"/>
    <w:bookmarkStart w:id="57" w:name="figure-legends"/>
    <w:p>
      <w:pPr>
        <w:pStyle w:val="Heading1"/>
      </w:pPr>
      <w:r>
        <w:t xml:space="preserve">Figure legends</w:t>
      </w:r>
    </w:p>
    <w:p>
      <w:pPr>
        <w:pStyle w:val="FirstParagraph"/>
      </w:pPr>
      <w:r>
        <w:drawing>
          <wp:inline>
            <wp:extent cx="5334000" cy="4396945"/>
            <wp:effectExtent b="0" l="0" r="0" t="0"/>
            <wp:docPr descr="" title="" id="34" name="Picture"/>
            <a:graphic>
              <a:graphicData uri="http://schemas.openxmlformats.org/drawingml/2006/picture">
                <pic:pic>
                  <pic:nvPicPr>
                    <pic:cNvPr descr="fig1_framework.png" id="35" name="Picture"/>
                    <pic:cNvPicPr>
                      <a:picLocks noChangeArrowheads="1" noChangeAspect="1"/>
                    </pic:cNvPicPr>
                  </pic:nvPicPr>
                  <pic:blipFill>
                    <a:blip r:embed="rId33"/>
                    <a:stretch>
                      <a:fillRect/>
                    </a:stretch>
                  </pic:blipFill>
                  <pic:spPr bwMode="auto">
                    <a:xfrm>
                      <a:off x="0" y="0"/>
                      <a:ext cx="5334000" cy="4396945"/>
                    </a:xfrm>
                    <a:prstGeom prst="rect">
                      <a:avLst/>
                    </a:prstGeom>
                    <a:noFill/>
                    <a:ln w="9525">
                      <a:noFill/>
                      <a:headEnd/>
                      <a:tailEnd/>
                    </a:ln>
                  </pic:spPr>
                </pic:pic>
              </a:graphicData>
            </a:graphic>
          </wp:inline>
        </w:drawing>
      </w:r>
    </w:p>
    <w:p>
      <w:pPr>
        <w:pStyle w:val="BodyText"/>
      </w:pPr>
      <w:r>
        <w:rPr>
          <w:b/>
          <w:bCs/>
        </w:rPr>
        <w:t xml:space="preserve">Figure 1. The Biomodelling.jl 2.0 framework.</w:t>
      </w:r>
      <w:r>
        <w:t xml:space="preserve"> </w:t>
      </w:r>
      <w:r>
        <w:t xml:space="preserve">(a) Each cell runs the stochastic kinetics of a reaction network (mass-action, Hill or custom propensities, explicit promoter states) at its current volume; volume grows exponentially, genes replicate at a set point of the cycle, and division follows a sizer, adder or timer rule with binomial partitioning of molecules and inheritance of promoter states. (b) Population control (constant size, free growth or logistic), the drug and perturbation layer (dose schedules, state-dependent death, growth inhibition, rate modulation, genetic perturbations) and the lineage table that records every cell’s ancestry, fate and state at birth and division. (c) Observation models (scRNA-seq with capture, depth, dropout and batch effects; smFISH; time-lapse reporters) and outputs (CSV, Newick, AnnData). (d) Downstream uses: lineage statistics, fluctuation tests, clonal memory scores, likelihood-free inference and benchmark generation. (e) A complete example in ten lines of code.</w:t>
      </w:r>
    </w:p>
    <w:p>
      <w:pPr>
        <w:pStyle w:val="BodyText"/>
      </w:pPr>
      <w:r>
        <w:drawing>
          <wp:inline>
            <wp:extent cx="5334000" cy="3314828"/>
            <wp:effectExtent b="0" l="0" r="0" t="0"/>
            <wp:docPr descr="" title="" id="37" name="Picture"/>
            <a:graphic>
              <a:graphicData uri="http://schemas.openxmlformats.org/drawingml/2006/picture">
                <pic:pic>
                  <pic:nvPicPr>
                    <pic:cNvPr descr="fig2_engine.png" id="38" name="Picture"/>
                    <pic:cNvPicPr>
                      <a:picLocks noChangeArrowheads="1" noChangeAspect="1"/>
                    </pic:cNvPicPr>
                  </pic:nvPicPr>
                  <pic:blipFill>
                    <a:blip r:embed="rId36"/>
                    <a:stretch>
                      <a:fillRect/>
                    </a:stretch>
                  </pic:blipFill>
                  <pic:spPr bwMode="auto">
                    <a:xfrm>
                      <a:off x="0" y="0"/>
                      <a:ext cx="5334000" cy="3314828"/>
                    </a:xfrm>
                    <a:prstGeom prst="rect">
                      <a:avLst/>
                    </a:prstGeom>
                    <a:noFill/>
                    <a:ln w="9525">
                      <a:noFill/>
                      <a:headEnd/>
                      <a:tailEnd/>
                    </a:ln>
                  </pic:spPr>
                </pic:pic>
              </a:graphicData>
            </a:graphic>
          </wp:inline>
        </w:drawing>
      </w:r>
    </w:p>
    <w:p>
      <w:pPr>
        <w:pStyle w:val="BodyText"/>
      </w:pPr>
      <w:r>
        <w:rPr>
          <w:b/>
          <w:bCs/>
        </w:rPr>
        <w:t xml:space="preserve">Figure 2. The engine is exact and agrees with an independent implementation.</w:t>
      </w:r>
      <w:r>
        <w:t xml:space="preserve"> </w:t>
      </w:r>
      <w:r>
        <w:t xml:space="preserve">(a) Stationary distribution of a birth-death process (bars: 50 000 simulated cells; line: Poisson). (b) Telegraph model in an intermediate and a bursty regime against the Beta-Poisson law. (c) Bursty protein production against the negative binomial. (d) Kolmogorov-Smirnov distance to the exact law for every kernel (n = 20 000; dotted line: 99% critical value) with wall-clock time per 10⁴ cells. (e) Telegraph model simulated with Biomodelling.jl and with JumpProcesses.jl on the same model; the two-sample KS statistic is below its 99% critical value. (f) Runtime of population simulations against the number of cells (10 genes) and genes (1 000 cells) for the exact and hybrid kernels.</w:t>
      </w:r>
    </w:p>
    <w:p>
      <w:pPr>
        <w:pStyle w:val="BodyText"/>
      </w:pPr>
      <w:r>
        <w:drawing>
          <wp:inline>
            <wp:extent cx="5334000" cy="3956192"/>
            <wp:effectExtent b="0" l="0" r="0" t="0"/>
            <wp:docPr descr="" title="" id="40" name="Picture"/>
            <a:graphic>
              <a:graphicData uri="http://schemas.openxmlformats.org/drawingml/2006/picture">
                <pic:pic>
                  <pic:nvPicPr>
                    <pic:cNvPr descr="fig3_growth.png" id="41" name="Picture"/>
                    <pic:cNvPicPr>
                      <a:picLocks noChangeArrowheads="1" noChangeAspect="1"/>
                    </pic:cNvPicPr>
                  </pic:nvPicPr>
                  <pic:blipFill>
                    <a:blip r:embed="rId39"/>
                    <a:stretch>
                      <a:fillRect/>
                    </a:stretch>
                  </pic:blipFill>
                  <pic:spPr bwMode="auto">
                    <a:xfrm>
                      <a:off x="0" y="0"/>
                      <a:ext cx="5334000" cy="3956192"/>
                    </a:xfrm>
                    <a:prstGeom prst="rect">
                      <a:avLst/>
                    </a:prstGeom>
                    <a:noFill/>
                    <a:ln w="9525">
                      <a:noFill/>
                      <a:headEnd/>
                      <a:tailEnd/>
                    </a:ln>
                  </pic:spPr>
                </pic:pic>
              </a:graphicData>
            </a:graphic>
          </wp:inline>
        </w:drawing>
      </w:r>
    </w:p>
    <w:p>
      <w:pPr>
        <w:pStyle w:val="BodyText"/>
      </w:pPr>
      <w:r>
        <w:rPr>
          <w:b/>
          <w:bCs/>
        </w:rPr>
        <w:t xml:space="preserve">Figure 3. Growth, division and partitioning generate memory, size scaling and cell-cycle effects.</w:t>
      </w:r>
      <w:r>
        <w:t xml:space="preserve"> </w:t>
      </w:r>
      <w:r>
        <w:t xml:space="preserve">(a) A single lineage: volume, mRNA and protein of a slowly switching gene, with the promoter-on state shaded. (b) mRNA count against cell volume for a fast-switching gene without replication (points, line: mean concentration × V) and with gene replication at mid-cycle (binned means). (c) Correlation of protein concentration at division between mothers and daughters, sisters and cousins as a function of the promoter switching rate; dotted: one over the cell-cycle time. (d) Memory timescale in time units against the measured cell-cycle time for two switching rates; dotted lines: 1/(k_on + k_off). (e) Coefficient of variation squared of a stable protein’s concentration across the population and along single lineages, for increasing partitioning noise and cell-cycle-time noise. (f) Telegraph parameters fitted to cells before replication (one gene copy), after replication (two copies) and pooled; dotted: per-allele values.</w:t>
      </w:r>
    </w:p>
    <w:p>
      <w:pPr>
        <w:pStyle w:val="BodyText"/>
      </w:pPr>
      <w:r>
        <w:drawing>
          <wp:inline>
            <wp:extent cx="5334000" cy="4868794"/>
            <wp:effectExtent b="0" l="0" r="0" t="0"/>
            <wp:docPr descr="" title="" id="43" name="Picture"/>
            <a:graphic>
              <a:graphicData uri="http://schemas.openxmlformats.org/drawingml/2006/picture">
                <pic:pic>
                  <pic:nvPicPr>
                    <pic:cNvPr descr="fig4_persisters.png" id="44" name="Picture"/>
                    <pic:cNvPicPr>
                      <a:picLocks noChangeArrowheads="1" noChangeAspect="1"/>
                    </pic:cNvPicPr>
                  </pic:nvPicPr>
                  <pic:blipFill>
                    <a:blip r:embed="rId42"/>
                    <a:stretch>
                      <a:fillRect/>
                    </a:stretch>
                  </pic:blipFill>
                  <pic:spPr bwMode="auto">
                    <a:xfrm>
                      <a:off x="0" y="0"/>
                      <a:ext cx="5334000" cy="4868794"/>
                    </a:xfrm>
                    <a:prstGeom prst="rect">
                      <a:avLst/>
                    </a:prstGeom>
                    <a:noFill/>
                    <a:ln w="9525">
                      <a:noFill/>
                      <a:headEnd/>
                      <a:tailEnd/>
                    </a:ln>
                  </pic:spPr>
                </pic:pic>
              </a:graphicData>
            </a:graphic>
          </wp:inline>
        </w:drawing>
      </w:r>
    </w:p>
    <w:p>
      <w:pPr>
        <w:pStyle w:val="BodyText"/>
      </w:pPr>
      <w:r>
        <w:rPr>
          <w:b/>
          <w:bCs/>
        </w:rPr>
        <w:t xml:space="preserve">Figure 4. A single resistance gene with slow promoter switching reproduces persister biology.</w:t>
      </w:r>
      <w:r>
        <w:t xml:space="preserve"> </w:t>
      </w:r>
      <w:r>
        <w:t xml:space="preserve">(a) Population size under continuous, pulsed and reduced-dose schedules (shading: drug present). (b) Kill curves at increasing dose. (c) Net population decay rate over the first 30 time units of treatment against dose, with the mean division time of cells born under drug (inset), which is unchanged. (d)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 (e) Effective number of clones (barcodes) before and after drug for pre-existing and drug-induced tolerance (mean ± s.d. of three seeds). (f) Surviving clones after drug without memory disruption, with promoter switching accelerated 20-fold from two cell-cycle times before the drug until the drug arrives, and with the acceleration maintained during exposure (mean ± s.d. of five seeds). (g) Fraction of high-expressing cells before, during and after a drug pulse for slow and fast switching (MGMT-like phenotypic selection). (h) Net population growth rate over a 200-time-unit course as a function of release period (time units without drug between 20-time-unit exposures) and dose, for pre-existing tolerance without and with a fitness cost of the resistant state and for drug-induced tolerance; the box marks the most effective schedule.</w:t>
      </w:r>
    </w:p>
    <w:p>
      <w:pPr>
        <w:pStyle w:val="BodyText"/>
      </w:pPr>
      <w:r>
        <w:drawing>
          <wp:inline>
            <wp:extent cx="5334000" cy="3805927"/>
            <wp:effectExtent b="0" l="0" r="0" t="0"/>
            <wp:docPr descr="" title="" id="46" name="Picture"/>
            <a:graphic>
              <a:graphicData uri="http://schemas.openxmlformats.org/drawingml/2006/picture">
                <pic:pic>
                  <pic:nvPicPr>
                    <pic:cNvPr descr="fig5_benchmarks.png" id="47" name="Picture"/>
                    <pic:cNvPicPr>
                      <a:picLocks noChangeArrowheads="1" noChangeAspect="1"/>
                    </pic:cNvPicPr>
                  </pic:nvPicPr>
                  <pic:blipFill>
                    <a:blip r:embed="rId45"/>
                    <a:stretch>
                      <a:fillRect/>
                    </a:stretch>
                  </pic:blipFill>
                  <pic:spPr bwMode="auto">
                    <a:xfrm>
                      <a:off x="0" y="0"/>
                      <a:ext cx="5334000" cy="3805927"/>
                    </a:xfrm>
                    <a:prstGeom prst="rect">
                      <a:avLst/>
                    </a:prstGeom>
                    <a:noFill/>
                    <a:ln w="9525">
                      <a:noFill/>
                      <a:headEnd/>
                      <a:tailEnd/>
                    </a:ln>
                  </pic:spPr>
                </pic:pic>
              </a:graphicData>
            </a:graphic>
          </wp:inline>
        </w:drawing>
      </w:r>
    </w:p>
    <w:p>
      <w:pPr>
        <w:pStyle w:val="BodyText"/>
      </w:pPr>
      <w:r>
        <w:rPr>
          <w:b/>
          <w:bCs/>
        </w:rPr>
        <w:t xml:space="preserve">Figure 5. Ground-truth benchmarks.</w:t>
      </w:r>
      <w:r>
        <w:t xml:space="preserve"> </w:t>
      </w:r>
      <w:r>
        <w:t xml:space="preserve">(a) Clonal variance score against the known memory time of 40 independent genes, from true concentrations and from sequenced counts; dotted: cell-cycle time. (b)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random ranking. (c) Effect of kNN-smoothing and MAGIC imputation before inference. (d) Coefficient of determination of predicted log₂ fold changes after knocking down the five most connected regulators, for a no-change baseline and for propagation of observational correlations.</w:t>
      </w:r>
    </w:p>
    <w:p>
      <w:pPr>
        <w:pStyle w:val="BodyText"/>
      </w:pPr>
      <w:r>
        <w:drawing>
          <wp:inline>
            <wp:extent cx="5334000" cy="3406844"/>
            <wp:effectExtent b="0" l="0" r="0" t="0"/>
            <wp:docPr descr="" title="" id="49" name="Picture"/>
            <a:graphic>
              <a:graphicData uri="http://schemas.openxmlformats.org/drawingml/2006/picture">
                <pic:pic>
                  <pic:nvPicPr>
                    <pic:cNvPr descr="fig6_inference.png" id="50" name="Picture"/>
                    <pic:cNvPicPr>
                      <a:picLocks noChangeArrowheads="1" noChangeAspect="1"/>
                    </pic:cNvPicPr>
                  </pic:nvPicPr>
                  <pic:blipFill>
                    <a:blip r:embed="rId48"/>
                    <a:stretch>
                      <a:fillRect/>
                    </a:stretch>
                  </pic:blipFill>
                  <pic:spPr bwMode="auto">
                    <a:xfrm>
                      <a:off x="0" y="0"/>
                      <a:ext cx="5334000" cy="3406844"/>
                    </a:xfrm>
                    <a:prstGeom prst="rect">
                      <a:avLst/>
                    </a:prstGeom>
                    <a:noFill/>
                    <a:ln w="9525">
                      <a:noFill/>
                      <a:headEnd/>
                      <a:tailEnd/>
                    </a:ln>
                  </pic:spPr>
                </pic:pic>
              </a:graphicData>
            </a:graphic>
          </wp:inline>
        </w:drawing>
      </w:r>
    </w:p>
    <w:p>
      <w:pPr>
        <w:pStyle w:val="BodyText"/>
      </w:pPr>
      <w:r>
        <w:rPr>
          <w:b/>
          <w:bCs/>
        </w:rPr>
        <w:t xml:space="preserve">Figure 6. Inference with the forward model.</w:t>
      </w:r>
      <w:r>
        <w:t xml:space="preserve"> </w:t>
      </w:r>
      <w:r>
        <w:t xml:space="preserve">(a) Posterior distributions of telegraph parameters from ABC-SMC on a snapshot of non-dividing cells, with the truth and the exact maximum-likelihood estimate. (b) The same for a snapshot of a growing and dividing population: the naive telegraph fit is biased while division-aware ABC recovers the truth. (c) Posterior particles for the maximal death rate and the protection threshold inferred from a kill curve and sister fate concordance: the two parameters trade off along a ridge that contains the truth. (d) Posterior predictive kill curves simulated at the posterior median against the observed curve.</w:t>
      </w:r>
    </w:p>
    <w:p>
      <w:pPr>
        <w:pStyle w:val="BodyText"/>
      </w:pPr>
      <w:r>
        <w:drawing>
          <wp:inline>
            <wp:extent cx="5334000" cy="3715109"/>
            <wp:effectExtent b="0" l="0" r="0" t="0"/>
            <wp:docPr descr="" title="" id="52" name="Picture"/>
            <a:graphic>
              <a:graphicData uri="http://schemas.openxmlformats.org/drawingml/2006/picture">
                <pic:pic>
                  <pic:nvPicPr>
                    <pic:cNvPr descr="fig7_calibration.png" id="53" name="Picture"/>
                    <pic:cNvPicPr>
                      <a:picLocks noChangeArrowheads="1" noChangeAspect="1"/>
                    </pic:cNvPicPr>
                  </pic:nvPicPr>
                  <pic:blipFill>
                    <a:blip r:embed="rId51"/>
                    <a:stretch>
                      <a:fillRect/>
                    </a:stretch>
                  </pic:blipFill>
                  <pic:spPr bwMode="auto">
                    <a:xfrm>
                      <a:off x="0" y="0"/>
                      <a:ext cx="5334000" cy="3715109"/>
                    </a:xfrm>
                    <a:prstGeom prst="rect">
                      <a:avLst/>
                    </a:prstGeom>
                    <a:noFill/>
                    <a:ln w="9525">
                      <a:noFill/>
                      <a:headEnd/>
                      <a:tailEnd/>
                    </a:ln>
                  </pic:spPr>
                </pic:pic>
              </a:graphicData>
            </a:graphic>
          </wp:inline>
        </w:drawing>
      </w:r>
    </w:p>
    <w:p>
      <w:pPr>
        <w:pStyle w:val="BodyText"/>
      </w:pPr>
      <w:r>
        <w:rPr>
          <w:b/>
          <w:bCs/>
        </w:rPr>
        <w:t xml:space="preserve">Figure 7. Calibration to laboratory time-lapse data and validation on held-out conditions.</w:t>
      </w:r>
      <w:r>
        <w:t xml:space="preserve"> </w:t>
      </w:r>
      <w:r>
        <w:t xml:space="preserve">(a) Fates over 72 h of cisplatin of U2OS cells present at drug addition, observed by time-lapse microscopy</w:t>
      </w:r>
      <w:r>
        <w:t xml:space="preserve"> </w:t>
      </w:r>
      <w:r>
        <w:t xml:space="preserve">(Iyer et al. 2025)</w:t>
      </w:r>
      <w:r>
        <w:t xml:space="preserve"> </w:t>
      </w:r>
      <w:r>
        <w:t xml:space="preserve">(grey) and simulated by the calibrated model (colours; mean ± s.d. of four seeds); the model was calibrated on 7 and 13 µM and the 10 µM condition is predicted. (b) Predicted population size at the three concentrations and at 11.5 µM, from two days before the drug to seven days of exposure. (c) Correlation of death fates between sisters, first, second and third cousins present at drug addition, and between unrelated cells (mean ± s.d. of three seeds), against the observation that correlations extend to second but not third cousins. (d) Mean time to death of cells present at drug addition, and mean division time where at least 20 cells born under drug divided, against concentration (mean ± s.d. of four seeds). (e) Calibration landscape: every parameter set evaluated by the optimiser, coloured by its distance to the training data. (f) Calibrated parameters.</w:t>
      </w:r>
    </w:p>
    <w:p>
      <w:pPr>
        <w:pStyle w:val="BodyText"/>
      </w:pPr>
      <w:r>
        <w:drawing>
          <wp:inline>
            <wp:extent cx="5334000" cy="5481448"/>
            <wp:effectExtent b="0" l="0" r="0" t="0"/>
            <wp:docPr descr="" title="" id="55" name="Picture"/>
            <a:graphic>
              <a:graphicData uri="http://schemas.openxmlformats.org/drawingml/2006/picture">
                <pic:pic>
                  <pic:nvPicPr>
                    <pic:cNvPr descr="fig8_schedules.png" id="56" name="Picture"/>
                    <pic:cNvPicPr>
                      <a:picLocks noChangeArrowheads="1" noChangeAspect="1"/>
                    </pic:cNvPicPr>
                  </pic:nvPicPr>
                  <pic:blipFill>
                    <a:blip r:embed="rId54"/>
                    <a:stretch>
                      <a:fillRect/>
                    </a:stretch>
                  </pic:blipFill>
                  <pic:spPr bwMode="auto">
                    <a:xfrm>
                      <a:off x="0" y="0"/>
                      <a:ext cx="5334000" cy="5481448"/>
                    </a:xfrm>
                    <a:prstGeom prst="rect">
                      <a:avLst/>
                    </a:prstGeom>
                    <a:noFill/>
                    <a:ln w="9525">
                      <a:noFill/>
                      <a:headEnd/>
                      <a:tailEnd/>
                    </a:ln>
                  </pic:spPr>
                </pic:pic>
              </a:graphicData>
            </a:graphic>
          </wp:inline>
        </w:drawing>
      </w:r>
    </w:p>
    <w:p>
      <w:pPr>
        <w:pStyle w:val="BodyText"/>
      </w:pPr>
      <w:r>
        <w:rPr>
          <w:b/>
          <w:bCs/>
        </w:rPr>
        <w:t xml:space="preserve">Figure 8. Dose and schedule optimisation against clinical regimens.</w:t>
      </w:r>
      <w:r>
        <w:t xml:space="preserve"> </w:t>
      </w:r>
      <w:r>
        <w:t xml:space="preserve">(a-c)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(a), when resistant cells grow 50% slower in the absence of drug (b), and when resistant cells are only partly protected and grow at half speed under drug (c); dotted line: 120% of the initial size. (d) Weeks after randomisation until the population exceeds 120% of its pre-treatment size (loss of control; mean ± s.d. of four seeds, censored at 52 weeks). (e) The same end point over intermittent schedules of given period and fraction of time on drug after the lead-in, for every schedule evaluated by the optimiser (star: best), for the three mechanisms. (f) Population size under the standard (5 of 28 days) and dose-dense (21 of 28 days) temozolomide regimens of the RTOG 0525 trial and a 21-day regimen at the standard cumulative dose, with one-compartment pharmacokinetics (elimination half-life 2.1 h) and consumption of MGMT by the drug, for populations in which 1% (methylated promoter, solid) or 30% (unmethylated, dashed) of cells express MGMT. (g) Depth of response over six cycles for the three regimens, the two populations and MGMT either stable or consumed by the drug (mean ± s.d. of two seeds). (h) Final population size against the number of dosing days per 28-day cycle at the standard cumulative dose.</w:t>
      </w:r>
    </w:p>
    <w:bookmarkEnd w:id="57"/>
    <w:bookmarkStart w:id="58" w:name="data-and-code-availability"/>
    <w:p>
      <w:pPr>
        <w:pStyle w:val="Heading1"/>
      </w:pPr>
      <w:r>
        <w:t xml:space="preserve">Data and code availability</w:t>
      </w:r>
    </w:p>
    <w:p>
      <w:pPr>
        <w:pStyle w:val="FirstParagraph"/>
      </w:pPr>
      <w:r>
        <w:t xml:space="preserve">Biomodelling.jl 2.0 is available under the MIT license at https://github.com/ayoublasri/Biomodelling.jl. The laboratory and clinical reference values used for calibration are transcribed, with provenance, in the</w:t>
      </w:r>
      <w:r>
        <w:t xml:space="preserve"> </w:t>
      </w:r>
      <w:r>
        <w:rPr>
          <w:rStyle w:val="VerbatimChar"/>
        </w:rPr>
        <w:t xml:space="preserve">paper/data/</w:t>
      </w:r>
      <w:r>
        <w:t xml:space="preserve"> </w:t>
      </w:r>
      <w:r>
        <w:t xml:space="preserve">directory of the repository. All other data in this article are synthetic and are regenerated, with fixed seeds, by the scripts in the</w:t>
      </w:r>
      <w:r>
        <w:t xml:space="preserve"> </w:t>
      </w:r>
      <w:r>
        <w:rPr>
          <w:rStyle w:val="VerbatimChar"/>
        </w:rPr>
        <w:t xml:space="preserve">paper/</w:t>
      </w:r>
      <w:r>
        <w:t xml:space="preserve"> </w:t>
      </w:r>
      <w:r>
        <w:t xml:space="preserve">directory of the repository (</w:t>
      </w:r>
      <w:r>
        <w:rPr>
          <w:rStyle w:val="VerbatimChar"/>
        </w:rPr>
        <w:t xml:space="preserve">julia paper/run_all.jl</w:t>
      </w:r>
      <w:r>
        <w:t xml:space="preserve"> </w:t>
      </w:r>
      <w:r>
        <w:t xml:space="preserve">followed by</w:t>
      </w:r>
      <w:r>
        <w:t xml:space="preserve"> </w:t>
      </w:r>
      <w:r>
        <w:rPr>
          <w:rStyle w:val="VerbatimChar"/>
        </w:rPr>
        <w:t xml:space="preserve">python paper/plot_all.py</w:t>
      </w:r>
      <w:r>
        <w:t xml:space="preserve">); the generated tables are archived with the release.</w:t>
      </w:r>
    </w:p>
    <w:bookmarkEnd w:id="58"/>
    <w:bookmarkStart w:id="59" w:name="author-contributions"/>
    <w:p>
      <w:pPr>
        <w:pStyle w:val="Heading1"/>
      </w:pPr>
      <w:r>
        <w:t xml:space="preserve">Author contributions</w:t>
      </w:r>
    </w:p>
    <w:p>
      <w:pPr>
        <w:pStyle w:val="FirstParagraph"/>
      </w:pPr>
      <w:r>
        <w:t xml:space="preserve">A.L. and M.S. conceived the project. [To be completed.]</w:t>
      </w:r>
    </w:p>
    <w:bookmarkEnd w:id="59"/>
    <w:bookmarkStart w:id="60" w:name="competing-interests"/>
    <w:p>
      <w:pPr>
        <w:pStyle w:val="Heading1"/>
      </w:pPr>
      <w:r>
        <w:t xml:space="preserve">Competing interests</w:t>
      </w:r>
    </w:p>
    <w:p>
      <w:pPr>
        <w:pStyle w:val="FirstParagraph"/>
      </w:pPr>
      <w:r>
        <w:t xml:space="preserve">The authors declare no competing interests.</w:t>
      </w:r>
    </w:p>
    <w:bookmarkEnd w:id="60"/>
    <w:bookmarkStart w:id="61" w:name="funding"/>
    <w:p>
      <w:pPr>
        <w:pStyle w:val="Heading1"/>
      </w:pPr>
      <w:r>
        <w:t xml:space="preserve">Funding</w:t>
      </w:r>
    </w:p>
    <w:p>
      <w:pPr>
        <w:pStyle w:val="FirstParagraph"/>
      </w:pPr>
      <w:r>
        <w:t xml:space="preserve">[To be completed.]</w:t>
      </w:r>
    </w:p>
    <w:bookmarkEnd w:id="61"/>
    <w:bookmarkStart w:id="143" w:name="references"/>
    <w:p>
      <w:pPr>
        <w:pStyle w:val="Heading1"/>
      </w:pPr>
      <w:r>
        <w:t xml:space="preserve">References</w:t>
      </w:r>
    </w:p>
    <w:bookmarkStart w:id="142" w:name="refs"/>
    <w:bookmarkStart w:id="63" w:name="ref-ahlmanneltze2025"/>
    <w:p>
      <w:pPr>
        <w:pStyle w:val="Bibliography"/>
      </w:pPr>
      <w:r>
        <w:t xml:space="preserve">Ahlmann-Eltze, Constantin, Wolfgang Huber, and Simon Anders. 2025.</w:t>
      </w:r>
      <w:r>
        <w:t xml:space="preserve"> </w:t>
      </w:r>
      <w:r>
        <w:t xml:space="preserve">“Deep-Learning-Based Gene Perturbation Effect Prediction Does Not yet Outperform Simple Linear Baselines.”</w:t>
      </w:r>
      <w:r>
        <w:t xml:space="preserve"> </w:t>
      </w:r>
      <w:r>
        <w:rPr>
          <w:i/>
          <w:iCs/>
        </w:rPr>
        <w:t xml:space="preserve">Nature Methods</w:t>
      </w:r>
      <w:r>
        <w:t xml:space="preserve"> </w:t>
      </w:r>
      <w:r>
        <w:t xml:space="preserve">22.</w:t>
      </w:r>
      <w:r>
        <w:t xml:space="preserve"> </w:t>
      </w:r>
      <w:hyperlink r:id="rId62">
        <w:r>
          <w:rPr>
            <w:rStyle w:val="Hyperlink"/>
          </w:rPr>
          <w:t xml:space="preserve">https://doi.org/10.1038/s41592-025-02772-6</w:t>
        </w:r>
      </w:hyperlink>
      <w:r>
        <w:t xml:space="preserve">.</w:t>
      </w:r>
    </w:p>
    <w:bookmarkEnd w:id="63"/>
    <w:bookmarkStart w:id="65" w:name="ref-algazi2020"/>
    <w:p>
      <w:pPr>
        <w:pStyle w:val="Bibliography"/>
      </w:pPr>
      <w:r>
        <w:t xml:space="preserve">Algazi, Alain P., Megan Othus, Adil I. Daud, et al. 2020.</w:t>
      </w:r>
      <w:r>
        <w:t xml:space="preserve"> </w:t>
      </w:r>
      <w:r>
        <w:t xml:space="preserve">“Continuous Versus Intermittent</w:t>
      </w:r>
      <w:r>
        <w:t xml:space="preserve"> </w:t>
      </w:r>
      <w:r>
        <w:t xml:space="preserve">BRAF</w:t>
      </w:r>
      <w:r>
        <w:t xml:space="preserve"> </w:t>
      </w:r>
      <w:r>
        <w:t xml:space="preserve">and</w:t>
      </w:r>
      <w:r>
        <w:t xml:space="preserve"> </w:t>
      </w:r>
      <w:r>
        <w:t xml:space="preserve">MEK</w:t>
      </w:r>
      <w:r>
        <w:t xml:space="preserve"> </w:t>
      </w:r>
      <w:r>
        <w:t xml:space="preserve">Inhibition in Patients with</w:t>
      </w:r>
      <w:r>
        <w:t xml:space="preserve"> </w:t>
      </w:r>
      <w:r>
        <w:t xml:space="preserve">BRAF</w:t>
      </w:r>
      <w:r>
        <w:t xml:space="preserve">-Mutated Melanoma: A Randomized Phase 2 Trial.”</w:t>
      </w:r>
      <w:r>
        <w:t xml:space="preserve"> </w:t>
      </w:r>
      <w:r>
        <w:rPr>
          <w:i/>
          <w:iCs/>
        </w:rPr>
        <w:t xml:space="preserve">Nature Medicine</w:t>
      </w:r>
      <w:r>
        <w:t xml:space="preserve"> </w:t>
      </w:r>
      <w:r>
        <w:t xml:space="preserve">26 (10): 1564–68.</w:t>
      </w:r>
      <w:r>
        <w:t xml:space="preserve"> </w:t>
      </w:r>
      <w:hyperlink r:id="rId64">
        <w:r>
          <w:rPr>
            <w:rStyle w:val="Hyperlink"/>
          </w:rPr>
          <w:t xml:space="preserve">https://doi.org/10.1038/s41591-020-1060-8</w:t>
        </w:r>
      </w:hyperlink>
      <w:r>
        <w:t xml:space="preserve">.</w:t>
      </w:r>
    </w:p>
    <w:bookmarkEnd w:id="65"/>
    <w:bookmarkStart w:id="67" w:name="ref-bernton2019"/>
    <w:p>
      <w:pPr>
        <w:pStyle w:val="Bibliography"/>
      </w:pPr>
      <w:r>
        <w:t xml:space="preserve">Bernton, Espen, Pierre E. Jacob, Mathieu Gerber, and Christian P. Robert. 2019.</w:t>
      </w:r>
      <w:r>
        <w:t xml:space="preserve"> </w:t>
      </w:r>
      <w:r>
        <w:t xml:space="preserve">“Approximate</w:t>
      </w:r>
      <w:r>
        <w:t xml:space="preserve"> </w:t>
      </w:r>
      <w:r>
        <w:t xml:space="preserve">Bayesian</w:t>
      </w:r>
      <w:r>
        <w:t xml:space="preserve"> </w:t>
      </w:r>
      <w:r>
        <w:t xml:space="preserve">Computation with the</w:t>
      </w:r>
      <w:r>
        <w:t xml:space="preserve"> </w:t>
      </w:r>
      <w:r>
        <w:t xml:space="preserve">Wasserstein</w:t>
      </w:r>
      <w:r>
        <w:t xml:space="preserve"> </w:t>
      </w:r>
      <w:r>
        <w:t xml:space="preserve">Distance.”</w:t>
      </w:r>
      <w:r>
        <w:t xml:space="preserve"> </w:t>
      </w:r>
      <w:r>
        <w:rPr>
          <w:i/>
          <w:iCs/>
        </w:rPr>
        <w:t xml:space="preserve">Journal of the Royal Statistical Society: Series B</w:t>
      </w:r>
      <w:r>
        <w:t xml:space="preserve"> </w:t>
      </w:r>
      <w:r>
        <w:t xml:space="preserve">81 (2): 235–69.</w:t>
      </w:r>
      <w:r>
        <w:t xml:space="preserve"> </w:t>
      </w:r>
      <w:hyperlink r:id="rId66">
        <w:r>
          <w:rPr>
            <w:rStyle w:val="Hyperlink"/>
          </w:rPr>
          <w:t xml:space="preserve">https://doi.org/10.1111/rssb.12312</w:t>
        </w:r>
      </w:hyperlink>
      <w:r>
        <w:t xml:space="preserve">.</w:t>
      </w:r>
    </w:p>
    <w:bookmarkEnd w:id="67"/>
    <w:bookmarkStart w:id="69" w:name="ref-bertaux2018"/>
    <w:p>
      <w:pPr>
        <w:pStyle w:val="Bibliography"/>
      </w:pPr>
      <w:r>
        <w:t xml:space="preserve">Bertaux, François, Samuel Marguerat, and Vahid Shahrezaei. 2018.</w:t>
      </w:r>
      <w:r>
        <w:t xml:space="preserve"> </w:t>
      </w:r>
      <w:r>
        <w:t xml:space="preserve">“Division Rate, Cell Size and Proteome Allocation: Impact on Gene Expression Noise and Implications for the Dynamics of Genetic Circuits.”</w:t>
      </w:r>
      <w:r>
        <w:t xml:space="preserve"> </w:t>
      </w:r>
      <w:r>
        <w:rPr>
          <w:i/>
          <w:iCs/>
        </w:rPr>
        <w:t xml:space="preserve">Royal Society Open Science</w:t>
      </w:r>
      <w:r>
        <w:t xml:space="preserve"> </w:t>
      </w:r>
      <w:r>
        <w:t xml:space="preserve">5 (3): 172234.</w:t>
      </w:r>
      <w:r>
        <w:t xml:space="preserve"> </w:t>
      </w:r>
      <w:hyperlink r:id="rId68">
        <w:r>
          <w:rPr>
            <w:rStyle w:val="Hyperlink"/>
          </w:rPr>
          <w:t xml:space="preserve">https://doi.org/10.1098/rsos.172234</w:t>
        </w:r>
      </w:hyperlink>
      <w:r>
        <w:t xml:space="preserve">.</w:t>
      </w:r>
    </w:p>
    <w:bookmarkEnd w:id="69"/>
    <w:bookmarkStart w:id="71" w:name="ref-cannoodt2021"/>
    <w:p>
      <w:pPr>
        <w:pStyle w:val="Bibliography"/>
      </w:pPr>
      <w:r>
        <w:t xml:space="preserve">Cannoodt, Robrecht, Wouter Saelens, Louise Deconinck, and Yvan Saeys. 2021.</w:t>
      </w:r>
      <w:r>
        <w:t xml:space="preserve"> </w:t>
      </w:r>
      <w:r>
        <w:t xml:space="preserve">“Spearheading Future Omics Analyses Using Dyngen, a Multi-Modal Simulator of Single Cells.”</w:t>
      </w:r>
      <w:r>
        <w:t xml:space="preserve"> </w:t>
      </w:r>
      <w:r>
        <w:rPr>
          <w:i/>
          <w:iCs/>
        </w:rPr>
        <w:t xml:space="preserve">Nature Communications</w:t>
      </w:r>
      <w:r>
        <w:t xml:space="preserve"> </w:t>
      </w:r>
      <w:r>
        <w:t xml:space="preserve">12: 3942.</w:t>
      </w:r>
      <w:r>
        <w:t xml:space="preserve"> </w:t>
      </w:r>
      <w:hyperlink r:id="rId70">
        <w:r>
          <w:rPr>
            <w:rStyle w:val="Hyperlink"/>
          </w:rPr>
          <w:t xml:space="preserve">https://doi.org/10.1038/s41467-021-24152-2</w:t>
        </w:r>
      </w:hyperlink>
      <w:r>
        <w:t xml:space="preserve">.</w:t>
      </w:r>
    </w:p>
    <w:bookmarkEnd w:id="71"/>
    <w:bookmarkStart w:id="73" w:name="ref-cao2005"/>
    <w:p>
      <w:pPr>
        <w:pStyle w:val="Bibliography"/>
      </w:pPr>
      <w:r>
        <w:t xml:space="preserve">Cao, Yang, Daniel T. Gillespie, and Linda R. Petzold. 2005.</w:t>
      </w:r>
      <w:r>
        <w:t xml:space="preserve"> </w:t>
      </w:r>
      <w:r>
        <w:t xml:space="preserve">“Avoiding Negative Populations in Explicit</w:t>
      </w:r>
      <w:r>
        <w:t xml:space="preserve"> </w:t>
      </w:r>
      <w:r>
        <w:t xml:space="preserve">Poisson</w:t>
      </w:r>
      <w:r>
        <w:t xml:space="preserve"> </w:t>
      </w:r>
      <w:r>
        <w:t xml:space="preserve">Tau-Leaping.”</w:t>
      </w:r>
      <w:r>
        <w:t xml:space="preserve"> </w:t>
      </w:r>
      <w:r>
        <w:rPr>
          <w:i/>
          <w:iCs/>
        </w:rPr>
        <w:t xml:space="preserve">The Journal of Chemical Physics</w:t>
      </w:r>
      <w:r>
        <w:t xml:space="preserve"> </w:t>
      </w:r>
      <w:r>
        <w:t xml:space="preserve">123 (5): 054104.</w:t>
      </w:r>
      <w:r>
        <w:t xml:space="preserve"> </w:t>
      </w:r>
      <w:hyperlink r:id="rId72">
        <w:r>
          <w:rPr>
            <w:rStyle w:val="Hyperlink"/>
          </w:rPr>
          <w:t xml:space="preserve">https://doi.org/10.1063/1.1992473</w:t>
        </w:r>
      </w:hyperlink>
      <w:r>
        <w:t xml:space="preserve">.</w:t>
      </w:r>
    </w:p>
    <w:bookmarkEnd w:id="73"/>
    <w:bookmarkStart w:id="75" w:name="ref-cao2006"/>
    <w:p>
      <w:pPr>
        <w:pStyle w:val="Bibliography"/>
      </w:pPr>
      <w:r>
        <w:t xml:space="preserve">Cao, Yang, Daniel T. Gillespie, and Linda R. Petzold. 2006.</w:t>
      </w:r>
      <w:r>
        <w:t xml:space="preserve"> </w:t>
      </w:r>
      <w:r>
        <w:t xml:space="preserve">“Efficient Step Size Selection for the Tau-Leaping Simulation Method.”</w:t>
      </w:r>
      <w:r>
        <w:t xml:space="preserve"> </w:t>
      </w:r>
      <w:r>
        <w:rPr>
          <w:i/>
          <w:iCs/>
        </w:rPr>
        <w:t xml:space="preserve">The Journal of Chemical Physics</w:t>
      </w:r>
      <w:r>
        <w:t xml:space="preserve"> </w:t>
      </w:r>
      <w:r>
        <w:t xml:space="preserve">124 (4): 044109.</w:t>
      </w:r>
      <w:r>
        <w:t xml:space="preserve"> </w:t>
      </w:r>
      <w:hyperlink r:id="rId74">
        <w:r>
          <w:rPr>
            <w:rStyle w:val="Hyperlink"/>
          </w:rPr>
          <w:t xml:space="preserve">https://doi.org/10.1063/1.2159468</w:t>
        </w:r>
      </w:hyperlink>
      <w:r>
        <w:t xml:space="preserve">.</w:t>
      </w:r>
    </w:p>
    <w:bookmarkEnd w:id="75"/>
    <w:bookmarkStart w:id="77" w:name="ref-corigliano2025"/>
    <w:p>
      <w:pPr>
        <w:pStyle w:val="Bibliography"/>
      </w:pPr>
      <w:r>
        <w:t xml:space="preserve">Corigliano, Mattia, Alessandro Di Bernardo, Marco Cosentino Lagomarsino, and Simone Pompei. 2025.</w:t>
      </w:r>
      <w:r>
        <w:t xml:space="preserve"> </w:t>
      </w:r>
      <w:r>
        <w:t xml:space="preserve">“Optimal Treatment for Drug-Induced Cancer Persisters Involves Release Periods and Intermediate Drug Doses.”</w:t>
      </w:r>
      <w:r>
        <w:t xml:space="preserve"> </w:t>
      </w:r>
      <w:r>
        <w:rPr>
          <w:i/>
          <w:iCs/>
        </w:rPr>
        <w:t xml:space="preserve">PRX Life</w:t>
      </w:r>
      <w:r>
        <w:t xml:space="preserve">, ahead of print.</w:t>
      </w:r>
      <w:r>
        <w:t xml:space="preserve"> </w:t>
      </w:r>
      <w:hyperlink r:id="rId76">
        <w:r>
          <w:rPr>
            <w:rStyle w:val="Hyperlink"/>
          </w:rPr>
          <w:t xml:space="preserve">https://doi.org/10.1103/mh5v-lcyw</w:t>
        </w:r>
      </w:hyperlink>
      <w:r>
        <w:t xml:space="preserve">.</w:t>
      </w:r>
    </w:p>
    <w:bookmarkEnd w:id="77"/>
    <w:bookmarkStart w:id="79" w:name="ref-dasthakur2013"/>
    <w:p>
      <w:pPr>
        <w:pStyle w:val="Bibliography"/>
      </w:pPr>
      <w:r>
        <w:t xml:space="preserve">Das Thakur, Meghna, and Darrin D. Stuart. 2013.</w:t>
      </w:r>
      <w:r>
        <w:t xml:space="preserve"> </w:t>
      </w:r>
      <w:r>
        <w:t xml:space="preserve">“The Evolution of Melanoma Resistance Reveals Therapeutic Opportunities.”</w:t>
      </w:r>
      <w:r>
        <w:t xml:space="preserve"> </w:t>
      </w:r>
      <w:r>
        <w:rPr>
          <w:i/>
          <w:iCs/>
        </w:rPr>
        <w:t xml:space="preserve">Cancer Research</w:t>
      </w:r>
      <w:r>
        <w:t xml:space="preserve"> </w:t>
      </w:r>
      <w:r>
        <w:t xml:space="preserve">73 (20): 6106–10.</w:t>
      </w:r>
      <w:r>
        <w:t xml:space="preserve"> </w:t>
      </w:r>
      <w:hyperlink r:id="rId78">
        <w:r>
          <w:rPr>
            <w:rStyle w:val="Hyperlink"/>
          </w:rPr>
          <w:t xml:space="preserve">https://doi.org/10.1158/0008-5472.CAN-13-1633</w:t>
        </w:r>
      </w:hyperlink>
      <w:r>
        <w:t xml:space="preserve">.</w:t>
      </w:r>
    </w:p>
    <w:bookmarkEnd w:id="79"/>
    <w:bookmarkStart w:id="81" w:name="ref-dibaeinia2026context"/>
    <w:p>
      <w:pPr>
        <w:pStyle w:val="Bibliography"/>
      </w:pPr>
      <w:r>
        <w:t xml:space="preserve">Dibaeinia, Payam, S. Babu, M. Knudson, et al. 2026.</w:t>
      </w:r>
      <w:r>
        <w:t xml:space="preserve"> </w:t>
      </w:r>
      <w:r>
        <w:t xml:space="preserve">“Virtual Cells Need Context, Not Just Scale.”</w:t>
      </w:r>
      <w:r>
        <w:t xml:space="preserve"> </w:t>
      </w:r>
      <w:r>
        <w:rPr>
          <w:i/>
          <w:iCs/>
        </w:rPr>
        <w:t xml:space="preserve">bioRxiv</w:t>
      </w:r>
      <w:r>
        <w:t xml:space="preserve">, ahead of print.</w:t>
      </w:r>
      <w:r>
        <w:t xml:space="preserve"> </w:t>
      </w:r>
      <w:hyperlink r:id="rId80">
        <w:r>
          <w:rPr>
            <w:rStyle w:val="Hyperlink"/>
          </w:rPr>
          <w:t xml:space="preserve">https://doi.org/10.64898/2026.02.04.703804</w:t>
        </w:r>
      </w:hyperlink>
      <w:r>
        <w:t xml:space="preserve">.</w:t>
      </w:r>
    </w:p>
    <w:bookmarkEnd w:id="81"/>
    <w:bookmarkStart w:id="83" w:name="ref-dibaeinia2020"/>
    <w:p>
      <w:pPr>
        <w:pStyle w:val="Bibliography"/>
      </w:pPr>
      <w:r>
        <w:t xml:space="preserve">Dibaeinia, Payam, and Saurabh Sinha. 2020.</w:t>
      </w:r>
      <w:r>
        <w:t xml:space="preserve"> </w:t>
      </w:r>
      <w:r>
        <w:t xml:space="preserve">“</w:t>
      </w:r>
      <w:r>
        <w:t xml:space="preserve">SERGIO</w:t>
      </w:r>
      <w:r>
        <w:t xml:space="preserve">: A Single-Cell Expression Simulator Guided by Gene Regulatory Networks.”</w:t>
      </w:r>
      <w:r>
        <w:t xml:space="preserve"> </w:t>
      </w:r>
      <w:r>
        <w:rPr>
          <w:i/>
          <w:iCs/>
        </w:rPr>
        <w:t xml:space="preserve">Cell Systems</w:t>
      </w:r>
      <w:r>
        <w:t xml:space="preserve"> </w:t>
      </w:r>
      <w:r>
        <w:t xml:space="preserve">11 (3): 252–71.</w:t>
      </w:r>
      <w:r>
        <w:t xml:space="preserve"> </w:t>
      </w:r>
      <w:hyperlink r:id="rId82">
        <w:r>
          <w:rPr>
            <w:rStyle w:val="Hyperlink"/>
          </w:rPr>
          <w:t xml:space="preserve">https://doi.org/10.1016/j.cels.2020.08.003</w:t>
        </w:r>
      </w:hyperlink>
      <w:r>
        <w:t xml:space="preserve">.</w:t>
      </w:r>
    </w:p>
    <w:bookmarkEnd w:id="83"/>
    <w:bookmarkStart w:id="85" w:name="ref-vandijk2018"/>
    <w:p>
      <w:pPr>
        <w:pStyle w:val="Bibliography"/>
      </w:pPr>
      <w:r>
        <w:t xml:space="preserve">Dijk, David van, Roshan Sharma, Juozas Nainys, et al. 2018.</w:t>
      </w:r>
      <w:r>
        <w:t xml:space="preserve"> </w:t>
      </w:r>
      <w:r>
        <w:t xml:space="preserve">“Recovering Gene Interactions from Single-Cell Data Using Data Diffusion.”</w:t>
      </w:r>
      <w:r>
        <w:t xml:space="preserve"> </w:t>
      </w:r>
      <w:r>
        <w:rPr>
          <w:i/>
          <w:iCs/>
        </w:rPr>
        <w:t xml:space="preserve">Cell</w:t>
      </w:r>
      <w:r>
        <w:t xml:space="preserve"> </w:t>
      </w:r>
      <w:r>
        <w:t xml:space="preserve">174 (3): 716–29.</w:t>
      </w:r>
      <w:r>
        <w:t xml:space="preserve"> </w:t>
      </w:r>
      <w:hyperlink r:id="rId84">
        <w:r>
          <w:rPr>
            <w:rStyle w:val="Hyperlink"/>
          </w:rPr>
          <w:t xml:space="preserve">https://doi.org/10.1016/j.cell.2018.05.061</w:t>
        </w:r>
      </w:hyperlink>
      <w:r>
        <w:t xml:space="preserve">.</w:t>
      </w:r>
    </w:p>
    <w:bookmarkEnd w:id="85"/>
    <w:bookmarkStart w:id="87" w:name="ref-friedman2006"/>
    <w:p>
      <w:pPr>
        <w:pStyle w:val="Bibliography"/>
      </w:pPr>
      <w:r>
        <w:t xml:space="preserve">Friedman, Nir, Long Cai, and X. Sunney Xie. 2006.</w:t>
      </w:r>
      <w:r>
        <w:t xml:space="preserve"> </w:t>
      </w:r>
      <w:r>
        <w:t xml:space="preserve">“Linking Stochastic Dynamics to Population Distribution: An Analytical Framework of Gene Expression.”</w:t>
      </w:r>
      <w:r>
        <w:t xml:space="preserve"> </w:t>
      </w:r>
      <w:r>
        <w:rPr>
          <w:i/>
          <w:iCs/>
        </w:rPr>
        <w:t xml:space="preserve">Physical Review Letters</w:t>
      </w:r>
      <w:r>
        <w:t xml:space="preserve"> </w:t>
      </w:r>
      <w:r>
        <w:t xml:space="preserve">97 (16): 168302.</w:t>
      </w:r>
      <w:r>
        <w:t xml:space="preserve"> </w:t>
      </w:r>
      <w:hyperlink r:id="rId86">
        <w:r>
          <w:rPr>
            <w:rStyle w:val="Hyperlink"/>
          </w:rPr>
          <w:t xml:space="preserve">https://doi.org/10.1103/PhysRevLett.97.168302</w:t>
        </w:r>
      </w:hyperlink>
      <w:r>
        <w:t xml:space="preserve">.</w:t>
      </w:r>
    </w:p>
    <w:bookmarkEnd w:id="87"/>
    <w:bookmarkStart w:id="89" w:name="ref-ghosh2025powerseek"/>
    <w:p>
      <w:pPr>
        <w:pStyle w:val="Bibliography"/>
      </w:pPr>
      <w:r>
        <w:t xml:space="preserve">Ghosh, S., Shaon Chakrabarti, and Archishman Raju. 2025.</w:t>
      </w:r>
      <w:r>
        <w:t xml:space="preserve"> </w:t>
      </w:r>
      <w:r>
        <w:t xml:space="preserve">“Identifying Memory Gene Expression from Single Sample</w:t>
      </w:r>
      <w:r>
        <w:t xml:space="preserve"> </w:t>
      </w:r>
      <w:r>
        <w:t xml:space="preserve">scRNA-seq</w:t>
      </w:r>
      <w:r>
        <w:t xml:space="preserve"> </w:t>
      </w:r>
      <w:r>
        <w:t xml:space="preserve">Data Using Power Law Signatures.”</w:t>
      </w:r>
      <w:r>
        <w:t xml:space="preserve"> </w:t>
      </w:r>
      <w:r>
        <w:rPr>
          <w:i/>
          <w:iCs/>
        </w:rPr>
        <w:t xml:space="preserve">bioRxiv</w:t>
      </w:r>
      <w:r>
        <w:t xml:space="preserve">, ahead of print.</w:t>
      </w:r>
      <w:r>
        <w:t xml:space="preserve"> </w:t>
      </w:r>
      <w:hyperlink r:id="rId88">
        <w:r>
          <w:rPr>
            <w:rStyle w:val="Hyperlink"/>
          </w:rPr>
          <w:t xml:space="preserve">https://doi.org/10.1101/2025.01.15.633183</w:t>
        </w:r>
      </w:hyperlink>
      <w:r>
        <w:t xml:space="preserve">.</w:t>
      </w:r>
    </w:p>
    <w:bookmarkEnd w:id="89"/>
    <w:bookmarkStart w:id="91" w:name="ref-gilbert2013"/>
    <w:p>
      <w:pPr>
        <w:pStyle w:val="Bibliography"/>
      </w:pPr>
      <w:r>
        <w:t xml:space="preserve">Gilbert, Mark R., Meihua Wang, Kenneth D. Aldape, et al. 2013.</w:t>
      </w:r>
      <w:r>
        <w:t xml:space="preserve"> </w:t>
      </w:r>
      <w:r>
        <w:t xml:space="preserve">“Dose-Dense Temozolomide for Newly Diagnosed Glioblastoma: A Randomized Phase</w:t>
      </w:r>
      <w:r>
        <w:t xml:space="preserve"> </w:t>
      </w:r>
      <w:r>
        <w:t xml:space="preserve">III</w:t>
      </w:r>
      <w:r>
        <w:t xml:space="preserve"> </w:t>
      </w:r>
      <w:r>
        <w:t xml:space="preserve">Clinical Trial.”</w:t>
      </w:r>
      <w:r>
        <w:t xml:space="preserve"> </w:t>
      </w:r>
      <w:r>
        <w:rPr>
          <w:i/>
          <w:iCs/>
        </w:rPr>
        <w:t xml:space="preserve">Journal of Clinical Oncology</w:t>
      </w:r>
      <w:r>
        <w:t xml:space="preserve"> </w:t>
      </w:r>
      <w:r>
        <w:t xml:space="preserve">31 (32): 4085–91.</w:t>
      </w:r>
      <w:r>
        <w:t xml:space="preserve"> </w:t>
      </w:r>
      <w:hyperlink r:id="rId90">
        <w:r>
          <w:rPr>
            <w:rStyle w:val="Hyperlink"/>
          </w:rPr>
          <w:t xml:space="preserve">https://doi.org/10.1200/JCO.2013.49.6968</w:t>
        </w:r>
      </w:hyperlink>
      <w:r>
        <w:t xml:space="preserve">.</w:t>
      </w:r>
    </w:p>
    <w:bookmarkEnd w:id="91"/>
    <w:bookmarkStart w:id="93" w:name="ref-gillespie1977"/>
    <w:p>
      <w:pPr>
        <w:pStyle w:val="Bibliography"/>
      </w:pPr>
      <w:r>
        <w:t xml:space="preserve">Gillespie, Daniel T. 1977.</w:t>
      </w:r>
      <w:r>
        <w:t xml:space="preserve"> </w:t>
      </w:r>
      <w:r>
        <w:t xml:space="preserve">“Exact Stochastic Simulation of Coupled Chemical Reactions.”</w:t>
      </w:r>
      <w:r>
        <w:t xml:space="preserve"> </w:t>
      </w:r>
      <w:r>
        <w:rPr>
          <w:i/>
          <w:iCs/>
        </w:rPr>
        <w:t xml:space="preserve">The Journal of Physical Chemistry</w:t>
      </w:r>
      <w:r>
        <w:t xml:space="preserve"> </w:t>
      </w:r>
      <w:r>
        <w:t xml:space="preserve">81 (25): 2340–61.</w:t>
      </w:r>
      <w:r>
        <w:t xml:space="preserve"> </w:t>
      </w:r>
      <w:hyperlink r:id="rId92">
        <w:r>
          <w:rPr>
            <w:rStyle w:val="Hyperlink"/>
          </w:rPr>
          <w:t xml:space="preserve">https://doi.org/10.1021/j100540a008</w:t>
        </w:r>
      </w:hyperlink>
      <w:r>
        <w:t xml:space="preserve">.</w:t>
      </w:r>
    </w:p>
    <w:bookmarkEnd w:id="93"/>
    <w:bookmarkStart w:id="95" w:name="ref-gillespie2001"/>
    <w:p>
      <w:pPr>
        <w:pStyle w:val="Bibliography"/>
      </w:pPr>
      <w:r>
        <w:t xml:space="preserve">Gillespie, Daniel T. 2001.</w:t>
      </w:r>
      <w:r>
        <w:t xml:space="preserve"> </w:t>
      </w:r>
      <w:r>
        <w:t xml:space="preserve">“Approximate Accelerated Stochastic Simulation of Chemically Reacting Systems.”</w:t>
      </w:r>
      <w:r>
        <w:t xml:space="preserve"> </w:t>
      </w:r>
      <w:r>
        <w:rPr>
          <w:i/>
          <w:iCs/>
        </w:rPr>
        <w:t xml:space="preserve">The Journal of Chemical Physics</w:t>
      </w:r>
      <w:r>
        <w:t xml:space="preserve"> </w:t>
      </w:r>
      <w:r>
        <w:t xml:space="preserve">115 (4): 1716–33.</w:t>
      </w:r>
      <w:r>
        <w:t xml:space="preserve"> </w:t>
      </w:r>
      <w:hyperlink r:id="rId94">
        <w:r>
          <w:rPr>
            <w:rStyle w:val="Hyperlink"/>
          </w:rPr>
          <w:t xml:space="preserve">https://doi.org/10.1063/1.1378322</w:t>
        </w:r>
      </w:hyperlink>
      <w:r>
        <w:t xml:space="preserve">.</w:t>
      </w:r>
    </w:p>
    <w:bookmarkEnd w:id="95"/>
    <w:bookmarkStart w:id="97" w:name="ref-harmange2023"/>
    <w:p>
      <w:pPr>
        <w:pStyle w:val="Bibliography"/>
      </w:pPr>
      <w:r>
        <w:t xml:space="preserve">Harmange, Guillaume, Raúl A. Reyes Hueros, Dylan L. Schaff, et al. 2023.</w:t>
      </w:r>
      <w:r>
        <w:t xml:space="preserve"> </w:t>
      </w:r>
      <w:r>
        <w:t xml:space="preserve">“Disrupting Cellular Memory to Overcome Drug Resistance.”</w:t>
      </w:r>
      <w:r>
        <w:t xml:space="preserve"> </w:t>
      </w:r>
      <w:r>
        <w:rPr>
          <w:i/>
          <w:iCs/>
        </w:rPr>
        <w:t xml:space="preserve">Nature Communications</w:t>
      </w:r>
      <w:r>
        <w:t xml:space="preserve"> </w:t>
      </w:r>
      <w:r>
        <w:t xml:space="preserve">14: 7130.</w:t>
      </w:r>
      <w:r>
        <w:t xml:space="preserve"> </w:t>
      </w:r>
      <w:hyperlink r:id="rId96">
        <w:r>
          <w:rPr>
            <w:rStyle w:val="Hyperlink"/>
          </w:rPr>
          <w:t xml:space="preserve">https://doi.org/10.1038/s41467-023-41811-8</w:t>
        </w:r>
      </w:hyperlink>
      <w:r>
        <w:t xml:space="preserve">.</w:t>
      </w:r>
    </w:p>
    <w:bookmarkEnd w:id="97"/>
    <w:bookmarkStart w:id="99" w:name="ref-huh2011"/>
    <w:p>
      <w:pPr>
        <w:pStyle w:val="Bibliography"/>
      </w:pPr>
      <w:r>
        <w:t xml:space="preserve">Huh, Dann, and Johan Paulsson. 2011.</w:t>
      </w:r>
      <w:r>
        <w:t xml:space="preserve"> </w:t>
      </w:r>
      <w:r>
        <w:t xml:space="preserve">“Non-Genetic Heterogeneity from Stochastic Partitioning at Cell Division.”</w:t>
      </w:r>
      <w:r>
        <w:t xml:space="preserve"> </w:t>
      </w:r>
      <w:r>
        <w:rPr>
          <w:i/>
          <w:iCs/>
        </w:rPr>
        <w:t xml:space="preserve">Nature Genetics</w:t>
      </w:r>
      <w:r>
        <w:t xml:space="preserve"> </w:t>
      </w:r>
      <w:r>
        <w:t xml:space="preserve">43 (2): 95–100.</w:t>
      </w:r>
      <w:r>
        <w:t xml:space="preserve"> </w:t>
      </w:r>
      <w:hyperlink r:id="rId98">
        <w:r>
          <w:rPr>
            <w:rStyle w:val="Hyperlink"/>
          </w:rPr>
          <w:t xml:space="preserve">https://doi.org/10.1038/ng.729</w:t>
        </w:r>
      </w:hyperlink>
      <w:r>
        <w:t xml:space="preserve">.</w:t>
      </w:r>
    </w:p>
    <w:bookmarkEnd w:id="99"/>
    <w:bookmarkStart w:id="101" w:name="ref-huynhthu2010"/>
    <w:p>
      <w:pPr>
        <w:pStyle w:val="Bibliography"/>
      </w:pPr>
      <w:r>
        <w:t xml:space="preserve">Huynh-Thu, Vân Anh, Alexandre Irrthum, Louis Wehenkel, and Pierre Geurts. 2010.</w:t>
      </w:r>
      <w:r>
        <w:t xml:space="preserve"> </w:t>
      </w:r>
      <w:r>
        <w:t xml:space="preserve">“Inferring Regulatory Networks from Expression Data Using Tree-Based Methods.”</w:t>
      </w:r>
      <w:r>
        <w:t xml:space="preserve"> </w:t>
      </w:r>
      <w:r>
        <w:rPr>
          <w:i/>
          <w:iCs/>
        </w:rPr>
        <w:t xml:space="preserve">PLoS ONE</w:t>
      </w:r>
      <w:r>
        <w:t xml:space="preserve"> </w:t>
      </w:r>
      <w:r>
        <w:t xml:space="preserve">5 (9): e12776.</w:t>
      </w:r>
      <w:r>
        <w:t xml:space="preserve"> </w:t>
      </w:r>
      <w:hyperlink r:id="rId100">
        <w:r>
          <w:rPr>
            <w:rStyle w:val="Hyperlink"/>
          </w:rPr>
          <w:t xml:space="preserve">https://doi.org/10.1371/journal.pone.0012776</w:t>
        </w:r>
      </w:hyperlink>
      <w:r>
        <w:t xml:space="preserve">.</w:t>
      </w:r>
    </w:p>
    <w:bookmarkEnd w:id="101"/>
    <w:bookmarkStart w:id="103" w:name="ref-iyer2025"/>
    <w:p>
      <w:pPr>
        <w:pStyle w:val="Bibliography"/>
      </w:pPr>
      <w:r>
        <w:t xml:space="preserve">Iyer, Anton, Adrian Alva, Adrián E. Granada, and Shaon Chakrabarti. 2025.</w:t>
      </w:r>
      <w:r>
        <w:t xml:space="preserve"> </w:t>
      </w:r>
      <w:r>
        <w:t xml:space="preserve">“Inheritable Cell-States Shape Drug-Persister Correlations and Population Dynamics in Cancer Cells.”</w:t>
      </w:r>
      <w:r>
        <w:t xml:space="preserve"> </w:t>
      </w:r>
      <w:r>
        <w:rPr>
          <w:i/>
          <w:iCs/>
        </w:rPr>
        <w:t xml:space="preserve">PLoS Computational Biology</w:t>
      </w:r>
      <w:r>
        <w:t xml:space="preserve"> </w:t>
      </w:r>
      <w:r>
        <w:t xml:space="preserve">21 (9): e1013446.</w:t>
      </w:r>
      <w:r>
        <w:t xml:space="preserve"> </w:t>
      </w:r>
      <w:hyperlink r:id="rId102">
        <w:r>
          <w:rPr>
            <w:rStyle w:val="Hyperlink"/>
          </w:rPr>
          <w:t xml:space="preserve">https://doi.org/10.1371/journal.pcbi.1013446</w:t>
        </w:r>
      </w:hyperlink>
      <w:r>
        <w:t xml:space="preserve">.</w:t>
      </w:r>
    </w:p>
    <w:bookmarkEnd w:id="103"/>
    <w:bookmarkStart w:id="105" w:name="ref-lasri2020"/>
    <w:p>
      <w:pPr>
        <w:pStyle w:val="Bibliography"/>
      </w:pPr>
      <w:r>
        <w:t xml:space="preserve">Lasri, Ayoub, Viktorija Juric, Maité Verreault, et al. 2020.</w:t>
      </w:r>
      <w:r>
        <w:t xml:space="preserve"> </w:t>
      </w:r>
      <w:r>
        <w:t xml:space="preserve">“Phenotypic Selection Through Cell Death: Stochastic Modelling of</w:t>
      </w:r>
      <w:r>
        <w:t xml:space="preserve"> </w:t>
      </w:r>
      <w:r>
        <w:t xml:space="preserve">O</w:t>
      </w:r>
      <w:r>
        <w:t xml:space="preserve">-6-Methylguanine-</w:t>
      </w:r>
      <w:r>
        <w:t xml:space="preserve">DNA</w:t>
      </w:r>
      <w:r>
        <w:t xml:space="preserve"> </w:t>
      </w:r>
      <w:r>
        <w:t xml:space="preserve">Methyltransferase Dynamics.”</w:t>
      </w:r>
      <w:r>
        <w:t xml:space="preserve"> </w:t>
      </w:r>
      <w:r>
        <w:rPr>
          <w:i/>
          <w:iCs/>
        </w:rPr>
        <w:t xml:space="preserve">Royal Society Open Science</w:t>
      </w:r>
      <w:r>
        <w:t xml:space="preserve"> </w:t>
      </w:r>
      <w:r>
        <w:t xml:space="preserve">7 (7): 191243.</w:t>
      </w:r>
      <w:r>
        <w:t xml:space="preserve"> </w:t>
      </w:r>
      <w:hyperlink r:id="rId104">
        <w:r>
          <w:rPr>
            <w:rStyle w:val="Hyperlink"/>
          </w:rPr>
          <w:t xml:space="preserve">https://doi.org/10.1098/rsos.191243</w:t>
        </w:r>
      </w:hyperlink>
      <w:r>
        <w:t xml:space="preserve">.</w:t>
      </w:r>
    </w:p>
    <w:bookmarkEnd w:id="105"/>
    <w:bookmarkStart w:id="107" w:name="ref-lasri2022"/>
    <w:p>
      <w:pPr>
        <w:pStyle w:val="Bibliography"/>
      </w:pPr>
      <w:r>
        <w:t xml:space="preserve">Lasri, Ayoub, Vahid Shahrezaei, and Marc Sturrock. 2022.</w:t>
      </w:r>
      <w:r>
        <w:t xml:space="preserve"> </w:t>
      </w:r>
      <w:r>
        <w:t xml:space="preserve">“Benchmarking Imputation Methods for Network Inference Using a Novel Method of Synthetic</w:t>
      </w:r>
      <w:r>
        <w:t xml:space="preserve"> </w:t>
      </w:r>
      <w:r>
        <w:t xml:space="preserve">scRNA-seq</w:t>
      </w:r>
      <w:r>
        <w:t xml:space="preserve"> </w:t>
      </w:r>
      <w:r>
        <w:t xml:space="preserve">Data Generation.”</w:t>
      </w:r>
      <w:r>
        <w:t xml:space="preserve"> </w:t>
      </w:r>
      <w:r>
        <w:rPr>
          <w:i/>
          <w:iCs/>
        </w:rPr>
        <w:t xml:space="preserve">BMC Bioinformatics</w:t>
      </w:r>
      <w:r>
        <w:t xml:space="preserve"> </w:t>
      </w:r>
      <w:r>
        <w:t xml:space="preserve">23: 236.</w:t>
      </w:r>
      <w:r>
        <w:t xml:space="preserve"> </w:t>
      </w:r>
      <w:hyperlink r:id="rId106">
        <w:r>
          <w:rPr>
            <w:rStyle w:val="Hyperlink"/>
          </w:rPr>
          <w:t xml:space="preserve">https://doi.org/10.1186/s12859-022-04778-9</w:t>
        </w:r>
      </w:hyperlink>
      <w:r>
        <w:t xml:space="preserve">.</w:t>
      </w:r>
    </w:p>
    <w:bookmarkEnd w:id="107"/>
    <w:bookmarkStart w:id="109" w:name="ref-li2025scmultisim"/>
    <w:p>
      <w:pPr>
        <w:pStyle w:val="Bibliography"/>
      </w:pPr>
      <w:r>
        <w:t xml:space="preserve">Li, Hechen, Ziqi Zhang, Michael Squires, Xi Chen, and Xiuwei Zhang. 2025.</w:t>
      </w:r>
      <w:r>
        <w:t xml:space="preserve"> </w:t>
      </w:r>
      <w:r>
        <w:t xml:space="preserve">“</w:t>
      </w:r>
      <w:r>
        <w:t xml:space="preserve">scMultiSim</w:t>
      </w:r>
      <w:r>
        <w:t xml:space="preserve">: Simulation of Single-Cell Multi-Omics and Spatial Data Guided by Gene Regulatory Networks and Cell–Cell Interactions.”</w:t>
      </w:r>
      <w:r>
        <w:t xml:space="preserve"> </w:t>
      </w:r>
      <w:r>
        <w:rPr>
          <w:i/>
          <w:iCs/>
        </w:rPr>
        <w:t xml:space="preserve">Nature Methods</w:t>
      </w:r>
      <w:r>
        <w:t xml:space="preserve">, ahead of print.</w:t>
      </w:r>
      <w:r>
        <w:t xml:space="preserve"> </w:t>
      </w:r>
      <w:hyperlink r:id="rId108">
        <w:r>
          <w:rPr>
            <w:rStyle w:val="Hyperlink"/>
          </w:rPr>
          <w:t xml:space="preserve">https://doi.org/10.1038/s41592-025-02651-0</w:t>
        </w:r>
      </w:hyperlink>
      <w:r>
        <w:t xml:space="preserve">.</w:t>
      </w:r>
    </w:p>
    <w:bookmarkEnd w:id="109"/>
    <w:bookmarkStart w:id="111" w:name="ref-lin2025memory"/>
    <w:p>
      <w:pPr>
        <w:pStyle w:val="Bibliography"/>
      </w:pPr>
      <w:r>
        <w:t xml:space="preserve">Lin, Yongjie, Xiangru Chen, Long Wu, Yutong Zhou, and Yihan Lin. 2026.</w:t>
      </w:r>
      <w:r>
        <w:t xml:space="preserve"> </w:t>
      </w:r>
      <w:r>
        <w:t xml:space="preserve">“Widespread Transcriptional Memory Shapes Heritable States and Functional Heterogeneity in Cancer and Stem Cells.”</w:t>
      </w:r>
      <w:r>
        <w:t xml:space="preserve"> </w:t>
      </w:r>
      <w:r>
        <w:rPr>
          <w:i/>
          <w:iCs/>
        </w:rPr>
        <w:t xml:space="preserve">Cell Systems</w:t>
      </w:r>
      <w:r>
        <w:t xml:space="preserve"> </w:t>
      </w:r>
      <w:r>
        <w:t xml:space="preserve">17 (7): 101621.</w:t>
      </w:r>
      <w:r>
        <w:t xml:space="preserve"> </w:t>
      </w:r>
      <w:hyperlink r:id="rId110">
        <w:r>
          <w:rPr>
            <w:rStyle w:val="Hyperlink"/>
          </w:rPr>
          <w:t xml:space="preserve">https://doi.org/10.1016/j.cels.2026.101621</w:t>
        </w:r>
      </w:hyperlink>
      <w:r>
        <w:t xml:space="preserve">.</w:t>
      </w:r>
    </w:p>
    <w:bookmarkEnd w:id="111"/>
    <w:bookmarkStart w:id="113" w:name="ref-ostermann2004"/>
    <w:p>
      <w:pPr>
        <w:pStyle w:val="Bibliography"/>
      </w:pPr>
      <w:r>
        <w:t xml:space="preserve">Ostermann, Sandrine, Chantal Csajka, Thierry Buclin, et al. 2004.</w:t>
      </w:r>
      <w:r>
        <w:t xml:space="preserve"> </w:t>
      </w:r>
      <w:r>
        <w:t xml:space="preserve">“Plasma and Cerebrospinal Fluid Population Pharmacokinetics of Temozolomide in Malignant Glioma Patients.”</w:t>
      </w:r>
      <w:r>
        <w:t xml:space="preserve"> </w:t>
      </w:r>
      <w:r>
        <w:rPr>
          <w:i/>
          <w:iCs/>
        </w:rPr>
        <w:t xml:space="preserve">Clinical Cancer Research</w:t>
      </w:r>
      <w:r>
        <w:t xml:space="preserve"> </w:t>
      </w:r>
      <w:r>
        <w:t xml:space="preserve">10 (11): 3728–36.</w:t>
      </w:r>
      <w:r>
        <w:t xml:space="preserve"> </w:t>
      </w:r>
      <w:hyperlink r:id="rId112">
        <w:r>
          <w:rPr>
            <w:rStyle w:val="Hyperlink"/>
          </w:rPr>
          <w:t xml:space="preserve">https://doi.org/10.1158/1078-0432.CCR-03-0807</w:t>
        </w:r>
      </w:hyperlink>
      <w:r>
        <w:t xml:space="preserve">.</w:t>
      </w:r>
    </w:p>
    <w:bookmarkEnd w:id="113"/>
    <w:bookmarkStart w:id="115" w:name="ref-pan2022tedsim"/>
    <w:p>
      <w:pPr>
        <w:pStyle w:val="Bibliography"/>
      </w:pPr>
      <w:r>
        <w:t xml:space="preserve">Pan, Xinhai, Hechen Li, and Xiuwei Zhang. 2022.</w:t>
      </w:r>
      <w:r>
        <w:t xml:space="preserve"> </w:t>
      </w:r>
      <w:r>
        <w:t xml:space="preserve">“</w:t>
      </w:r>
      <w:r>
        <w:t xml:space="preserve">TedSim</w:t>
      </w:r>
      <w:r>
        <w:t xml:space="preserve">: Temporal Dynamics Simulation of Single-Cell</w:t>
      </w:r>
      <w:r>
        <w:t xml:space="preserve"> </w:t>
      </w:r>
      <w:r>
        <w:t xml:space="preserve">RNA</w:t>
      </w:r>
      <w:r>
        <w:t xml:space="preserve"> </w:t>
      </w:r>
      <w:r>
        <w:t xml:space="preserve">Sequencing Data and Cell Division History.”</w:t>
      </w:r>
      <w:r>
        <w:t xml:space="preserve"> </w:t>
      </w:r>
      <w:r>
        <w:rPr>
          <w:i/>
          <w:iCs/>
        </w:rPr>
        <w:t xml:space="preserve">Nucleic Acids Research</w:t>
      </w:r>
      <w:r>
        <w:t xml:space="preserve"> </w:t>
      </w:r>
      <w:r>
        <w:t xml:space="preserve">50 (8): 4272–88.</w:t>
      </w:r>
      <w:r>
        <w:t xml:space="preserve"> </w:t>
      </w:r>
      <w:hyperlink r:id="rId114">
        <w:r>
          <w:rPr>
            <w:rStyle w:val="Hyperlink"/>
          </w:rPr>
          <w:t xml:space="preserve">https://doi.org/10.1093/nar/gkac235</w:t>
        </w:r>
      </w:hyperlink>
      <w:r>
        <w:t xml:space="preserve">.</w:t>
      </w:r>
    </w:p>
    <w:bookmarkEnd w:id="115"/>
    <w:bookmarkStart w:id="117" w:name="ref-peccoud1995"/>
    <w:p>
      <w:pPr>
        <w:pStyle w:val="Bibliography"/>
      </w:pPr>
      <w:r>
        <w:t xml:space="preserve">Peccoud, Jean, and Bernard Ycart. 1995.</w:t>
      </w:r>
      <w:r>
        <w:t xml:space="preserve"> </w:t>
      </w:r>
      <w:r>
        <w:t xml:space="preserve">“Markovian Modeling of Gene-Product Synthesis.”</w:t>
      </w:r>
      <w:r>
        <w:t xml:space="preserve"> </w:t>
      </w:r>
      <w:r>
        <w:rPr>
          <w:i/>
          <w:iCs/>
        </w:rPr>
        <w:t xml:space="preserve">Theoretical Population Biology</w:t>
      </w:r>
      <w:r>
        <w:t xml:space="preserve"> </w:t>
      </w:r>
      <w:r>
        <w:t xml:space="preserve">48 (2): 222–34.</w:t>
      </w:r>
      <w:r>
        <w:t xml:space="preserve"> </w:t>
      </w:r>
      <w:hyperlink r:id="rId116">
        <w:r>
          <w:rPr>
            <w:rStyle w:val="Hyperlink"/>
          </w:rPr>
          <w:t xml:space="preserve">https://doi.org/10.1006/tpbi.1995.1027</w:t>
        </w:r>
      </w:hyperlink>
      <w:r>
        <w:t xml:space="preserve">.</w:t>
      </w:r>
    </w:p>
    <w:bookmarkEnd w:id="117"/>
    <w:bookmarkStart w:id="119" w:name="ref-piho2025abm"/>
    <w:p>
      <w:pPr>
        <w:pStyle w:val="Bibliography"/>
      </w:pPr>
      <w:r>
        <w:t xml:space="preserve">Piho, Paul, and Philipp Thomas. 2026.</w:t>
      </w:r>
      <w:r>
        <w:t xml:space="preserve"> </w:t>
      </w:r>
      <w:r>
        <w:t xml:space="preserve">“</w:t>
      </w:r>
      <w:r>
        <w:t xml:space="preserve">AgentBasedModeling.jl</w:t>
      </w:r>
      <w:r>
        <w:t xml:space="preserve">: A Tool for Stochastic Simulation of Structured Population Dynamics.”</w:t>
      </w:r>
      <w:r>
        <w:t xml:space="preserve"> </w:t>
      </w:r>
      <w:r>
        <w:rPr>
          <w:i/>
          <w:iCs/>
        </w:rPr>
        <w:t xml:space="preserve">PLoS Computational Biology</w:t>
      </w:r>
      <w:r>
        <w:t xml:space="preserve"> </w:t>
      </w:r>
      <w:r>
        <w:t xml:space="preserve">22 (7): e1014366.</w:t>
      </w:r>
      <w:r>
        <w:t xml:space="preserve"> </w:t>
      </w:r>
      <w:hyperlink r:id="rId118">
        <w:r>
          <w:rPr>
            <w:rStyle w:val="Hyperlink"/>
          </w:rPr>
          <w:t xml:space="preserve">https://doi.org/10.1371/journal.pcbi.1014366</w:t>
        </w:r>
      </w:hyperlink>
      <w:r>
        <w:t xml:space="preserve">.</w:t>
      </w:r>
    </w:p>
    <w:bookmarkEnd w:id="119"/>
    <w:bookmarkStart w:id="121" w:name="ref-sciml"/>
    <w:p>
      <w:pPr>
        <w:pStyle w:val="Bibliography"/>
      </w:pPr>
      <w:r>
        <w:t xml:space="preserve">Rackauckas, Christopher, and Qing Nie. 2017.</w:t>
      </w:r>
      <w:r>
        <w:t xml:space="preserve"> </w:t>
      </w:r>
      <w:r>
        <w:t xml:space="preserve">“</w:t>
      </w:r>
      <w:r>
        <w:t xml:space="preserve">DifferentialEquations.jl</w:t>
      </w:r>
      <w:r>
        <w:t xml:space="preserve"> </w:t>
      </w:r>
      <w:r>
        <w:t xml:space="preserve">– a Performant and Feature-Rich Ecosystem for Solving Differential Equations in</w:t>
      </w:r>
      <w:r>
        <w:t xml:space="preserve"> </w:t>
      </w:r>
      <w:r>
        <w:t xml:space="preserve">Julia</w:t>
      </w:r>
      <w:r>
        <w:t xml:space="preserve">.”</w:t>
      </w:r>
      <w:r>
        <w:t xml:space="preserve"> </w:t>
      </w:r>
      <w:r>
        <w:t xml:space="preserve">In</w:t>
      </w:r>
      <w:r>
        <w:t xml:space="preserve"> </w:t>
      </w:r>
      <w:r>
        <w:rPr>
          <w:i/>
          <w:iCs/>
        </w:rPr>
        <w:t xml:space="preserve">Journal of Open Research Software</w:t>
      </w:r>
      <w:r>
        <w:t xml:space="preserve">, No. 1, vol. 5.</w:t>
      </w:r>
      <w:r>
        <w:t xml:space="preserve"> </w:t>
      </w:r>
      <w:hyperlink r:id="rId120">
        <w:r>
          <w:rPr>
            <w:rStyle w:val="Hyperlink"/>
          </w:rPr>
          <w:t xml:space="preserve">https://doi.org/10.5334/jors.151</w:t>
        </w:r>
      </w:hyperlink>
      <w:r>
        <w:t xml:space="preserve">.</w:t>
      </w:r>
    </w:p>
    <w:bookmarkEnd w:id="121"/>
    <w:bookmarkStart w:id="123" w:name="ref-shaffer2017"/>
    <w:p>
      <w:pPr>
        <w:pStyle w:val="Bibliography"/>
      </w:pPr>
      <w:r>
        <w:t xml:space="preserve">Shaffer, Sydney M., Margaret C. Dunagin, Stefan R. Torborg, et al. 2017.</w:t>
      </w:r>
      <w:r>
        <w:t xml:space="preserve"> </w:t>
      </w:r>
      <w:r>
        <w:t xml:space="preserve">“Rare Cell Variability and Drug-Induced Reprogramming as a Mode of Cancer Drug Resistance.”</w:t>
      </w:r>
      <w:r>
        <w:t xml:space="preserve"> </w:t>
      </w:r>
      <w:r>
        <w:rPr>
          <w:i/>
          <w:iCs/>
        </w:rPr>
        <w:t xml:space="preserve">Nature</w:t>
      </w:r>
      <w:r>
        <w:t xml:space="preserve"> </w:t>
      </w:r>
      <w:r>
        <w:t xml:space="preserve">546: 431–35.</w:t>
      </w:r>
      <w:r>
        <w:t xml:space="preserve"> </w:t>
      </w:r>
      <w:hyperlink r:id="rId122">
        <w:r>
          <w:rPr>
            <w:rStyle w:val="Hyperlink"/>
          </w:rPr>
          <w:t xml:space="preserve">https://doi.org/10.1038/nature22794</w:t>
        </w:r>
      </w:hyperlink>
      <w:r>
        <w:t xml:space="preserve">.</w:t>
      </w:r>
    </w:p>
    <w:bookmarkEnd w:id="123"/>
    <w:bookmarkStart w:id="125" w:name="ref-shaffer2020"/>
    <w:p>
      <w:pPr>
        <w:pStyle w:val="Bibliography"/>
      </w:pPr>
      <w:r>
        <w:t xml:space="preserve">Shaffer, Sydney M., Benjamin L. Emert, Raul A. Reyes Hueros, et al. 2020.</w:t>
      </w:r>
      <w:r>
        <w:t xml:space="preserve"> </w:t>
      </w:r>
      <w:r>
        <w:t xml:space="preserve">“Memory Sequencing Reveals Heritable Single-Cell Gene Expression Programs Associated with Distinct Cellular Behaviors.”</w:t>
      </w:r>
      <w:r>
        <w:t xml:space="preserve"> </w:t>
      </w:r>
      <w:r>
        <w:rPr>
          <w:i/>
          <w:iCs/>
        </w:rPr>
        <w:t xml:space="preserve">Cell</w:t>
      </w:r>
      <w:r>
        <w:t xml:space="preserve"> </w:t>
      </w:r>
      <w:r>
        <w:t xml:space="preserve">182 (4): 947–59.</w:t>
      </w:r>
      <w:r>
        <w:t xml:space="preserve"> </w:t>
      </w:r>
      <w:hyperlink r:id="rId124">
        <w:r>
          <w:rPr>
            <w:rStyle w:val="Hyperlink"/>
          </w:rPr>
          <w:t xml:space="preserve">https://doi.org/10.1016/j.cell.2020.07.003</w:t>
        </w:r>
      </w:hyperlink>
      <w:r>
        <w:t xml:space="preserve">.</w:t>
      </w:r>
    </w:p>
    <w:bookmarkEnd w:id="125"/>
    <w:bookmarkStart w:id="127" w:name="ref-shahrezaei2008"/>
    <w:p>
      <w:pPr>
        <w:pStyle w:val="Bibliography"/>
      </w:pPr>
      <w:r>
        <w:t xml:space="preserve">Shahrezaei, Vahid, and Peter S. Swain. 2008.</w:t>
      </w:r>
      <w:r>
        <w:t xml:space="preserve"> </w:t>
      </w:r>
      <w:r>
        <w:t xml:space="preserve">“Analytical Distributions for Stochastic Gene Expression.”</w:t>
      </w:r>
      <w:r>
        <w:t xml:space="preserve"> </w:t>
      </w:r>
      <w:r>
        <w:rPr>
          <w:i/>
          <w:iCs/>
        </w:rPr>
        <w:t xml:space="preserve">Proceedings of the National Academy of Sciences</w:t>
      </w:r>
      <w:r>
        <w:t xml:space="preserve"> </w:t>
      </w:r>
      <w:r>
        <w:t xml:space="preserve">105 (45): 17256–61.</w:t>
      </w:r>
      <w:r>
        <w:t xml:space="preserve"> </w:t>
      </w:r>
      <w:hyperlink r:id="rId126">
        <w:r>
          <w:rPr>
            <w:rStyle w:val="Hyperlink"/>
          </w:rPr>
          <w:t xml:space="preserve">https://doi.org/10.1073/pnas.0803850105</w:t>
        </w:r>
      </w:hyperlink>
      <w:r>
        <w:t xml:space="preserve">.</w:t>
      </w:r>
    </w:p>
    <w:bookmarkEnd w:id="127"/>
    <w:bookmarkStart w:id="129" w:name="ref-sukys2025"/>
    <w:p>
      <w:pPr>
        <w:pStyle w:val="Bibliography"/>
      </w:pPr>
      <w:r>
        <w:t xml:space="preserve">Sukys, Augustinas, and Ramon Grima. 2025.</w:t>
      </w:r>
      <w:r>
        <w:t xml:space="preserve"> </w:t>
      </w:r>
      <w:r>
        <w:t xml:space="preserve">“Cell-Cycle Dependence of Bursty Gene Expression: Insights from Fitting Mechanistic Models to Single-Cell</w:t>
      </w:r>
      <w:r>
        <w:t xml:space="preserve"> </w:t>
      </w:r>
      <w:r>
        <w:t xml:space="preserve">RNA-seq</w:t>
      </w:r>
      <w:r>
        <w:t xml:space="preserve"> </w:t>
      </w:r>
      <w:r>
        <w:t xml:space="preserve">Data.”</w:t>
      </w:r>
      <w:r>
        <w:t xml:space="preserve"> </w:t>
      </w:r>
      <w:r>
        <w:rPr>
          <w:i/>
          <w:iCs/>
        </w:rPr>
        <w:t xml:space="preserve">Nucleic Acids Research</w:t>
      </w:r>
      <w:r>
        <w:t xml:space="preserve"> </w:t>
      </w:r>
      <w:r>
        <w:t xml:space="preserve">53 (7): gkaf295.</w:t>
      </w:r>
      <w:r>
        <w:t xml:space="preserve"> </w:t>
      </w:r>
      <w:hyperlink r:id="rId128">
        <w:r>
          <w:rPr>
            <w:rStyle w:val="Hyperlink"/>
          </w:rPr>
          <w:t xml:space="preserve">https://doi.org/10.1093/nar/gkaf295</w:t>
        </w:r>
      </w:hyperlink>
      <w:r>
        <w:t xml:space="preserve">.</w:t>
      </w:r>
    </w:p>
    <w:bookmarkEnd w:id="129"/>
    <w:bookmarkStart w:id="131" w:name="ref-toni2009"/>
    <w:p>
      <w:pPr>
        <w:pStyle w:val="Bibliography"/>
      </w:pPr>
      <w:r>
        <w:t xml:space="preserve">Toni, Tina, David Welch, Natalja Strelkowa, Andreas Ipsen, and Michael P. H. Stumpf. 2009.</w:t>
      </w:r>
      <w:r>
        <w:t xml:space="preserve"> </w:t>
      </w:r>
      <w:r>
        <w:t xml:space="preserve">“Approximate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 (31): 187–202.</w:t>
      </w:r>
      <w:r>
        <w:t xml:space="preserve"> </w:t>
      </w:r>
      <w:hyperlink r:id="rId130">
        <w:r>
          <w:rPr>
            <w:rStyle w:val="Hyperlink"/>
          </w:rPr>
          <w:t xml:space="preserve">https://doi.org/10.1098/rsif.2008.0172</w:t>
        </w:r>
      </w:hyperlink>
      <w:r>
        <w:t xml:space="preserve">.</w:t>
      </w:r>
    </w:p>
    <w:bookmarkEnd w:id="131"/>
    <w:bookmarkStart w:id="133" w:name="ref-vollenweider2026"/>
    <w:p>
      <w:pPr>
        <w:pStyle w:val="Bibliography"/>
      </w:pPr>
      <w:r>
        <w:t xml:space="preserve">Vollenweider, Michael Samir, and Peter Bühlmann. 2026.</w:t>
      </w:r>
      <w:r>
        <w:t xml:space="preserve"> </w:t>
      </w:r>
      <w:r>
        <w:t xml:space="preserve">“Signal, Bounds, and Baselines: Principles for Rigorous Evaluation of High-Dimensional Biological Perturbation Prediction.”</w:t>
      </w:r>
      <w:r>
        <w:t xml:space="preserve"> </w:t>
      </w:r>
      <w:r>
        <w:rPr>
          <w:i/>
          <w:iCs/>
        </w:rPr>
        <w:t xml:space="preserve">bioRxiv</w:t>
      </w:r>
      <w:r>
        <w:t xml:space="preserve">, ahead of print.</w:t>
      </w:r>
      <w:r>
        <w:t xml:space="preserve"> </w:t>
      </w:r>
      <w:hyperlink r:id="rId132">
        <w:r>
          <w:rPr>
            <w:rStyle w:val="Hyperlink"/>
          </w:rPr>
          <w:t xml:space="preserve">https://doi.org/10.64898/2026.04.20.719650</w:t>
        </w:r>
      </w:hyperlink>
      <w:r>
        <w:t xml:space="preserve">.</w:t>
      </w:r>
    </w:p>
    <w:bookmarkEnd w:id="133"/>
    <w:bookmarkStart w:id="135" w:name="ref-wagner2018"/>
    <w:p>
      <w:pPr>
        <w:pStyle w:val="Bibliography"/>
      </w:pPr>
      <w:r>
        <w:t xml:space="preserve">Wagner, Florian, Yun Yan, and Itai Yanai. 2018.</w:t>
      </w:r>
      <w:r>
        <w:t xml:space="preserve"> </w:t>
      </w:r>
      <w:r>
        <w:t xml:space="preserve">“K-Nearest Neighbor Smoothing for High-Throughput Single-Cell</w:t>
      </w:r>
      <w:r>
        <w:t xml:space="preserve"> </w:t>
      </w:r>
      <w:r>
        <w:t xml:space="preserve">RNA-Seq</w:t>
      </w:r>
      <w:r>
        <w:t xml:space="preserve"> </w:t>
      </w:r>
      <w:r>
        <w:t xml:space="preserve">Data.”</w:t>
      </w:r>
      <w:r>
        <w:t xml:space="preserve"> </w:t>
      </w:r>
      <w:r>
        <w:rPr>
          <w:i/>
          <w:iCs/>
        </w:rPr>
        <w:t xml:space="preserve">bioRxiv</w:t>
      </w:r>
      <w:r>
        <w:t xml:space="preserve">, ahead of print.</w:t>
      </w:r>
      <w:r>
        <w:t xml:space="preserve"> </w:t>
      </w:r>
      <w:hyperlink r:id="rId134">
        <w:r>
          <w:rPr>
            <w:rStyle w:val="Hyperlink"/>
          </w:rPr>
          <w:t xml:space="preserve">https://doi.org/10.1101/217737</w:t>
        </w:r>
      </w:hyperlink>
      <w:r>
        <w:t xml:space="preserve">.</w:t>
      </w:r>
    </w:p>
    <w:bookmarkEnd w:id="135"/>
    <w:bookmarkStart w:id="137" w:name="ref-zhang2017adaptive"/>
    <w:p>
      <w:pPr>
        <w:pStyle w:val="Bibliography"/>
      </w:pPr>
      <w:r>
        <w:t xml:space="preserve">Zhang, Jingsong, Jessica J. Cunningham, Joel S. Brown, and Robert A. Gatenby. 2017.</w:t>
      </w:r>
      <w:r>
        <w:t xml:space="preserve"> </w:t>
      </w:r>
      <w:r>
        <w:t xml:space="preserve">“Integrating Evolutionary Dynamics into Treatment of Metastatic Castrate-Resistant Prostate Cancer.”</w:t>
      </w:r>
      <w:r>
        <w:t xml:space="preserve"> </w:t>
      </w:r>
      <w:r>
        <w:rPr>
          <w:i/>
          <w:iCs/>
        </w:rPr>
        <w:t xml:space="preserve">Nature Communications</w:t>
      </w:r>
      <w:r>
        <w:t xml:space="preserve"> </w:t>
      </w:r>
      <w:r>
        <w:t xml:space="preserve">8: 1816.</w:t>
      </w:r>
      <w:r>
        <w:t xml:space="preserve"> </w:t>
      </w:r>
      <w:hyperlink r:id="rId136">
        <w:r>
          <w:rPr>
            <w:rStyle w:val="Hyperlink"/>
          </w:rPr>
          <w:t xml:space="preserve">https://doi.org/10.1038/s41467-017-01968-5</w:t>
        </w:r>
      </w:hyperlink>
      <w:r>
        <w:t xml:space="preserve">.</w:t>
      </w:r>
    </w:p>
    <w:bookmarkEnd w:id="137"/>
    <w:bookmarkStart w:id="139" w:name="ref-zhang2025"/>
    <w:p>
      <w:pPr>
        <w:pStyle w:val="Bibliography"/>
      </w:pPr>
      <w:r>
        <w:t xml:space="preserve">Zhang, Zhanhao, Iryna Zabaikina, César Nieto, Zahra Vahdat, Pavol Bokes, and Abhyudai Singh. 2025.</w:t>
      </w:r>
      <w:r>
        <w:t xml:space="preserve"> </w:t>
      </w:r>
      <w:r>
        <w:t xml:space="preserve">“Stochastic Gene Expression in Proliferating Cells: Differing Noise Intensity in Single-Cell and Population Perspectives.”</w:t>
      </w:r>
      <w:r>
        <w:t xml:space="preserve"> </w:t>
      </w:r>
      <w:r>
        <w:rPr>
          <w:i/>
          <w:iCs/>
        </w:rPr>
        <w:t xml:space="preserve">PLoS Computational Biology</w:t>
      </w:r>
      <w:r>
        <w:t xml:space="preserve"> </w:t>
      </w:r>
      <w:r>
        <w:t xml:space="preserve">21: e1013014.</w:t>
      </w:r>
      <w:r>
        <w:t xml:space="preserve"> </w:t>
      </w:r>
      <w:hyperlink r:id="rId138">
        <w:r>
          <w:rPr>
            <w:rStyle w:val="Hyperlink"/>
          </w:rPr>
          <w:t xml:space="preserve">https://doi.org/10.1371/journal.pcbi.1013014</w:t>
        </w:r>
      </w:hyperlink>
      <w:r>
        <w:t xml:space="preserve">.</w:t>
      </w:r>
    </w:p>
    <w:bookmarkEnd w:id="139"/>
    <w:bookmarkStart w:id="141" w:name="ref-zinati2024groundgan"/>
    <w:p>
      <w:pPr>
        <w:pStyle w:val="Bibliography"/>
      </w:pPr>
      <w:r>
        <w:t xml:space="preserve">Zinati, Yazdan, Abdulrahman Takiddeen, and Amin Emad. 2024.</w:t>
      </w:r>
      <w:r>
        <w:t xml:space="preserve"> </w:t>
      </w:r>
      <w:r>
        <w:t xml:space="preserve">“</w:t>
      </w:r>
      <w:r>
        <w:t xml:space="preserve">GRouNdGAN</w:t>
      </w:r>
      <w:r>
        <w:t xml:space="preserve">:</w:t>
      </w:r>
      <w:r>
        <w:t xml:space="preserve"> </w:t>
      </w:r>
      <w:r>
        <w:t xml:space="preserve">GRN</w:t>
      </w:r>
      <w:r>
        <w:t xml:space="preserve">-Guided Simulation of Single-Cell</w:t>
      </w:r>
      <w:r>
        <w:t xml:space="preserve"> </w:t>
      </w:r>
      <w:r>
        <w:t xml:space="preserve">RNA-seq</w:t>
      </w:r>
      <w:r>
        <w:t xml:space="preserve"> </w:t>
      </w:r>
      <w:r>
        <w:t xml:space="preserve">Data Using Causal Generative Adversarial Networks.”</w:t>
      </w:r>
      <w:r>
        <w:t xml:space="preserve"> </w:t>
      </w:r>
      <w:r>
        <w:rPr>
          <w:i/>
          <w:iCs/>
        </w:rPr>
        <w:t xml:space="preserve">Nature Communications</w:t>
      </w:r>
      <w:r>
        <w:t xml:space="preserve"> </w:t>
      </w:r>
      <w:r>
        <w:t xml:space="preserve">15: 4055.</w:t>
      </w:r>
      <w:r>
        <w:t xml:space="preserve"> </w:t>
      </w:r>
      <w:hyperlink r:id="rId140">
        <w:r>
          <w:rPr>
            <w:rStyle w:val="Hyperlink"/>
          </w:rPr>
          <w:t xml:space="preserve">https://doi.org/10.1038/s41467-024-48516-6</w:t>
        </w:r>
      </w:hyperlink>
      <w:r>
        <w:t xml:space="preserve">.</w:t>
      </w:r>
    </w:p>
    <w:bookmarkEnd w:id="141"/>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hyperlink" Id="rId116" Target="https://doi.org/10.1006/tpbi.1995.1027" TargetMode="External" /><Relationship Type="http://schemas.openxmlformats.org/officeDocument/2006/relationships/hyperlink" Id="rId84" Target="https://doi.org/10.1016/j.cell.2018.05.061" TargetMode="External" /><Relationship Type="http://schemas.openxmlformats.org/officeDocument/2006/relationships/hyperlink" Id="rId124" Target="https://doi.org/10.1016/j.cell.2020.07.003" TargetMode="External" /><Relationship Type="http://schemas.openxmlformats.org/officeDocument/2006/relationships/hyperlink" Id="rId82" Target="https://doi.org/10.1016/j.cels.2020.08.003" TargetMode="External" /><Relationship Type="http://schemas.openxmlformats.org/officeDocument/2006/relationships/hyperlink" Id="rId110" Target="https://doi.org/10.1016/j.cels.2026.101621" TargetMode="External" /><Relationship Type="http://schemas.openxmlformats.org/officeDocument/2006/relationships/hyperlink" Id="rId92" Target="https://doi.org/10.1021/j100540a008" TargetMode="External" /><Relationship Type="http://schemas.openxmlformats.org/officeDocument/2006/relationships/hyperlink" Id="rId122" Target="https://doi.org/10.1038/nature22794" TargetMode="External" /><Relationship Type="http://schemas.openxmlformats.org/officeDocument/2006/relationships/hyperlink" Id="rId98" Target="https://doi.org/10.1038/ng.729" TargetMode="External" /><Relationship Type="http://schemas.openxmlformats.org/officeDocument/2006/relationships/hyperlink" Id="rId136" Target="https://doi.org/10.1038/s41467-017-01968-5" TargetMode="External" /><Relationship Type="http://schemas.openxmlformats.org/officeDocument/2006/relationships/hyperlink" Id="rId70" Target="https://doi.org/10.1038/s41467-021-24152-2" TargetMode="External" /><Relationship Type="http://schemas.openxmlformats.org/officeDocument/2006/relationships/hyperlink" Id="rId96" Target="https://doi.org/10.1038/s41467-023-41811-8" TargetMode="External" /><Relationship Type="http://schemas.openxmlformats.org/officeDocument/2006/relationships/hyperlink" Id="rId140" Target="https://doi.org/10.1038/s41467-024-48516-6" TargetMode="External" /><Relationship Type="http://schemas.openxmlformats.org/officeDocument/2006/relationships/hyperlink" Id="rId64" Target="https://doi.org/10.1038/s41591-020-1060-8" TargetMode="External" /><Relationship Type="http://schemas.openxmlformats.org/officeDocument/2006/relationships/hyperlink" Id="rId108" Target="https://doi.org/10.1038/s41592-025-02651-0" TargetMode="External" /><Relationship Type="http://schemas.openxmlformats.org/officeDocument/2006/relationships/hyperlink" Id="rId62" Target="https://doi.org/10.1038/s41592-025-02772-6" TargetMode="External" /><Relationship Type="http://schemas.openxmlformats.org/officeDocument/2006/relationships/hyperlink" Id="rId94" Target="https://doi.org/10.1063/1.1378322" TargetMode="External" /><Relationship Type="http://schemas.openxmlformats.org/officeDocument/2006/relationships/hyperlink" Id="rId72" Target="https://doi.org/10.1063/1.1992473" TargetMode="External" /><Relationship Type="http://schemas.openxmlformats.org/officeDocument/2006/relationships/hyperlink" Id="rId74" Target="https://doi.org/10.1063/1.2159468" TargetMode="External" /><Relationship Type="http://schemas.openxmlformats.org/officeDocument/2006/relationships/hyperlink" Id="rId126" Target="https://doi.org/10.1073/pnas.0803850105" TargetMode="External" /><Relationship Type="http://schemas.openxmlformats.org/officeDocument/2006/relationships/hyperlink" Id="rId114" Target="https://doi.org/10.1093/nar/gkac235" TargetMode="External" /><Relationship Type="http://schemas.openxmlformats.org/officeDocument/2006/relationships/hyperlink" Id="rId128" Target="https://doi.org/10.1093/nar/gkaf295" TargetMode="External" /><Relationship Type="http://schemas.openxmlformats.org/officeDocument/2006/relationships/hyperlink" Id="rId130" Target="https://doi.org/10.1098/rsif.2008.0172" TargetMode="External" /><Relationship Type="http://schemas.openxmlformats.org/officeDocument/2006/relationships/hyperlink" Id="rId68" Target="https://doi.org/10.1098/rsos.172234" TargetMode="External" /><Relationship Type="http://schemas.openxmlformats.org/officeDocument/2006/relationships/hyperlink" Id="rId104" Target="https://doi.org/10.1098/rsos.191243" TargetMode="External" /><Relationship Type="http://schemas.openxmlformats.org/officeDocument/2006/relationships/hyperlink" Id="rId88" Target="https://doi.org/10.1101/2025.01.15.633183" TargetMode="External" /><Relationship Type="http://schemas.openxmlformats.org/officeDocument/2006/relationships/hyperlink" Id="rId134" Target="https://doi.org/10.1101/217737" TargetMode="External" /><Relationship Type="http://schemas.openxmlformats.org/officeDocument/2006/relationships/hyperlink" Id="rId86" Target="https://doi.org/10.1103/PhysRevLett.97.168302" TargetMode="External" /><Relationship Type="http://schemas.openxmlformats.org/officeDocument/2006/relationships/hyperlink" Id="rId76" Target="https://doi.org/10.1103/mh5v-lcyw" TargetMode="External" /><Relationship Type="http://schemas.openxmlformats.org/officeDocument/2006/relationships/hyperlink" Id="rId66" Target="https://doi.org/10.1111/rssb.12312" TargetMode="External" /><Relationship Type="http://schemas.openxmlformats.org/officeDocument/2006/relationships/hyperlink" Id="rId78" Target="https://doi.org/10.1158/0008-5472.CAN-13-1633" TargetMode="External" /><Relationship Type="http://schemas.openxmlformats.org/officeDocument/2006/relationships/hyperlink" Id="rId112" Target="https://doi.org/10.1158/1078-0432.CCR-03-0807" TargetMode="External" /><Relationship Type="http://schemas.openxmlformats.org/officeDocument/2006/relationships/hyperlink" Id="rId106" Target="https://doi.org/10.1186/s12859-022-04778-9" TargetMode="External" /><Relationship Type="http://schemas.openxmlformats.org/officeDocument/2006/relationships/hyperlink" Id="rId90" Target="https://doi.org/10.1200/JCO.2013.49.6968" TargetMode="External" /><Relationship Type="http://schemas.openxmlformats.org/officeDocument/2006/relationships/hyperlink" Id="rId138" Target="https://doi.org/10.1371/journal.pcbi.1013014" TargetMode="External" /><Relationship Type="http://schemas.openxmlformats.org/officeDocument/2006/relationships/hyperlink" Id="rId102" Target="https://doi.org/10.1371/journal.pcbi.1013446" TargetMode="External" /><Relationship Type="http://schemas.openxmlformats.org/officeDocument/2006/relationships/hyperlink" Id="rId118" Target="https://doi.org/10.1371/journal.pcbi.1014366" TargetMode="External" /><Relationship Type="http://schemas.openxmlformats.org/officeDocument/2006/relationships/hyperlink" Id="rId100" Target="https://doi.org/10.1371/journal.pone.0012776" TargetMode="External" /><Relationship Type="http://schemas.openxmlformats.org/officeDocument/2006/relationships/hyperlink" Id="rId120" Target="https://doi.org/10.5334/jors.151" TargetMode="External" /><Relationship Type="http://schemas.openxmlformats.org/officeDocument/2006/relationships/hyperlink" Id="rId80" Target="https://doi.org/10.64898/2026.02.04.703804" TargetMode="External" /><Relationship Type="http://schemas.openxmlformats.org/officeDocument/2006/relationships/hyperlink" Id="rId132" Target="https://doi.org/10.64898/2026.04.20.719650" TargetMode="External" /></Relationships>
</file>

<file path=word/_rels/footnotes.xml.rels><?xml version="1.0" encoding="UTF-8"?><Relationships xmlns="http://schemas.openxmlformats.org/package/2006/relationships"><Relationship Type="http://schemas.openxmlformats.org/officeDocument/2006/relationships/hyperlink" Id="rId116" Target="https://doi.org/10.1006/tpbi.1995.1027" TargetMode="External" /><Relationship Type="http://schemas.openxmlformats.org/officeDocument/2006/relationships/hyperlink" Id="rId84" Target="https://doi.org/10.1016/j.cell.2018.05.061" TargetMode="External" /><Relationship Type="http://schemas.openxmlformats.org/officeDocument/2006/relationships/hyperlink" Id="rId124" Target="https://doi.org/10.1016/j.cell.2020.07.003" TargetMode="External" /><Relationship Type="http://schemas.openxmlformats.org/officeDocument/2006/relationships/hyperlink" Id="rId82" Target="https://doi.org/10.1016/j.cels.2020.08.003" TargetMode="External" /><Relationship Type="http://schemas.openxmlformats.org/officeDocument/2006/relationships/hyperlink" Id="rId110" Target="https://doi.org/10.1016/j.cels.2026.101621" TargetMode="External" /><Relationship Type="http://schemas.openxmlformats.org/officeDocument/2006/relationships/hyperlink" Id="rId92" Target="https://doi.org/10.1021/j100540a008" TargetMode="External" /><Relationship Type="http://schemas.openxmlformats.org/officeDocument/2006/relationships/hyperlink" Id="rId122" Target="https://doi.org/10.1038/nature22794" TargetMode="External" /><Relationship Type="http://schemas.openxmlformats.org/officeDocument/2006/relationships/hyperlink" Id="rId98" Target="https://doi.org/10.1038/ng.729" TargetMode="External" /><Relationship Type="http://schemas.openxmlformats.org/officeDocument/2006/relationships/hyperlink" Id="rId136" Target="https://doi.org/10.1038/s41467-017-01968-5" TargetMode="External" /><Relationship Type="http://schemas.openxmlformats.org/officeDocument/2006/relationships/hyperlink" Id="rId70" Target="https://doi.org/10.1038/s41467-021-24152-2" TargetMode="External" /><Relationship Type="http://schemas.openxmlformats.org/officeDocument/2006/relationships/hyperlink" Id="rId96" Target="https://doi.org/10.1038/s41467-023-41811-8" TargetMode="External" /><Relationship Type="http://schemas.openxmlformats.org/officeDocument/2006/relationships/hyperlink" Id="rId140" Target="https://doi.org/10.1038/s41467-024-48516-6" TargetMode="External" /><Relationship Type="http://schemas.openxmlformats.org/officeDocument/2006/relationships/hyperlink" Id="rId64" Target="https://doi.org/10.1038/s41591-020-1060-8" TargetMode="External" /><Relationship Type="http://schemas.openxmlformats.org/officeDocument/2006/relationships/hyperlink" Id="rId108" Target="https://doi.org/10.1038/s41592-025-02651-0" TargetMode="External" /><Relationship Type="http://schemas.openxmlformats.org/officeDocument/2006/relationships/hyperlink" Id="rId62" Target="https://doi.org/10.1038/s41592-025-02772-6" TargetMode="External" /><Relationship Type="http://schemas.openxmlformats.org/officeDocument/2006/relationships/hyperlink" Id="rId94" Target="https://doi.org/10.1063/1.1378322" TargetMode="External" /><Relationship Type="http://schemas.openxmlformats.org/officeDocument/2006/relationships/hyperlink" Id="rId72" Target="https://doi.org/10.1063/1.1992473" TargetMode="External" /><Relationship Type="http://schemas.openxmlformats.org/officeDocument/2006/relationships/hyperlink" Id="rId74" Target="https://doi.org/10.1063/1.2159468" TargetMode="External" /><Relationship Type="http://schemas.openxmlformats.org/officeDocument/2006/relationships/hyperlink" Id="rId126" Target="https://doi.org/10.1073/pnas.0803850105" TargetMode="External" /><Relationship Type="http://schemas.openxmlformats.org/officeDocument/2006/relationships/hyperlink" Id="rId114" Target="https://doi.org/10.1093/nar/gkac235" TargetMode="External" /><Relationship Type="http://schemas.openxmlformats.org/officeDocument/2006/relationships/hyperlink" Id="rId128" Target="https://doi.org/10.1093/nar/gkaf295" TargetMode="External" /><Relationship Type="http://schemas.openxmlformats.org/officeDocument/2006/relationships/hyperlink" Id="rId130" Target="https://doi.org/10.1098/rsif.2008.0172" TargetMode="External" /><Relationship Type="http://schemas.openxmlformats.org/officeDocument/2006/relationships/hyperlink" Id="rId68" Target="https://doi.org/10.1098/rsos.172234" TargetMode="External" /><Relationship Type="http://schemas.openxmlformats.org/officeDocument/2006/relationships/hyperlink" Id="rId104" Target="https://doi.org/10.1098/rsos.191243" TargetMode="External" /><Relationship Type="http://schemas.openxmlformats.org/officeDocument/2006/relationships/hyperlink" Id="rId88" Target="https://doi.org/10.1101/2025.01.15.633183" TargetMode="External" /><Relationship Type="http://schemas.openxmlformats.org/officeDocument/2006/relationships/hyperlink" Id="rId134" Target="https://doi.org/10.1101/217737" TargetMode="External" /><Relationship Type="http://schemas.openxmlformats.org/officeDocument/2006/relationships/hyperlink" Id="rId86" Target="https://doi.org/10.1103/PhysRevLett.97.168302" TargetMode="External" /><Relationship Type="http://schemas.openxmlformats.org/officeDocument/2006/relationships/hyperlink" Id="rId76" Target="https://doi.org/10.1103/mh5v-lcyw" TargetMode="External" /><Relationship Type="http://schemas.openxmlformats.org/officeDocument/2006/relationships/hyperlink" Id="rId66" Target="https://doi.org/10.1111/rssb.12312" TargetMode="External" /><Relationship Type="http://schemas.openxmlformats.org/officeDocument/2006/relationships/hyperlink" Id="rId78" Target="https://doi.org/10.1158/0008-5472.CAN-13-1633" TargetMode="External" /><Relationship Type="http://schemas.openxmlformats.org/officeDocument/2006/relationships/hyperlink" Id="rId112" Target="https://doi.org/10.1158/1078-0432.CCR-03-0807" TargetMode="External" /><Relationship Type="http://schemas.openxmlformats.org/officeDocument/2006/relationships/hyperlink" Id="rId106" Target="https://doi.org/10.1186/s12859-022-04778-9" TargetMode="External" /><Relationship Type="http://schemas.openxmlformats.org/officeDocument/2006/relationships/hyperlink" Id="rId90" Target="https://doi.org/10.1200/JCO.2013.49.6968" TargetMode="External" /><Relationship Type="http://schemas.openxmlformats.org/officeDocument/2006/relationships/hyperlink" Id="rId138" Target="https://doi.org/10.1371/journal.pcbi.1013014" TargetMode="External" /><Relationship Type="http://schemas.openxmlformats.org/officeDocument/2006/relationships/hyperlink" Id="rId102" Target="https://doi.org/10.1371/journal.pcbi.1013446" TargetMode="External" /><Relationship Type="http://schemas.openxmlformats.org/officeDocument/2006/relationships/hyperlink" Id="rId118" Target="https://doi.org/10.1371/journal.pcbi.1014366" TargetMode="External" /><Relationship Type="http://schemas.openxmlformats.org/officeDocument/2006/relationships/hyperlink" Id="rId100" Target="https://doi.org/10.1371/journal.pone.0012776" TargetMode="External" /><Relationship Type="http://schemas.openxmlformats.org/officeDocument/2006/relationships/hyperlink" Id="rId120" Target="https://doi.org/10.5334/jors.151" TargetMode="External" /><Relationship Type="http://schemas.openxmlformats.org/officeDocument/2006/relationships/hyperlink" Id="rId80" Target="https://doi.org/10.64898/2026.02.04.703804" TargetMode="External" /><Relationship Type="http://schemas.openxmlformats.org/officeDocument/2006/relationships/hyperlink" Id="rId132" Target="https://doi.org/10.64898/2026.04.20.7196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Biomodelling.jl 2.0: mechanistic simulation of heritable gene-expression states, cell division and drug response for single-cell benchmarking and persister biology</dc:title>
  <dc:creator>Ayoub Lasri1; Marc Sturrock1</dc:creator>
  <cp:keywords>stochastic simulation, gene expression noise, cell division, drug-tolerant persisters, single-cell RNA-seq, lineage tracing, approximate Bayesian computation, Julia</cp:keywords>
  <dcterms:created xsi:type="dcterms:W3CDTF">2026-09-19T12:48:34Z</dcterms:created>
  <dcterms:modified xsi:type="dcterms:W3CDTF">2026-09-19T12:48:34Z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Non-genetic heterogeneity, and in particular expression states that are inherited across cell divisions, decides which cancer cells survive drug treatment, yet the simulators used to benchmark single-cell methods model neither cell growth nor division, and therefore cannot generate such states from first principles. We present Biomodelling.jl 2.0, a rewrite of a Julia framework for stochastic simulation of gene regulatory networks inside growing, dividing and drug-treated cell populations. The framework couples exact, hybrid and adaptive stochastic kinetics to exponential growth, volume-scaled transcription, gene replication, division with binomial partitioning and promoter inheritance, and population control; adds dose schedules, state-dependent death, growth inhibition and genetic perturbations; records every cell’s lineage; converts molecule counts into scRNA-seq, smFISH and time-lapse observations; and provides likelihood-free inference. We validate the engine against exact stationary distributions and an independent implementation, show that growth and division alone reproduce published results on cell-size scaling, partitioning noise, lineage-versus-population statistics and cell-cycle-dependent bursting, and demonstrate that a single resistance gene with slow promoter switching reproduces the signatures of drug-tolerant persisters reported in recent experiments and models: dose-dependent decay with unchanged division times, correlated fates of related cells, preserved or collapsed barcode diversity, loss of resistance when memory is disrupted during exposure, an intermediate-dose optimum for drug-induced tolerance, and stable inheritance of a selected phenotype. Used as a ground-truth generator, the framework evaluates memory-gene detection, network inference under the confounds of growth and sequencing, imputation and perturbation-prediction baselines; used as an inference engine, it recovers kinetic and drug parameters from snapshot and lineage data and quantifies the bias of ignoring division. Calibrated to published time-lapse measurements of cisplatin-treated cells, the persister model predicts the fates of cells at a held-out concentration, the biphasic kill curve, the extent of lineage correlations and the dose-invariance of single-cell timing; used as a schedule testbed with a built-in optimiser, it reproduces the outcomes of continuous versus intermittent BRAF/MEK inhibition in the SWOG S1320 trial and of intermittent dosing in xenografts, attributes their difference to the fitness of resistant cells without drug, and evaluates standard against dose-dense temozolomide regimens with pharmacokinetics. Biomodelling.jl 2.0 is open source (MIT) at https://github.com/ayoublasri/Biomodelling.jl.</vt:lpwstr>
  </property>
  <property fmtid="{D5CDD505-2E9C-101B-9397-08002B2CF9AE}" pid="3" name="bibliography">
    <vt:lpwstr/>
  </property>
  <property fmtid="{D5CDD505-2E9C-101B-9397-08002B2CF9AE}" pid="4" name="date">
    <vt:lpwstr>1 Department of Physiology and Medical Physics, Royal College of Surgeons in Ireland, Dublin, Ireland</vt:lpwstr>
  </property>
</Properties>
</file>