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w:t>
      </w:r>
      <w:r>
        <w:t xml:space="preserve"> </w:t>
      </w:r>
      <w:r>
        <w:t xml:space="preserve">simulation</w:t>
      </w:r>
      <w:r>
        <w:t xml:space="preserve"> </w:t>
      </w:r>
      <w:r>
        <w:t xml:space="preserve">of</w:t>
      </w:r>
      <w:r>
        <w:t xml:space="preserve"> </w:t>
      </w:r>
      <w:r>
        <w:t xml:space="preserve">heritable</w:t>
      </w:r>
      <w:r>
        <w:t xml:space="preserve"> </w:t>
      </w:r>
      <w:r>
        <w:t xml:space="preserve">expression</w:t>
      </w:r>
      <w:r>
        <w:t xml:space="preserve"> </w:t>
      </w:r>
      <w:r>
        <w:t xml:space="preserve">states,</w:t>
      </w:r>
      <w:r>
        <w:t xml:space="preserve"> </w:t>
      </w:r>
      <w:r>
        <w:t xml:space="preserve">cell</w:t>
      </w:r>
      <w:r>
        <w:t xml:space="preserve"> </w:t>
      </w:r>
      <w:r>
        <w:t xml:space="preserve">division</w:t>
      </w:r>
      <w:r>
        <w:t xml:space="preserve"> </w:t>
      </w:r>
      <w:r>
        <w:t xml:space="preserve">and</w:t>
      </w:r>
      <w:r>
        <w:t xml:space="preserve"> </w:t>
      </w:r>
      <w:r>
        <w:t xml:space="preserve">drug</w:t>
      </w:r>
      <w:r>
        <w:t xml:space="preserve"> </w:t>
      </w:r>
      <w:r>
        <w:t xml:space="preserve">response</w:t>
      </w:r>
      <w:r>
        <w:t xml:space="preserve"> </w:t>
      </w:r>
      <w:r>
        <w:t xml:space="preserve">in</w:t>
      </w:r>
      <w:r>
        <w:t xml:space="preserve"> </w:t>
      </w:r>
      <w:r>
        <w:t xml:space="preserve">single-cell</w:t>
      </w:r>
      <w:r>
        <w:t xml:space="preserve"> </w:t>
      </w:r>
      <w:r>
        <w:t xml:space="preserve">populations</w:t>
      </w:r>
    </w:p>
    <w:p>
      <w:pPr>
        <w:pStyle w:val="Author"/>
      </w:pPr>
      <w:r>
        <w:t xml:space="preserve">Ayoub</w:t>
      </w:r>
      <w:r>
        <w:t xml:space="preserve"> </w:t>
      </w:r>
      <w:r>
        <w:t xml:space="preserve">Lasri</w:t>
      </w:r>
    </w:p>
    <w:p>
      <w:pPr>
        <w:pStyle w:val="Date"/>
      </w:pPr>
      <w:r>
        <w:t xml:space="preserve">Independent</w:t>
      </w:r>
      <w:r>
        <w:t xml:space="preserve"> </w:t>
      </w:r>
      <w:r>
        <w:t xml:space="preserve">researcher,</w:t>
      </w:r>
      <w:r>
        <w:t xml:space="preserve"> </w:t>
      </w:r>
      <w:r>
        <w:t xml:space="preserve">Dublin,</w:t>
      </w:r>
      <w:r>
        <w:t xml:space="preserve"> </w:t>
      </w:r>
      <w:r>
        <w:t xml:space="preserve">Ireland.</w:t>
      </w:r>
      <w:r>
        <w:t xml:space="preserve"> </w:t>
      </w:r>
      <w:r>
        <w:t xml:space="preserve">Correspondence:</w:t>
      </w:r>
      <w:r>
        <w:t xml:space="preserve"> </w:t>
      </w:r>
      <w:r>
        <w:t xml:space="preserve">alasri@berache.com</w:t>
      </w:r>
    </w:p>
    <w:p>
      <w:pPr>
        <w:pStyle w:val="AbstractTitle"/>
      </w:pPr>
      <w:r>
        <w:t xml:space="preserve">Abstract</w:t>
      </w:r>
    </w:p>
    <w:p>
      <w:pPr>
        <w:pStyle w:val="Abstract"/>
      </w:pPr>
      <w:r>
        <w:t xml:space="preserve">Heritable</w:t>
      </w:r>
      <w:r>
        <w:t xml:space="preserve"> </w:t>
      </w:r>
      <w:r>
        <w:t xml:space="preserve">differences</w:t>
      </w:r>
      <w:r>
        <w:t xml:space="preserve"> </w:t>
      </w:r>
      <w:r>
        <w:t xml:space="preserve">in</w:t>
      </w:r>
      <w:r>
        <w:t xml:space="preserve"> </w:t>
      </w:r>
      <w:r>
        <w:t xml:space="preserve">gene</w:t>
      </w:r>
      <w:r>
        <w:t xml:space="preserve"> </w:t>
      </w:r>
      <w:r>
        <w:t xml:space="preserve">expression</w:t>
      </w:r>
      <w:r>
        <w:t xml:space="preserve"> </w:t>
      </w:r>
      <w:r>
        <w:t xml:space="preserve">decide</w:t>
      </w:r>
      <w:r>
        <w:t xml:space="preserve"> </w:t>
      </w:r>
      <w:r>
        <w:t xml:space="preserve">which</w:t>
      </w:r>
      <w:r>
        <w:t xml:space="preserve"> </w:t>
      </w:r>
      <w:r>
        <w:t xml:space="preserve">cancer</w:t>
      </w:r>
      <w:r>
        <w:t xml:space="preserve"> </w:t>
      </w:r>
      <w:r>
        <w:t xml:space="preserve">cells</w:t>
      </w:r>
      <w:r>
        <w:t xml:space="preserve"> </w:t>
      </w:r>
      <w:r>
        <w:t xml:space="preserve">survive</w:t>
      </w:r>
      <w:r>
        <w:t xml:space="preserve"> </w:t>
      </w:r>
      <w:r>
        <w:t xml:space="preserve">a</w:t>
      </w:r>
      <w:r>
        <w:t xml:space="preserve"> </w:t>
      </w:r>
      <w:r>
        <w:t xml:space="preserve">drug,</w:t>
      </w:r>
      <w:r>
        <w:t xml:space="preserve"> </w:t>
      </w:r>
      <w:r>
        <w:t xml:space="preserve">yet</w:t>
      </w:r>
      <w:r>
        <w:t xml:space="preserve"> </w:t>
      </w:r>
      <w:r>
        <w:t xml:space="preserve">the</w:t>
      </w:r>
      <w:r>
        <w:t xml:space="preserve"> </w:t>
      </w:r>
      <w:r>
        <w:t xml:space="preserve">simulators</w:t>
      </w:r>
      <w:r>
        <w:t xml:space="preserve"> </w:t>
      </w:r>
      <w:r>
        <w:t xml:space="preserve">used</w:t>
      </w:r>
      <w:r>
        <w:t xml:space="preserve"> </w:t>
      </w:r>
      <w:r>
        <w:t xml:space="preserve">to</w:t>
      </w:r>
      <w:r>
        <w:t xml:space="preserve"> </w:t>
      </w:r>
      <w:r>
        <w:t xml:space="preserve">benchmark</w:t>
      </w:r>
      <w:r>
        <w:t xml:space="preserve"> </w:t>
      </w:r>
      <w:r>
        <w:t xml:space="preserve">single-cell</w:t>
      </w:r>
      <w:r>
        <w:t xml:space="preserve"> </w:t>
      </w:r>
      <w:r>
        <w:t xml:space="preserve">methods</w:t>
      </w:r>
      <w:r>
        <w:t xml:space="preserve"> </w:t>
      </w:r>
      <w:r>
        <w:t xml:space="preserve">model</w:t>
      </w:r>
      <w:r>
        <w:t xml:space="preserve"> </w:t>
      </w:r>
      <w:r>
        <w:t xml:space="preserve">neither</w:t>
      </w:r>
      <w:r>
        <w:t xml:space="preserve"> </w:t>
      </w:r>
      <w:r>
        <w:t xml:space="preserve">growth</w:t>
      </w:r>
      <w:r>
        <w:t xml:space="preserve"> </w:t>
      </w:r>
      <w:r>
        <w:t xml:space="preserve">nor</w:t>
      </w:r>
      <w:r>
        <w:t xml:space="preserve"> </w:t>
      </w:r>
      <w:r>
        <w:t xml:space="preserve">division,</w:t>
      </w:r>
      <w:r>
        <w:t xml:space="preserve"> </w:t>
      </w:r>
      <w:r>
        <w:t xml:space="preserve">and</w:t>
      </w:r>
      <w:r>
        <w:t xml:space="preserve"> </w:t>
      </w:r>
      <w:r>
        <w:t xml:space="preserve">stochastic</w:t>
      </w:r>
      <w:r>
        <w:t xml:space="preserve"> </w:t>
      </w:r>
      <w:r>
        <w:t xml:space="preserve">simulators</w:t>
      </w:r>
      <w:r>
        <w:t xml:space="preserve"> </w:t>
      </w:r>
      <w:r>
        <w:t xml:space="preserve">of</w:t>
      </w:r>
      <w:r>
        <w:t xml:space="preserve"> </w:t>
      </w:r>
      <w:r>
        <w:t xml:space="preserve">dividing</w:t>
      </w:r>
      <w:r>
        <w:t xml:space="preserve"> </w:t>
      </w:r>
      <w:r>
        <w:t xml:space="preserve">cells</w:t>
      </w:r>
      <w:r>
        <w:t xml:space="preserve"> </w:t>
      </w:r>
      <w:r>
        <w:t xml:space="preserve">carry</w:t>
      </w:r>
      <w:r>
        <w:t xml:space="preserve"> </w:t>
      </w:r>
      <w:r>
        <w:t xml:space="preserve">no</w:t>
      </w:r>
      <w:r>
        <w:t xml:space="preserve"> </w:t>
      </w:r>
      <w:r>
        <w:t xml:space="preserve">drug</w:t>
      </w:r>
      <w:r>
        <w:t xml:space="preserve"> </w:t>
      </w:r>
      <w:r>
        <w:t xml:space="preserve">layer.</w:t>
      </w:r>
      <w:r>
        <w:t xml:space="preserve"> </w:t>
      </w:r>
      <w:r>
        <w:t xml:space="preserve">Here</w:t>
      </w:r>
      <w:r>
        <w:t xml:space="preserve"> </w:t>
      </w:r>
      <w:r>
        <w:t xml:space="preserve">we</w:t>
      </w:r>
      <w:r>
        <w:t xml:space="preserve"> </w:t>
      </w:r>
      <w:r>
        <w:t xml:space="preserve">present</w:t>
      </w:r>
      <w:r>
        <w:t xml:space="preserve"> </w:t>
      </w:r>
      <w:r>
        <w:t xml:space="preserve">Biomodelling.jl</w:t>
      </w:r>
      <w:r>
        <w:t xml:space="preserve"> </w:t>
      </w:r>
      <w:r>
        <w:t xml:space="preserve">2.0,</w:t>
      </w:r>
      <w:r>
        <w:t xml:space="preserve"> </w:t>
      </w:r>
      <w:r>
        <w:t xml:space="preserve">in</w:t>
      </w:r>
      <w:r>
        <w:t xml:space="preserve"> </w:t>
      </w:r>
      <w:r>
        <w:t xml:space="preserve">which</w:t>
      </w:r>
      <w:r>
        <w:t xml:space="preserve"> </w:t>
      </w:r>
      <w:r>
        <w:t xml:space="preserve">stochastic</w:t>
      </w:r>
      <w:r>
        <w:t xml:space="preserve"> </w:t>
      </w:r>
      <w:r>
        <w:t xml:space="preserve">reaction</w:t>
      </w:r>
      <w:r>
        <w:t xml:space="preserve"> </w:t>
      </w:r>
      <w:r>
        <w:t xml:space="preserve">kinetics</w:t>
      </w:r>
      <w:r>
        <w:t xml:space="preserve"> </w:t>
      </w:r>
      <w:r>
        <w:t xml:space="preserve">run</w:t>
      </w:r>
      <w:r>
        <w:t xml:space="preserve"> </w:t>
      </w:r>
      <w:r>
        <w:t xml:space="preserve">inside</w:t>
      </w:r>
      <w:r>
        <w:t xml:space="preserve"> </w:t>
      </w:r>
      <w:r>
        <w:t xml:space="preserve">growing,</w:t>
      </w:r>
      <w:r>
        <w:t xml:space="preserve"> </w:t>
      </w:r>
      <w:r>
        <w:t xml:space="preserve">dividing,</w:t>
      </w:r>
      <w:r>
        <w:t xml:space="preserve"> </w:t>
      </w:r>
      <w:r>
        <w:t xml:space="preserve">drug-treated</w:t>
      </w:r>
      <w:r>
        <w:t xml:space="preserve"> </w:t>
      </w:r>
      <w:r>
        <w:t xml:space="preserve">cells.</w:t>
      </w:r>
      <w:r>
        <w:t xml:space="preserve"> </w:t>
      </w:r>
      <w:r>
        <w:t xml:space="preserve">Exact,</w:t>
      </w:r>
      <w:r>
        <w:t xml:space="preserve"> </w:t>
      </w:r>
      <w:r>
        <w:t xml:space="preserve">hybrid</w:t>
      </w:r>
      <w:r>
        <w:t xml:space="preserve"> </w:t>
      </w:r>
      <w:r>
        <w:t xml:space="preserve">and</w:t>
      </w:r>
      <w:r>
        <w:t xml:space="preserve"> </w:t>
      </w:r>
      <w:r>
        <w:t xml:space="preserve">adaptive</w:t>
      </w:r>
      <w:r>
        <w:t xml:space="preserve"> </w:t>
      </w:r>
      <w:r>
        <w:t xml:space="preserve">kernels</w:t>
      </w:r>
      <w:r>
        <w:t xml:space="preserve"> </w:t>
      </w:r>
      <w:r>
        <w:t xml:space="preserve">couple</w:t>
      </w:r>
      <w:r>
        <w:t xml:space="preserve"> </w:t>
      </w:r>
      <w:r>
        <w:t xml:space="preserve">to</w:t>
      </w:r>
      <w:r>
        <w:t xml:space="preserve"> </w:t>
      </w:r>
      <w:r>
        <w:t xml:space="preserve">exponential</w:t>
      </w:r>
      <w:r>
        <w:t xml:space="preserve"> </w:t>
      </w:r>
      <w:r>
        <w:t xml:space="preserve">growth,</w:t>
      </w:r>
      <w:r>
        <w:t xml:space="preserve"> </w:t>
      </w:r>
      <w:r>
        <w:t xml:space="preserve">volume-scaled</w:t>
      </w:r>
      <w:r>
        <w:t xml:space="preserve"> </w:t>
      </w:r>
      <w:r>
        <w:t xml:space="preserve">transcription,</w:t>
      </w:r>
      <w:r>
        <w:t xml:space="preserve"> </w:t>
      </w:r>
      <w:r>
        <w:t xml:space="preserve">gene</w:t>
      </w:r>
      <w:r>
        <w:t xml:space="preserve"> </w:t>
      </w:r>
      <w:r>
        <w:t xml:space="preserve">replication,</w:t>
      </w:r>
      <w:r>
        <w:t xml:space="preserve"> </w:t>
      </w:r>
      <w:r>
        <w:t xml:space="preserve">division</w:t>
      </w:r>
      <w:r>
        <w:t xml:space="preserve"> </w:t>
      </w:r>
      <w:r>
        <w:t xml:space="preserve">with</w:t>
      </w:r>
      <w:r>
        <w:t xml:space="preserve"> </w:t>
      </w:r>
      <w:r>
        <w:t xml:space="preserve">partitioning,</w:t>
      </w:r>
      <w:r>
        <w:t xml:space="preserve"> </w:t>
      </w:r>
      <w:r>
        <w:t xml:space="preserve">dose</w:t>
      </w:r>
      <w:r>
        <w:t xml:space="preserve"> </w:t>
      </w:r>
      <w:r>
        <w:t xml:space="preserve">schedules</w:t>
      </w:r>
      <w:r>
        <w:t xml:space="preserve"> </w:t>
      </w:r>
      <w:r>
        <w:t xml:space="preserve">with</w:t>
      </w:r>
      <w:r>
        <w:t xml:space="preserve"> </w:t>
      </w:r>
      <w:r>
        <w:t xml:space="preserve">state-dependent</w:t>
      </w:r>
      <w:r>
        <w:t xml:space="preserve"> </w:t>
      </w:r>
      <w:r>
        <w:t xml:space="preserve">killing,</w:t>
      </w:r>
      <w:r>
        <w:t xml:space="preserve"> </w:t>
      </w:r>
      <w:r>
        <w:t xml:space="preserve">a</w:t>
      </w:r>
      <w:r>
        <w:t xml:space="preserve"> </w:t>
      </w:r>
      <w:r>
        <w:t xml:space="preserve">lineage</w:t>
      </w:r>
      <w:r>
        <w:t xml:space="preserve"> </w:t>
      </w:r>
      <w:r>
        <w:t xml:space="preserve">record,</w:t>
      </w:r>
      <w:r>
        <w:t xml:space="preserve"> </w:t>
      </w:r>
      <w:r>
        <w:t xml:space="preserve">observation</w:t>
      </w:r>
      <w:r>
        <w:t xml:space="preserve"> </w:t>
      </w:r>
      <w:r>
        <w:t xml:space="preserve">models</w:t>
      </w:r>
      <w:r>
        <w:t xml:space="preserve"> </w:t>
      </w:r>
      <w:r>
        <w:t xml:space="preserve">and</w:t>
      </w:r>
      <w:r>
        <w:t xml:space="preserve"> </w:t>
      </w:r>
      <w:r>
        <w:t xml:space="preserve">likelihood-free</w:t>
      </w:r>
      <w:r>
        <w:t xml:space="preserve"> </w:t>
      </w:r>
      <w:r>
        <w:t xml:space="preserve">inference.</w:t>
      </w:r>
      <w:r>
        <w:t xml:space="preserve"> </w:t>
      </w:r>
      <w:r>
        <w:t xml:space="preserve">Expression</w:t>
      </w:r>
      <w:r>
        <w:t xml:space="preserve"> </w:t>
      </w:r>
      <w:r>
        <w:t xml:space="preserve">memory,</w:t>
      </w:r>
      <w:r>
        <w:t xml:space="preserve"> </w:t>
      </w:r>
      <w:r>
        <w:t xml:space="preserve">cell-size</w:t>
      </w:r>
      <w:r>
        <w:t xml:space="preserve"> </w:t>
      </w:r>
      <w:r>
        <w:t xml:space="preserve">scaling</w:t>
      </w:r>
      <w:r>
        <w:t xml:space="preserve"> </w:t>
      </w:r>
      <w:r>
        <w:t xml:space="preserve">and</w:t>
      </w:r>
      <w:r>
        <w:t xml:space="preserve"> </w:t>
      </w:r>
      <w:r>
        <w:t xml:space="preserve">cell-cycle-dependent</w:t>
      </w:r>
      <w:r>
        <w:t xml:space="preserve"> </w:t>
      </w:r>
      <w:r>
        <w:t xml:space="preserve">bursting</w:t>
      </w:r>
      <w:r>
        <w:t xml:space="preserve"> </w:t>
      </w:r>
      <w:r>
        <w:t xml:space="preserve">emerge</w:t>
      </w:r>
      <w:r>
        <w:t xml:space="preserve"> </w:t>
      </w:r>
      <w:r>
        <w:t xml:space="preserve">from</w:t>
      </w:r>
      <w:r>
        <w:t xml:space="preserve"> </w:t>
      </w:r>
      <w:r>
        <w:t xml:space="preserve">this</w:t>
      </w:r>
      <w:r>
        <w:t xml:space="preserve"> </w:t>
      </w:r>
      <w:r>
        <w:t xml:space="preserve">physiology</w:t>
      </w:r>
      <w:r>
        <w:t xml:space="preserve"> </w:t>
      </w:r>
      <w:r>
        <w:t xml:space="preserve">rather</w:t>
      </w:r>
      <w:r>
        <w:t xml:space="preserve"> </w:t>
      </w:r>
      <w:r>
        <w:t xml:space="preserve">than</w:t>
      </w:r>
      <w:r>
        <w:t xml:space="preserve"> </w:t>
      </w:r>
      <w:r>
        <w:t xml:space="preserve">imposed.</w:t>
      </w:r>
      <w:r>
        <w:t xml:space="preserve"> </w:t>
      </w:r>
      <w:r>
        <w:t xml:space="preserve">One</w:t>
      </w:r>
      <w:r>
        <w:t xml:space="preserve"> </w:t>
      </w:r>
      <w:r>
        <w:t xml:space="preserve">resistance</w:t>
      </w:r>
      <w:r>
        <w:t xml:space="preserve"> </w:t>
      </w:r>
      <w:r>
        <w:t xml:space="preserve">gene</w:t>
      </w:r>
      <w:r>
        <w:t xml:space="preserve"> </w:t>
      </w:r>
      <w:r>
        <w:t xml:space="preserve">with</w:t>
      </w:r>
      <w:r>
        <w:t xml:space="preserve"> </w:t>
      </w:r>
      <w:r>
        <w:t xml:space="preserve">slow</w:t>
      </w:r>
      <w:r>
        <w:t xml:space="preserve"> </w:t>
      </w:r>
      <w:r>
        <w:t xml:space="preserve">promoter</w:t>
      </w:r>
      <w:r>
        <w:t xml:space="preserve"> </w:t>
      </w:r>
      <w:r>
        <w:t xml:space="preserve">switching</w:t>
      </w:r>
      <w:r>
        <w:t xml:space="preserve"> </w:t>
      </w:r>
      <w:r>
        <w:t xml:space="preserve">reproduces</w:t>
      </w:r>
      <w:r>
        <w:t xml:space="preserve"> </w:t>
      </w:r>
      <w:r>
        <w:t xml:space="preserve">the</w:t>
      </w:r>
      <w:r>
        <w:t xml:space="preserve"> </w:t>
      </w:r>
      <w:r>
        <w:t xml:space="preserve">lineage</w:t>
      </w:r>
      <w:r>
        <w:t xml:space="preserve"> </w:t>
      </w:r>
      <w:r>
        <w:t xml:space="preserve">and</w:t>
      </w:r>
      <w:r>
        <w:t xml:space="preserve"> </w:t>
      </w:r>
      <w:r>
        <w:t xml:space="preserve">memory</w:t>
      </w:r>
      <w:r>
        <w:t xml:space="preserve"> </w:t>
      </w:r>
      <w:r>
        <w:t xml:space="preserve">signatures</w:t>
      </w:r>
      <w:r>
        <w:t xml:space="preserve"> </w:t>
      </w:r>
      <w:r>
        <w:t xml:space="preserve">of</w:t>
      </w:r>
      <w:r>
        <w:t xml:space="preserve"> </w:t>
      </w:r>
      <w:r>
        <w:t xml:space="preserve">drug</w:t>
      </w:r>
      <w:r>
        <w:t xml:space="preserve"> </w:t>
      </w:r>
      <w:r>
        <w:t xml:space="preserve">tolerance,</w:t>
      </w:r>
      <w:r>
        <w:t xml:space="preserve"> </w:t>
      </w:r>
      <w:r>
        <w:t xml:space="preserve">and</w:t>
      </w:r>
      <w:r>
        <w:t xml:space="preserve"> </w:t>
      </w:r>
      <w:r>
        <w:t xml:space="preserve">supplies</w:t>
      </w:r>
      <w:r>
        <w:t xml:space="preserve"> </w:t>
      </w:r>
      <w:r>
        <w:t xml:space="preserve">ground</w:t>
      </w:r>
      <w:r>
        <w:t xml:space="preserve"> </w:t>
      </w:r>
      <w:r>
        <w:t xml:space="preserve">truth</w:t>
      </w:r>
      <w:r>
        <w:t xml:space="preserve"> </w:t>
      </w:r>
      <w:r>
        <w:t xml:space="preserve">that</w:t>
      </w:r>
      <w:r>
        <w:t xml:space="preserve"> </w:t>
      </w:r>
      <w:r>
        <w:t xml:space="preserve">benchmarks</w:t>
      </w:r>
      <w:r>
        <w:t xml:space="preserve"> </w:t>
      </w:r>
      <w:r>
        <w:t xml:space="preserve">of</w:t>
      </w:r>
      <w:r>
        <w:t xml:space="preserve"> </w:t>
      </w:r>
      <w:r>
        <w:t xml:space="preserve">memory</w:t>
      </w:r>
      <w:r>
        <w:t xml:space="preserve"> </w:t>
      </w:r>
      <w:r>
        <w:t xml:space="preserve">genes,</w:t>
      </w:r>
      <w:r>
        <w:t xml:space="preserve"> </w:t>
      </w:r>
      <w:r>
        <w:t xml:space="preserve">network</w:t>
      </w:r>
      <w:r>
        <w:t xml:space="preserve"> </w:t>
      </w:r>
      <w:r>
        <w:t xml:space="preserve">inference</w:t>
      </w:r>
      <w:r>
        <w:t xml:space="preserve"> </w:t>
      </w:r>
      <w:r>
        <w:t xml:space="preserve">and</w:t>
      </w:r>
      <w:r>
        <w:t xml:space="preserve"> </w:t>
      </w:r>
      <w:r>
        <w:t xml:space="preserve">perturbation</w:t>
      </w:r>
      <w:r>
        <w:t xml:space="preserve"> </w:t>
      </w:r>
      <w:r>
        <w:t xml:space="preserve">prediction</w:t>
      </w:r>
      <w:r>
        <w:t xml:space="preserve"> </w:t>
      </w:r>
      <w:r>
        <w:t xml:space="preserve">lack.</w:t>
      </w:r>
      <w:r>
        <w:t xml:space="preserve"> </w:t>
      </w:r>
      <w:r>
        <w:t xml:space="preserve">Calibrated</w:t>
      </w:r>
      <w:r>
        <w:t xml:space="preserve"> </w:t>
      </w:r>
      <w:r>
        <w:t xml:space="preserve">to</w:t>
      </w:r>
      <w:r>
        <w:t xml:space="preserve"> </w:t>
      </w:r>
      <w:r>
        <w:t xml:space="preserve">time-lapse</w:t>
      </w:r>
      <w:r>
        <w:t xml:space="preserve"> </w:t>
      </w:r>
      <w:r>
        <w:t xml:space="preserve">measurements</w:t>
      </w:r>
      <w:r>
        <w:t xml:space="preserve"> </w:t>
      </w:r>
      <w:r>
        <w:t xml:space="preserve">of</w:t>
      </w:r>
      <w:r>
        <w:t xml:space="preserve"> </w:t>
      </w:r>
      <w:r>
        <w:t xml:space="preserve">cisplatin-treated</w:t>
      </w:r>
      <w:r>
        <w:t xml:space="preserve"> </w:t>
      </w:r>
      <w:r>
        <w:t xml:space="preserve">cells,</w:t>
      </w:r>
      <w:r>
        <w:t xml:space="preserve"> </w:t>
      </w:r>
      <w:r>
        <w:t xml:space="preserve">it</w:t>
      </w:r>
      <w:r>
        <w:t xml:space="preserve"> </w:t>
      </w:r>
      <w:r>
        <w:t xml:space="preserve">reproduces</w:t>
      </w:r>
      <w:r>
        <w:t xml:space="preserve"> </w:t>
      </w:r>
      <w:r>
        <w:t xml:space="preserve">the</w:t>
      </w:r>
      <w:r>
        <w:t xml:space="preserve"> </w:t>
      </w:r>
      <w:r>
        <w:t xml:space="preserve">dose-invariance</w:t>
      </w:r>
      <w:r>
        <w:t xml:space="preserve"> </w:t>
      </w:r>
      <w:r>
        <w:t xml:space="preserve">of</w:t>
      </w:r>
      <w:r>
        <w:t xml:space="preserve"> </w:t>
      </w:r>
      <w:r>
        <w:t xml:space="preserve">single-cell</w:t>
      </w:r>
      <w:r>
        <w:t xml:space="preserve"> </w:t>
      </w:r>
      <w:r>
        <w:t xml:space="preserve">timing</w:t>
      </w:r>
      <w:r>
        <w:t xml:space="preserve"> </w:t>
      </w:r>
      <w:r>
        <w:t xml:space="preserve">and</w:t>
      </w:r>
      <w:r>
        <w:t xml:space="preserve"> </w:t>
      </w:r>
      <w:r>
        <w:t xml:space="preserve">the</w:t>
      </w:r>
      <w:r>
        <w:t xml:space="preserve"> </w:t>
      </w:r>
      <w:r>
        <w:t xml:space="preserve">kin</w:t>
      </w:r>
      <w:r>
        <w:t xml:space="preserve"> </w:t>
      </w:r>
      <w:r>
        <w:t xml:space="preserve">fate</w:t>
      </w:r>
      <w:r>
        <w:t xml:space="preserve"> </w:t>
      </w:r>
      <w:r>
        <w:t xml:space="preserve">correlations,</w:t>
      </w:r>
      <w:r>
        <w:t xml:space="preserve"> </w:t>
      </w:r>
      <w:r>
        <w:t xml:space="preserve">though</w:t>
      </w:r>
      <w:r>
        <w:t xml:space="preserve"> </w:t>
      </w:r>
      <w:r>
        <w:t xml:space="preserve">six</w:t>
      </w:r>
      <w:r>
        <w:t xml:space="preserve"> </w:t>
      </w:r>
      <w:r>
        <w:t xml:space="preserve">parameters</w:t>
      </w:r>
      <w:r>
        <w:t xml:space="preserve"> </w:t>
      </w:r>
      <w:r>
        <w:t xml:space="preserve">fitted</w:t>
      </w:r>
      <w:r>
        <w:t xml:space="preserve"> </w:t>
      </w:r>
      <w:r>
        <w:t xml:space="preserve">to</w:t>
      </w:r>
      <w:r>
        <w:t xml:space="preserve"> </w:t>
      </w:r>
      <w:r>
        <w:t xml:space="preserve">six</w:t>
      </w:r>
      <w:r>
        <w:t xml:space="preserve"> </w:t>
      </w:r>
      <w:r>
        <w:t xml:space="preserve">fate</w:t>
      </w:r>
      <w:r>
        <w:t xml:space="preserve"> </w:t>
      </w:r>
      <w:r>
        <w:t xml:space="preserve">fractions</w:t>
      </w:r>
      <w:r>
        <w:t xml:space="preserve"> </w:t>
      </w:r>
      <w:r>
        <w:t xml:space="preserve">leave</w:t>
      </w:r>
      <w:r>
        <w:t xml:space="preserve"> </w:t>
      </w:r>
      <w:r>
        <w:t xml:space="preserve">that</w:t>
      </w:r>
      <w:r>
        <w:t xml:space="preserve"> </w:t>
      </w:r>
      <w:r>
        <w:t xml:space="preserve">memory</w:t>
      </w:r>
      <w:r>
        <w:t xml:space="preserve"> </w:t>
      </w:r>
      <w:r>
        <w:t xml:space="preserve">undetermined,</w:t>
      </w:r>
      <w:r>
        <w:t xml:space="preserve"> </w:t>
      </w:r>
      <w:r>
        <w:t xml:space="preserve">and</w:t>
      </w:r>
      <w:r>
        <w:t xml:space="preserve"> </w:t>
      </w:r>
      <w:r>
        <w:t xml:space="preserve">a</w:t>
      </w:r>
      <w:r>
        <w:t xml:space="preserve"> </w:t>
      </w:r>
      <w:r>
        <w:t xml:space="preserve">cycle-gated</w:t>
      </w:r>
      <w:r>
        <w:t xml:space="preserve"> </w:t>
      </w:r>
      <w:r>
        <w:t xml:space="preserve">hazard</w:t>
      </w:r>
      <w:r>
        <w:t xml:space="preserve"> </w:t>
      </w:r>
      <w:r>
        <w:t xml:space="preserve">fits</w:t>
      </w:r>
      <w:r>
        <w:t xml:space="preserve"> </w:t>
      </w:r>
      <w:r>
        <w:t xml:space="preserve">as</w:t>
      </w:r>
      <w:r>
        <w:t xml:space="preserve"> </w:t>
      </w:r>
      <w:r>
        <w:t xml:space="preserve">well.</w:t>
      </w:r>
      <w:r>
        <w:t xml:space="preserve"> </w:t>
      </w:r>
      <w:r>
        <w:t xml:space="preserve">Its</w:t>
      </w:r>
      <w:r>
        <w:t xml:space="preserve"> </w:t>
      </w:r>
      <w:r>
        <w:t xml:space="preserve">schedule</w:t>
      </w:r>
      <w:r>
        <w:t xml:space="preserve"> </w:t>
      </w:r>
      <w:r>
        <w:t xml:space="preserve">optimiser</w:t>
      </w:r>
      <w:r>
        <w:t xml:space="preserve"> </w:t>
      </w:r>
      <w:r>
        <w:t xml:space="preserve">reproduces</w:t>
      </w:r>
      <w:r>
        <w:t xml:space="preserve"> </w:t>
      </w:r>
      <w:r>
        <w:t xml:space="preserve">the</w:t>
      </w:r>
      <w:r>
        <w:t xml:space="preserve"> </w:t>
      </w:r>
      <w:r>
        <w:t xml:space="preserve">opposite</w:t>
      </w:r>
      <w:r>
        <w:t xml:space="preserve"> </w:t>
      </w:r>
      <w:r>
        <w:t xml:space="preserve">rankings</w:t>
      </w:r>
      <w:r>
        <w:t xml:space="preserve"> </w:t>
      </w:r>
      <w:r>
        <w:t xml:space="preserve">of</w:t>
      </w:r>
      <w:r>
        <w:t xml:space="preserve"> </w:t>
      </w:r>
      <w:r>
        <w:t xml:space="preserve">intermittent</w:t>
      </w:r>
      <w:r>
        <w:t xml:space="preserve"> </w:t>
      </w:r>
      <w:r>
        <w:t xml:space="preserve">dosing</w:t>
      </w:r>
      <w:r>
        <w:t xml:space="preserve"> </w:t>
      </w:r>
      <w:r>
        <w:t xml:space="preserve">reported</w:t>
      </w:r>
      <w:r>
        <w:t xml:space="preserve"> </w:t>
      </w:r>
      <w:r>
        <w:t xml:space="preserve">in</w:t>
      </w:r>
      <w:r>
        <w:t xml:space="preserve"> </w:t>
      </w:r>
      <w:r>
        <w:t xml:space="preserve">a</w:t>
      </w:r>
      <w:r>
        <w:t xml:space="preserve"> </w:t>
      </w:r>
      <w:r>
        <w:t xml:space="preserve">melanoma</w:t>
      </w:r>
      <w:r>
        <w:t xml:space="preserve"> </w:t>
      </w:r>
      <w:r>
        <w:t xml:space="preserve">trial</w:t>
      </w:r>
      <w:r>
        <w:t xml:space="preserve"> </w:t>
      </w:r>
      <w:r>
        <w:t xml:space="preserve">and</w:t>
      </w:r>
      <w:r>
        <w:t xml:space="preserve"> </w:t>
      </w:r>
      <w:r>
        <w:t xml:space="preserve">in</w:t>
      </w:r>
      <w:r>
        <w:t xml:space="preserve"> </w:t>
      </w:r>
      <w:r>
        <w:t xml:space="preserve">xenografts,</w:t>
      </w:r>
      <w:r>
        <w:t xml:space="preserve"> </w:t>
      </w:r>
      <w:r>
        <w:t xml:space="preserve">and</w:t>
      </w:r>
      <w:r>
        <w:t xml:space="preserve"> </w:t>
      </w:r>
      <w:r>
        <w:t xml:space="preserve">shows</w:t>
      </w:r>
      <w:r>
        <w:t xml:space="preserve"> </w:t>
      </w:r>
      <w:r>
        <w:t xml:space="preserve">the</w:t>
      </w:r>
      <w:r>
        <w:t xml:space="preserve"> </w:t>
      </w:r>
      <w:r>
        <w:t xml:space="preserve">ranking</w:t>
      </w:r>
      <w:r>
        <w:t xml:space="preserve"> </w:t>
      </w:r>
      <w:r>
        <w:t xml:space="preserve">to</w:t>
      </w:r>
      <w:r>
        <w:t xml:space="preserve"> </w:t>
      </w:r>
      <w:r>
        <w:t xml:space="preserve">turn</w:t>
      </w:r>
      <w:r>
        <w:t xml:space="preserve"> </w:t>
      </w:r>
      <w:r>
        <w:t xml:space="preserve">on</w:t>
      </w:r>
      <w:r>
        <w:t xml:space="preserve"> </w:t>
      </w:r>
      <w:r>
        <w:t xml:space="preserve">two</w:t>
      </w:r>
      <w:r>
        <w:t xml:space="preserve"> </w:t>
      </w:r>
      <w:r>
        <w:t xml:space="preserve">measurable</w:t>
      </w:r>
      <w:r>
        <w:t xml:space="preserve"> </w:t>
      </w:r>
      <w:r>
        <w:t xml:space="preserve">cell</w:t>
      </w:r>
      <w:r>
        <w:t xml:space="preserve"> </w:t>
      </w:r>
      <w:r>
        <w:t xml:space="preserve">properties:</w:t>
      </w:r>
      <w:r>
        <w:t xml:space="preserve"> </w:t>
      </w:r>
      <w:r>
        <w:t xml:space="preserve">growth</w:t>
      </w:r>
      <w:r>
        <w:t xml:space="preserve"> </w:t>
      </w:r>
      <w:r>
        <w:t xml:space="preserve">under</w:t>
      </w:r>
      <w:r>
        <w:t xml:space="preserve"> </w:t>
      </w:r>
      <w:r>
        <w:t xml:space="preserve">drug</w:t>
      </w:r>
      <w:r>
        <w:t xml:space="preserve"> </w:t>
      </w:r>
      <w:r>
        <w:t xml:space="preserve">and</w:t>
      </w:r>
      <w:r>
        <w:t xml:space="preserve"> </w:t>
      </w:r>
      <w:r>
        <w:t xml:space="preserve">fitness</w:t>
      </w:r>
      <w:r>
        <w:t xml:space="preserve"> </w:t>
      </w:r>
      <w:r>
        <w:t xml:space="preserve">without</w:t>
      </w:r>
      <w:r>
        <w:t xml:space="preserve"> </w:t>
      </w:r>
      <w:r>
        <w:t xml:space="preserve">it.</w:t>
      </w:r>
    </w:p>
    <w:bookmarkStart w:id="20" w:name="author-summary"/>
    <w:p>
      <w:pPr>
        <w:pStyle w:val="Heading2"/>
      </w:pPr>
      <w:r>
        <w:t xml:space="preserve">Author summary</w:t>
      </w:r>
    </w:p>
    <w:p>
      <w:pPr>
        <w:pStyle w:val="FirstParagraph"/>
      </w:pPr>
      <w:r>
        <w:t xml:space="preserve">Two cancer cells with the same genome, given the same drug, can meet opposite fates: one dies and the other survives. Much of that difference comes from how strongly each cell happens to be expressing particular genes when treatment begins, and cells pass those expression states to their daughters when they divide. The simulators used to test single-cell analysis methods do not model growth or division, so they cannot produce such inherited states; the simulators that do model dividing cells carry no drug.</w:t>
      </w:r>
    </w:p>
    <w:p>
      <w:pPr>
        <w:pStyle w:val="BodyText"/>
      </w:pPr>
      <w:r>
        <w:t xml:space="preserve">We built Biomodelling.jl 2.0, in which chemical reactions play out inside cells that grow, copy their genes, divide, and meet drugs on realistic schedules. Expression memory, cell-size effects and cell-cycle dependence emerge from that physiology rather than being assumed. We checked the simulator against cases whose answers are known exactly in mathematics, fitted it to published time-lapse recordings of cells under chemotherapy, and asked it to predict a concentration it had not been fitted to.</w:t>
      </w:r>
    </w:p>
    <w:p>
      <w:pPr>
        <w:pStyle w:val="BodyText"/>
      </w:pPr>
      <w:r>
        <w:t xml:space="preserve">We then put a clinical question to it: should a drug be given continuously, or with breaks? The answer turns on two properties of resistant cells that experiments can measure.</w:t>
      </w:r>
    </w:p>
    <w:p>
      <w:pPr>
        <w:pStyle w:val="BodyText"/>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t xml:space="preserve"> </w:t>
      </w:r>
      <w: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t xml:space="preserve"> </w:t>
      </w:r>
      <w: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t xml:space="preserve"> </w:t>
      </w:r>
      <w:r>
        <w:t xml:space="preserve">[10–12]</w:t>
      </w:r>
      <w:r>
        <w:t xml:space="preserve">, and evaluations of</w:t>
      </w:r>
      <w:r>
        <w:t xml:space="preserve"> </w:t>
      </w:r>
      <w:r>
        <w:t xml:space="preserve">“</w:t>
      </w:r>
      <w:r>
        <w:t xml:space="preserve">virtual cell</w:t>
      </w:r>
      <w:r>
        <w:t xml:space="preserve">”</w:t>
      </w:r>
      <w:r>
        <w:t xml:space="preserve"> </w:t>
      </w:r>
      <w:r>
        <w:t xml:space="preserve">models for perturbation prediction keep finding that deep-learning approaches fail to beat simple baselines, largely for want of mechanism and causal structure</w:t>
      </w:r>
      <w:r>
        <w:t xml:space="preserve"> </w:t>
      </w:r>
      <w:r>
        <w:t xml:space="preserve">[13–16]</w:t>
      </w:r>
      <w:r>
        <w:t xml:space="preserve">.</w:t>
      </w:r>
    </w:p>
    <w:p>
      <w:pPr>
        <w:pStyle w:val="BodyText"/>
      </w:pPr>
      <w:r>
        <w:t xml:space="preserve">These developments create a demand that existing simulators do not meet. The simulators used to benchmark single-cell methods divide according to whether they supply a regulatory network as ground truth, and neither kind models cell growth, volume-dependent transcription, gene replication or the partitioning of molecules at division. Splatter and scDesign3 draw counts from statistical models fitted to reference data, and SymSim draws them from a two-state promoter whose kinetic parameters are products of cell-specific and gene-specific factors; none of the three supplies a network</w:t>
      </w:r>
      <w:r>
        <w:t xml:space="preserve"> </w:t>
      </w:r>
      <w:r>
        <w:t xml:space="preserve">[17–19]</w:t>
      </w:r>
      <w:r>
        <w:t xml:space="preserve">. SERGIO, dyngen and scMultiSim simulate the kinetics of a user-specified network</w:t>
      </w:r>
      <w:r>
        <w:t xml:space="preserve"> </w:t>
      </w:r>
      <w:r>
        <w:t xml:space="preserve">[20–22]</w:t>
      </w:r>
      <w:r>
        <w:t xml:space="preserve">, and GRouNdGAN imposes one on an adversarially trained generator, so that each gene’s counts follow from those of its transcription factors</w:t>
      </w:r>
      <w:r>
        <w:t xml:space="preserve"> </w:t>
      </w:r>
      <w:r>
        <w:t xml:space="preserve">[23]</w:t>
      </w:r>
      <w:r>
        <w:t xml:space="preserve">. Most of these simulators place cells on a differentiation trajectory, and lineage simulators such as TedSim and Cassiopeia</w:t>
      </w:r>
      <w:r>
        <w:t xml:space="preserve"> </w:t>
      </w:r>
      <w:r>
        <w:t xml:space="preserve">[24,25]</w:t>
      </w:r>
      <w:r>
        <w:t xml:space="preserve"> </w:t>
      </w:r>
      <w:r>
        <w:t xml:space="preserve">generate division trees, but the expression attached to those trees is phenomenological and largely Markovian. Expression memory, cell-size scaling, cell-cycle-dependent bursting and persister dynamics therefore have to be imposed on them rather than emerging, and none provides the ground truth that the methods now being developed for exactly those phenomena require</w:t>
      </w:r>
      <w:r>
        <w:t xml:space="preserve"> </w:t>
      </w:r>
      <w:r>
        <w:t xml:space="preserve">[26]</w:t>
      </w:r>
      <w:r>
        <w:t xml:space="preserve">. Stochastic simulators of growing and dividing cells do exist, and the most complete of them couples reaction kinetics to growth, division and inference from lineage data</w:t>
      </w:r>
      <w:r>
        <w:t xml:space="preserve"> </w:t>
      </w:r>
      <w:r>
        <w:t xml:space="preserve">[27–30]</w:t>
      </w:r>
      <w:r>
        <w:t xml:space="preserve">; what none of them adds is a drug and schedule layer, observation models for the measurements these questions are asked of, and benchmark generation. Agent-based tumour simulators supply the drug response and the spatial structure but not stochastic transcription in dividing cells</w:t>
      </w:r>
      <w:r>
        <w:t xml:space="preserve"> </w:t>
      </w:r>
      <w:r>
        <w:t xml:space="preserve">[31,32]</w:t>
      </w:r>
      <w:r>
        <w:t xml:space="preserve">.</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t xml:space="preserve"> </w:t>
      </w:r>
      <w:r>
        <w:t xml:space="preserve">[33]</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End w:id="20"/>
    <w:bookmarkStart w:id="29" w:name="results"/>
    <w:p>
      <w:pPr>
        <w:pStyle w:val="Heading1"/>
      </w:pPr>
      <w:r>
        <w:t xml:space="preserve">Results</w:t>
      </w:r>
    </w:p>
    <w:bookmarkStart w:id="21"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t xml:space="preserve"> </w:t>
      </w:r>
      <w:r>
        <w:t xml:space="preserve">[20]</w:t>
      </w:r>
      <w:r>
        <w:t xml:space="preserve">, dyngen</w:t>
      </w:r>
      <w:r>
        <w:t xml:space="preserve"> </w:t>
      </w:r>
      <w:r>
        <w:t xml:space="preserve">[21]</w:t>
      </w:r>
      <w:r>
        <w:t xml:space="preserve">, scMultiSim</w:t>
      </w:r>
      <w:r>
        <w:t xml:space="preserve"> </w:t>
      </w:r>
      <w:r>
        <w:t xml:space="preserve">[22]</w:t>
      </w:r>
      <w:r>
        <w:t xml:space="preserve">, GRouNdGAN</w:t>
      </w:r>
      <w:r>
        <w:t xml:space="preserve"> </w:t>
      </w:r>
      <w:r>
        <w:t xml:space="preserve">[23]</w:t>
      </w:r>
      <w:r>
        <w:t xml:space="preserve">, TedSim</w:t>
      </w:r>
      <w:r>
        <w:t xml:space="preserve"> </w:t>
      </w:r>
      <w:r>
        <w:t xml:space="preserve">[24]</w:t>
      </w:r>
      <w:r>
        <w:t xml:space="preserve">, Cassiopeia</w:t>
      </w:r>
      <w:r>
        <w:t xml:space="preserve"> </w:t>
      </w:r>
      <w:r>
        <w:t xml:space="preserve">[25]</w:t>
      </w:r>
      <w:r>
        <w:t xml:space="preserve">, ABM.jl (AgentBasedModeling.jl)</w:t>
      </w:r>
      <w:r>
        <w:t xml:space="preserve"> </w:t>
      </w:r>
      <w:r>
        <w:t xml:space="preserve">[28]</w:t>
      </w:r>
      <w:r>
        <w:t xml:space="preserve">, Biomodelling.jl v1.x</w:t>
      </w:r>
      <w:r>
        <w:t xml:space="preserve"> </w:t>
      </w:r>
      <w:r>
        <w:t xml:space="preserve">[33]</w:t>
      </w:r>
      <w:r>
        <w:t xml:space="preserve"> </w:t>
      </w:r>
      <w:r>
        <w:t xml:space="preserve">and v2.0 (this work). Entries were read from each tool’s publication and documentation, and describe what the tool provides rather than what its formalism could express. Three readings need qualifying. SERGIO is a Python package that returns expression matrices as arrays and scMultiSim is an R package returning SingleCellExperiment-style objects, so neither writes AnnData natively; scMultiSim does carry a differentiation tree, so cells are related by a trajectory even though per-cell division and fate are not simulated. ABM.jl is the closest comparator: it simulates stochastic reaction networks in growing, dividing agents with an adder division rule, binomial partitioning, death and environmental coupling, and its companion work infers kinetic and selection parameters from mother-machine and lineage-tree data</w:t>
      </w:r>
      <w:r>
        <w:t xml:space="preserve"> </w:t>
      </w:r>
      <w:r>
        <w:t xml:space="preserve">[29]</w:t>
      </w:r>
      <w:r>
        <w:t xml:space="preserve">; its ○ entries are for gene replication, which its agent formalism can express but does not provide, and for lineage output, which traces a cell back to its ancestor rather than recording a tree with per-cell fates. Cassiopeia simulates division topologies with heritable fitness and CRISPR barcodes rather than molecular content, and its inference recovers phylogenies rather than kinetic parameters.</w:t>
      </w:r>
    </w:p>
    <w:tbl>
      <w:tblPr>
        <w:tblStyle w:val="Table"/>
        <w:tblW w:type="pct" w:w="5000"/>
        <w:tblLook w:firstRow="1" w:lastRow="0" w:firstColumn="0" w:lastColumn="0" w:noHBand="0" w:noVBand="0" w:val="0020"/>
        <w:jc w:val="start"/>
      </w:tblPr>
      <w:tblGrid>
        <w:gridCol w:w="2527"/>
        <w:gridCol w:w="589"/>
        <w:gridCol w:w="589"/>
        <w:gridCol w:w="758"/>
        <w:gridCol w:w="674"/>
        <w:gridCol w:w="589"/>
        <w:gridCol w:w="758"/>
        <w:gridCol w:w="589"/>
        <w:gridCol w:w="421"/>
        <w:gridCol w:w="421"/>
      </w:tblGrid>
      <w:tr>
        <w:trPr>
          <w:tblHeader w:val="true"/>
        </w:trPr>
        <w:tc>
          <w:tcPr/>
          <w:p>
            <w:pPr>
              <w:pStyle w:val="Compact"/>
              <w:jc w:val="left"/>
            </w:pPr>
            <w:r>
              <w:t xml:space="preserve">Capability</w:t>
            </w:r>
          </w:p>
        </w:tc>
        <w:tc>
          <w:tcPr/>
          <w:p>
            <w:pPr>
              <w:pStyle w:val="Compact"/>
              <w:jc w:val="left"/>
            </w:pPr>
            <w:r>
              <w:t xml:space="preserve">SERGIO</w:t>
            </w:r>
          </w:p>
        </w:tc>
        <w:tc>
          <w:tcPr/>
          <w:p>
            <w:pPr>
              <w:pStyle w:val="Compact"/>
              <w:jc w:val="lef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jc w:val="left"/>
            </w:pPr>
            <w:r>
              <w:t xml:space="preserve">TedSim</w:t>
            </w:r>
          </w:p>
        </w:tc>
        <w:tc>
          <w:tcPr/>
          <w:p>
            <w:pPr>
              <w:pStyle w:val="Compact"/>
              <w:jc w:val="left"/>
            </w:pPr>
            <w:r>
              <w:t xml:space="preserve">Cassio-</w:t>
            </w:r>
            <w:r>
              <w:t xml:space="preserve"> </w:t>
            </w:r>
            <w:r>
              <w:t xml:space="preserve">peia</w:t>
            </w:r>
          </w:p>
        </w:tc>
        <w:tc>
          <w:tcPr/>
          <w:p>
            <w:pPr>
              <w:pStyle w:val="Compact"/>
              <w:jc w:val="left"/>
            </w:pPr>
            <w:r>
              <w:t xml:space="preserve">ABM.jl</w:t>
            </w:r>
          </w:p>
        </w:tc>
        <w:tc>
          <w:tcPr/>
          <w:p>
            <w:pPr>
              <w:pStyle w:val="Compact"/>
              <w:jc w:val="left"/>
            </w:pPr>
            <w:r>
              <w:t xml:space="preserve">v1.x</w:t>
            </w:r>
          </w:p>
        </w:tc>
        <w:tc>
          <w:tcPr/>
          <w:p>
            <w:pPr>
              <w:pStyle w:val="Compact"/>
              <w:jc w:val="lef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Cell growth, volume-scaled</w:t>
            </w:r>
            <w:r>
              <w:t xml:space="preserve"> </w:t>
            </w:r>
            <w:r>
              <w:t xml:space="preserve">transcription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replication / cell-</w:t>
            </w:r>
            <w:r>
              <w:t xml:space="preserve"> </w:t>
            </w:r>
            <w:r>
              <w:t xml:space="preserve">cycle copy number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Division with molecular</w:t>
            </w:r>
            <w:r>
              <w:t xml:space="preserve"> </w:t>
            </w:r>
            <w:r>
              <w:t xml:space="preserve">partitioning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Heritable promoter states,</w:t>
            </w:r>
            <w:r>
              <w:t xml:space="preserve"> </w:t>
            </w:r>
            <w:r>
              <w:t xml:space="preserve">expression memory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Lineage tree with per-cell</w:t>
            </w:r>
            <w:r>
              <w:t xml:space="preserve"> </w:t>
            </w:r>
            <w:r>
              <w:t xml:space="preserve">fates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scRNA-seq observation model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smFISH / time-lapse</w:t>
            </w:r>
            <w:r>
              <w:t xml:space="preserve"> </w:t>
            </w:r>
            <w:r>
              <w:t xml:space="preserve">observation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Parameter inference from</w:t>
            </w:r>
            <w:r>
              <w:t xml:space="preserve"> </w:t>
            </w:r>
            <w:r>
              <w:t xml:space="preserve">data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AnnData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1"/>
    <w:bookmarkStart w:id="22"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t xml:space="preserve"> </w:t>
      </w:r>
      <w:r>
        <w:t xml:space="preserve">[34]</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Those tests exercise one cell at fixed volume. The layer above them, growth, replication, partitioning and the difference between a lineage and a population, has exact solutions of its own for this class of model, which take different closed forms in the two settings</w:t>
      </w:r>
      <w:r>
        <w:t xml:space="preserve"> </w:t>
      </w:r>
      <w:r>
        <w:t xml:space="preserve">[35–37]</w:t>
      </w:r>
      <w:r>
        <w:t xml:space="preserve">. We reproduced four analytically solvable members of that class, with constitutive, bursty and two-state promoter kinetics under a memoryless interdivision time and with volume-scaled synthesis from a replicating gene under a deterministic cycle, in both modes. Along single lineages, where the mother-machine control makes the recorded cells independent and the Kolmogorov-Smirnov test applies as it stands, all 4 samples match the exact law of their mode (distances 0.0023 to 0.0054 against 99% critical values of 0.0081 to 0.0115). A population snapshot is not an independent sample, because its cells share ancestors, so the independent critical value understates the true one and the population mode is judged on the agreement of its replicate means with the exact mean. Those means sit within 2.5 standard errors of the exact values (18 of the 20 individual samples also fall below the independent critical value, the largest distance being 0.0170). All four population means are nonetheless slightly low, by 0.03% to 0.70%; no single deviation is resolved, the largest being 2.5 standard errors (</w:t>
      </w:r>
      <m:oMath>
        <m:r>
          <m:t>p</m:t>
        </m:r>
        <m:r>
          <m:rPr>
            <m:sty m:val="p"/>
          </m:rPr>
          <m:t>=</m:t>
        </m:r>
        <m:r>
          <m:t>0.07</m:t>
        </m:r>
      </m:oMath>
      <w:r>
        <w:t xml:space="preserve">, Student’s t), but the common sign is not accounted for by the discretisation, the subsampling cap or the burn-in, each of which is excluded in Supplementary Note 14. Scored against the exact law of the other mode, the same samples give distances at least 6 times larger, so the comparison has ample power to tell the two settings apart. The two differ because a snapshot of a growing population over-weights cells that have just divided and so just lost half their molecules: the mean molecule number is constitutive production 13.33 against 10.00; bursts of four molecules 13.33 against 10.00; two-state promoter 8.89 against 6.67; volume-scaled synthesis with gene replication 25.64 against 23.96 along a lineage and in a population respectively (Supplementary Note 14 and Supplementary Fig. 6). Population simulations scale linearly with the number of cells: 2.6 s for 5000 cells × 10 telegraph genes × 200 steps (hybrid kernel) with four threads (Fig. 2f and Supplementary Table 3). Scaling in the number of reactions depends on the kernel and is close to linear only for the hybrid one (0.58 s to 6.4 s for the hybrid kernel, a factor of 11 for the same factor of 10 in genes; 1.04 s to 31.4 s for the direct kernel, a factor of 30 for the same factor of 10 in genes), because the direct method draws one event at a time while the hybrid kernel leaps over the non-critical channels in a fixed number of operations.</w:t>
      </w:r>
    </w:p>
    <w:bookmarkEnd w:id="22"/>
    <w:bookmarkStart w:id="23"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t xml:space="preserve"> </w:t>
      </w:r>
      <w: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t xml:space="preserve"> </w:t>
      </w:r>
      <w: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move in the direction gene replication implies, but not by the factor it alone would give (Fig. 3f). Between the one-copy and the two-copy subsets the fitted transcription rate rises 2.0-fold, of which 1.4-fold is the larger volume of cells that have already replicated, leaving 1.4-fold per unit volume rather than the twofold that doubling the copy number implies; the fitted activation rate rises 1.4-fold over the same comparison, and the pooled fit that ignores the cell cycle returns a transcription rate above both subsets. Part of that shortfall is misspecification rather than copy number, and the figure shows it: two independently switching alleles are not one telegraph gene, and neither subset fit recovers the truth (0.5 and 1.5 for the switching rates and 2 for the transcription rate as Fig. 3f scales it, that is the true 40 transcripts per unit time per unit volume per allele divided by twenty, against 0.59, 1.89 and 2.4 fitted to the one-copy cells and 0.65, 3.27 and 4.8 pooled, whose transcription rates are scaled the same way). What the panel demonstrates is that a cell-cycle-blind fit is biased, not how large the copy-number effect is.</w:t>
      </w:r>
    </w:p>
    <w:bookmarkEnd w:id="23"/>
    <w:bookmarkStart w:id="24"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t xml:space="preserve"> </w:t>
      </w:r>
      <w:r>
        <w:t xml:space="preserve">[6]</w:t>
      </w:r>
      <w:r>
        <w:t xml:space="preserve">, because fate is biased by states that exist before the drug arrives. Unlike the growth-arrested persisters of the canonical definition</w:t>
      </w:r>
      <w:r>
        <w:t xml:space="preserve"> </w:t>
      </w:r>
      <w: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1.8- and 2.5-fold values the panel prints rest on one sister pair and two cousin pairs in which both lineages survived, and the concordance sits at the independent expectation (+0.000 above it, against +0.051 for the memory gene;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t xml:space="preserve"> </w:t>
      </w:r>
      <w:r>
        <w:t xml:space="preserve">[2,6]</w:t>
      </w:r>
      <w:r>
        <w:t xml:space="preserve">; the follow-up method that traces resistant fates back to their drug-naive precursors puts those precursors at an initial frequency of about 1 in 1,000 to 1 in 10,000 cells</w:t>
      </w:r>
      <w:r>
        <w:t xml:space="preserve"> </w:t>
      </w:r>
      <w:r>
        <w:t xml:space="preserve">[38]</w:t>
      </w:r>
      <w:r>
        <w:t xml:space="preserve">. The melanoma case study below does not sit in that regime: it uses 1:200, the per-marker frequency at which rare cells express resistance genes before drug</w:t>
      </w:r>
      <w:r>
        <w:t xml:space="preserve"> </w:t>
      </w:r>
      <w:r>
        <w:t xml:space="preserve">[2]</w:t>
      </w:r>
      <w:r>
        <w:t xml:space="preserve">, which is 5- to 50-fold higher. That range is in any case not resolvable at the size of this study, since a draw of its 2,000 founders would contain no pre-resistant cell at all with probability 0.8 at 1 in 10,000. The consequence is a larger and less clonal pre-existing resistant pool, so that among the arms which do lose control it is lost earlier than the traced frequency would give; the ranking of the schedules follows from the growth of resistant cells with and without drug rather than from their initial frequency, but it was not re-tested at a lower fraction.</w:t>
      </w:r>
    </w:p>
    <w:p>
      <w:pPr>
        <w:pStyle w:val="BodyText"/>
      </w:pPr>
      <w:r>
        <w:t xml:space="preserve">Disrupting expression memory changes the outcome, and when it is disrupted matters. Accelerating promoter switching 20-fold from two cell-cycle times before the drug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w:t>
      </w:r>
    </w:p>
    <w:p>
      <w:pPr>
        <w:pStyle w:val="BodyText"/>
      </w:pPr>
      <w:r>
        <w:t xml:space="preserve">Two published experiments bear on this prediction and they point in opposite directions, so it is worth being explicit about which perturbation each one performs. A CRISPR screen for modulators of single-cell variability found that inhibiting DOT1L</w:t>
      </w:r>
      <w:r>
        <w:t xml:space="preserve"> </w:t>
      </w:r>
      <w:r>
        <w:rPr>
          <w:iCs/>
          <w:i/>
        </w:rPr>
        <w:t xml:space="preserve">before</w:t>
      </w:r>
      <w:r>
        <w:t xml:space="preserve"> </w:t>
      </w:r>
      <w:r>
        <w:t xml:space="preserve">adding a BRAF inhibitor produced more therapy resistance than giving the two together</w:t>
      </w:r>
      <w:r>
        <w:t xml:space="preserve"> </w:t>
      </w:r>
      <w:r>
        <w:t xml:space="preserve">[39]</w:t>
      </w:r>
      <w:r>
        <w:t xml:space="preserve">, which is the ordering the model predicts. A lineage-tracing study that identified PI3K and TGF-β signalling as switching modulators found the opposite for its own pretreatment: a PI3K inhibitor applied before targeted therapy left less resistance than targeted therapy alone</w:t>
      </w:r>
      <w:r>
        <w:t xml:space="preserve"> </w:t>
      </w:r>
      <w:r>
        <w:t xml:space="preserve">[9]</w:t>
      </w:r>
      <w:r>
        <w:t xml:space="preserve">. The two results are not in conflict with each other, and only the first is a test of what is simulated here. The perturbation in the model is symmetric: it multiplies the activation and the inactivation rate by the same factor, so it accelerates relaxation towards the stationary resistant fraction without moving that fraction, and its only effect before the drug is to spread the resistant state over more lineages. A modulator that shifts the balance between the states is a different perturbation, and a pretreatment that drives cells out of the primed state lowers the number of protected cells at the moment the drug arrives, which reduces resistance whether or not it is maintained. The prediction here is therefore specific to perturbations that speed switching without biasing it, of which DOT1L inhibition appears to be one and PI3K inhibition is not; distinguishing the two experimentally requires measuring the resistant fraction as well as the switching rate, which memory-sequencing and lineage-tracing assays do. Compartment theory for phenotypic switching already predicts that an agent which perturbs the retention of the resistant state can turn treatment failure into success</w:t>
      </w:r>
      <w:r>
        <w:t xml:space="preserve"> </w:t>
      </w:r>
      <w:r>
        <w:t xml:space="preserve">[40]</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t xml:space="preserve"> </w:t>
      </w:r>
      <w:r>
        <w:t xml:space="preserve">[41]</w:t>
      </w:r>
      <w:r>
        <w:t xml:space="preserve">. Finally, scanning release periods and doses of intermittent schedules (Fig. 4h), the most effective schedule is release period 0, dose 2 (growth rate +0.0038 per time unit, ± 0.0007 over 5 seeds) for pre-existing tolerance, release period 0, dose 2 (growth rate -0.0151 per time unit, ± 0.0012 over 5 seeds) when the resistant state carries a fitness cost, and release period 0, dose 1 (growth rate +0.0089 per time unit, ± 0.0001 over 5 seeds) for drug-induced tolerance. Each point of the scan is the mean of 5 independent seeds, and every schedule is run on the same 5 seeds, so schedules are compared by their paired differences, in which the shared founder population cancels; the spread quoted beside each winner above is the seed-to-seed scatter of its absolute growth rate, which is larger than the paired differences and is not the error on them. The winning schedule beats the best schedule with a non-zero release period by 0.0003 to 0.0014 per time unit against paired standard errors of 0.0001 to 0.0003, a margin that a two-sided paired t-test resolves at the 5% level in 1 of the 3 mechanisms, the one in which the resistant state carries a fitness cost. Elsewhere the scan identifies a region of good schedules rather than a single best one (pre-existing tolerance +0.0004 against 0.0002,</w:t>
      </w:r>
      <w:r>
        <w:t xml:space="preserve"> </w:t>
      </w:r>
      <m:oMath>
        <m:r>
          <m:t>P</m:t>
        </m:r>
        <m:r>
          <m:rPr>
            <m:sty m:val="p"/>
          </m:rPr>
          <m:t>=</m:t>
        </m:r>
        <m:r>
          <m:t>0.18</m:t>
        </m:r>
      </m:oMath>
      <w:r>
        <w:t xml:space="preserve">; drug-induced tolerance +0.0003 against 0.0001,</w:t>
      </w:r>
      <w:r>
        <w:t xml:space="preserve"> </w:t>
      </w:r>
      <m:oMath>
        <m:r>
          <m:t>P</m:t>
        </m:r>
        <m:r>
          <m:rPr>
            <m:sty m:val="p"/>
          </m:rPr>
          <m:t>=</m:t>
        </m:r>
        <m:r>
          <m:t>0.11</m:t>
        </m:r>
      </m:oMath>
      <w:r>
        <w:t xml:space="preserv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at doses of 1 and 2 cost little, though 3 of those 4 are resolvably worse than continuous dosing at the highest dose (+0.0014 to +0.0029 per time unit, -0.0151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0, dose 1 (growth rate +0.0089 per time unit, ± 0.0001 over 5 seeds), against +0.0123 for continuous dose 2), the intermediate-dose optimum reported previously</w:t>
      </w:r>
      <w:r>
        <w:t xml:space="preserve"> </w:t>
      </w:r>
      <w:r>
        <w:t xml:space="preserve">[42]</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9.9 against 6.2 to 8.5 time units),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In the schedule scan, continuous dosing wins in all 3 models with the gate as without it, at the same dose in 3 of 3. The gate raises the long-term growth rate (+0.0026 to +0.0155 per time unit at all 60 points of the scan), which is what confining three quarters of the hazard to a window of the cycle implies, and it perturbs the order of the schedules below the winner (Spearman correlation 0.977 to 0.998 between the gated and cycle-blind orderings), but it changes neither which schedule wins nor the intermediate-dose optimum under drug-induced tolerance (+0.0156 against +0.0190 under the gate and +0.0089 against +0.0123 without it). Across the two scans a two-sided paired t-test resolves the margin over the best holiday at the 5% level in 4 of the 6 comparisons, the exceptions being pre-existing tolerance without the gate (+0.0004 against a paired standard error of 0.0002) and drug-induced tolerance without the gate (+0.0003 against a paired standard error of 0.0001) (Supplementary Note 13 and Supplementary Fig. 5).</w:t>
      </w:r>
    </w:p>
    <w:bookmarkEnd w:id="24"/>
    <w:bookmarkStart w:id="25"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a mean of 29.6 for genes with memory beyond a hundred time units, five cell-cycle times, the highest single gene reaching 44.5 (38.4 on sequenced counts),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small enough that the methods were run with their default settings and the ranking of datasets rather than the absolute accuracy is what should be read,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One comparison in that panel runs the wrong way: for Pearson correlation the library-size-normalised sequenced counts score above the true concentrations (0.24 against 0.18). Dividing counts by the library size removes cell-to-cell scale, and in a dividing population that scale is dominated by volume and gene copy number, so the normalisation acts as a coarse correction for the growth confound that dividing by the true volume does not make. It is not evidence that sequencing helps; the fixed-volume ceiling (0.52) is above both, and the cell-cycle regression (0.46) is above both as well.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t xml:space="preserve"> </w:t>
      </w:r>
      <w:r>
        <w:t xml:space="preserve">[33]</w:t>
      </w:r>
      <w:r>
        <w:t xml:space="preserve">. Knocking down the five most connected regulators of a 20-gene network, again small and run at default settings,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t xml:space="preserve"> </w:t>
      </w:r>
      <w:r>
        <w:t xml:space="preserve">[13,14]</w:t>
      </w:r>
      <w:r>
        <w:t xml:space="preserve">.</w:t>
      </w:r>
    </w:p>
    <w:bookmarkEnd w:id="25"/>
    <w:bookmarkStart w:id="26"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t xml:space="preserve"> </w:t>
      </w:r>
      <w:r>
        <w:t xml:space="preserve">[43]</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26"/>
    <w:bookmarkStart w:id="27"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t xml:space="preserve"> </w:t>
      </w:r>
      <w: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0.077 (memory 2.8 generations, resistant fraction 15.2%, EC</w:t>
      </w:r>
      <m:oMath>
        <m:sSub>
          <m:e>
            <m:r>
              <m:t>​</m:t>
            </m:r>
          </m:e>
          <m:sub>
            <m:r>
              <m:t>50</m:t>
            </m:r>
          </m:sub>
        </m:sSub>
      </m:oMath>
      <w:r>
        <w:t xml:space="preserve"> </w:t>
      </w:r>
      <w:r>
        <w:t xml:space="preserve">16.7 µM; Fig. 7a,f). Three related numbers appear in this Article and are not interchangeable. Every root-mean-square error quoted in the text is the residual of the seed-averaged fate fractions pooled over every fraction of the concentrations named: four seeds per condition for the calibration, here and at the held-out concentration, and three for the comparison of the two killing mechanisms below, whose training errors alone are single-seed, because the optimiser evaluates one seed per candidate. The colour scale of Fig. 7e is the quantity the optimiser minimised, which is evaluated on a single seed and adds the memory prior: at the optimum it is 0.067, made up of 0.061 of single-seed training error and 0.006 of prior penalty. The comparison of the two killing mechanisms in Supplementary Note 12 uses that single-seed training error for both models, so that they are scored by the same rule as the fit itself. That error should be read against the precision of the measurement: the observed fractions carry a mean binomial standard error of 0.028 and repeated simulations differ by 0.015, so the fit is about 2.4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(95% confidence interval -0.026 to +0.069, Student’s t on two degrees of freedom over three seeds, a range that contains zero) and 0.00 for unrelated cells (Fig. 7c). That is the pattern reported for HCT116 lineages, in which fate correlations are present for first and second cousins and absent for third cousins, with memory inherited over at least two to three generations</w:t>
      </w:r>
      <w:r>
        <w:t xml:space="preserve"> </w:t>
      </w:r>
      <w:r>
        <w:t xml:space="preserve">[6]</w:t>
      </w:r>
      <w:r>
        <w:t xml:space="preserve">; the comparison is qualitative on both sides, because the source reports these correlations graphically and gives no numeric coefficients or confidence intervals to match. One caveat belongs beside this agreement. Cells here draw their cycle times independently, so no cycle timing is inherited and every correlation between related cells is carried by the inherited promoter state. Cell-cycle duration is in fact heritable over several generations, and its inheritance alone produces strong cousin and second-cousin correlations even when mother-daughter correlations are weak</w:t>
      </w:r>
      <w:r>
        <w:t xml:space="preserve"> </w:t>
      </w:r>
      <w:r>
        <w:t xml:space="preserve">[44–46]</w:t>
      </w:r>
      <w:r>
        <w:t xml:space="preserve">. Coupled to a cycle-gated hazard, that is a complete alternative explanation for the correlations fitted here, and the model as built cannot produce it.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t xml:space="preserve"> </w:t>
      </w:r>
      <w: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27"/>
    <w:bookmarkStart w:id="28"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t xml:space="preserve"> </w:t>
      </w:r>
      <w: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t xml:space="preserve"> </w:t>
      </w:r>
      <w:r>
        <w:t xml:space="preserve">[47]</w:t>
      </w:r>
      <w:r>
        <w:t xml:space="preserve">, and adaptive therapy, in which the drug is withdrawn when the population has halved and resumed when it regrows to its initial size</w:t>
      </w:r>
      <w:r>
        <w:t xml:space="preserve"> </w:t>
      </w:r>
      <w:r>
        <w:t xml:space="preserve">[48]</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t xml:space="preserve"> </w:t>
      </w:r>
      <w:r>
        <w:t xml:space="preserve">[6]</w:t>
      </w:r>
      <w:r>
        <w:t xml:space="preserve">, resistant cells grow at the same rate with or without drug, so a holiday cannot cost the resistant subpopulation anything and can only let sensitive cells regrow to be killed again. Even so, both interrupted schedules keep control longer than continuous dosing: the three lose control after 23, 26 and 27 weeks, with the intermittent schedule delivering 65% of the cumulative dose of continuous dosing over the full 60-week simulation. The reason is a second drug effect rather than the fitness of resistant cells: the drug stabilises the resistant state tenfold by suppressing the promoter inactivation rate (Methods), so continuous exposure keeps cells resistant that a holiday allows to revert. That effect is set in the model, not fitted, and it is what makes holidays worth anything at all in this arm.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t xml:space="preserve"> </w:t>
      </w:r>
      <w:r>
        <w:t xml:space="preserve">[49]</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Gating three quarters of the death hazard to a window of the cell cycle, as in the persister simulations above, leaves these comparisons standing, whether or not the maximal hazard is raised to hold the cycle-averaged hazard fixed (Supplementary Note 13 and Supplementary Fig. 5): the best schedule is unchanged in 3 of 3 mechanisms and the model still favours continuous dosing under partial protection (52 against 43 weeks, from 52 and 49). The memory of the resistant state, five net population doublings, is an assumption rather than a measurement, and it is what decides whether resistant cells revert during a three-week holiday; scanning it from two to twelve doublings leaves the ranking unchanged and narrows the advantage of holidays from 9 weeks at 2 net doublings of memory to 1.7 weeks at 12 (Supplementary Note 15). That the benefit of holidays should depend on a cost of resistance is established by compartment models of adaptive therapy, which also show that tumour turnover modulates how large that cost must be</w:t>
      </w:r>
      <w:r>
        <w:t xml:space="preserve"> </w:t>
      </w:r>
      <w:r>
        <w:t xml:space="preserve">[50]</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A bacterial-persistence model adapted to colorectal-cancer lines reaches the same conclusion by another route: an intermediate dose with release periods is optimal, because the rate of transition into the persistent state rises with concentration and then saturates</w:t>
      </w:r>
      <w:r>
        <w:t xml:space="preserve"> </w:t>
      </w:r>
      <w:r>
        <w:t xml:space="preserve">[42]</w:t>
      </w:r>
      <w:r>
        <w:t xml:space="preserve">. The agreement is partial and the difference is informative. Where tolerance is drug-induced, the optimiser here also selects an intermediate dose over the highest one, for the same reason. Release periods, however, help there only when the drug changes the kinetics of the resistant state, either by stabilising it, as in the melanoma arm above, or by inducing it at a rate that saturates, as in that model; with a state whose decay rate is the same with and without drug, a holiday merely postpones the death of reverting cells while every cell grows, and the optimiser rejects it.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t xml:space="preserve"> </w:t>
      </w:r>
      <w:r>
        <w:t xml:space="preserve">[51]</w:t>
      </w:r>
      <w:r>
        <w:t xml:space="preserve">. We simulated both regimens with one-compartment pharmacokinetics (elimination half-life 2.1 h, a plasma value from a three-compartment population model of plasma and cerebrospinal fluid</w:t>
      </w:r>
      <w:r>
        <w:t xml:space="preserve"> </w:t>
      </w:r>
      <w:r>
        <w:t xml:space="preserve">[52]</w:t>
      </w:r>
      <w:r>
        <w:t xml:space="preserve">; an independent single-dose study gives 1.8 h</w:t>
      </w:r>
      <w:r>
        <w:t xml:space="preserve"> </w:t>
      </w:r>
      <w:r>
        <w:t xml:space="preserve">[53]</w:t>
      </w:r>
      <w:r>
        <w:t xml:space="preserve">) on populations in which 1% (methylated) or 30% (unmethylated) of cells express MGMT. Those two fractions are illustrative values that bracket low and high expression, not measurements, and the idealisation matters: promoter methylation shifts MGMT expression as a graded quantity across cells rather than switching a discrete subpopulation on, so the whole dose-dense prediction below rests on treating it as two states. With that caveat, with MGMT protein protecting cells from the drug</w:t>
      </w:r>
      <w:r>
        <w:t xml:space="preserve"> </w:t>
      </w:r>
      <w:r>
        <w:t xml:space="preserve">[41]</w:t>
      </w:r>
      <w:r>
        <w:t xml:space="preserve"> </w:t>
      </w:r>
      <w:r>
        <w:t xml:space="preserve">and either stable or consumed by it stoichiometrically, one molecule per lesion repaired, as a suicide enzyme is, so that the pool follows the cumulative exposure rather than the peak concentration (Fig. 8f,g). Lesions are not tracked as a state variable: they are taken to form in proportion to dose and to be repaired at once, so</w:t>
      </w:r>
      <w:r>
        <w:t xml:space="preserve"> </w:t>
      </w:r>
      <w:r>
        <w:t xml:space="preserve">“</w:t>
      </w:r>
      <w:r>
        <w:t xml:space="preserve">one molecule per lesion</w:t>
      </w:r>
      <w:r>
        <w:t xml:space="preserve">”</w:t>
      </w:r>
      <w:r>
        <w:t xml:space="preserve"> </w:t>
      </w:r>
      <w:r>
        <w:t xml:space="preserve">enters only through the rate of consumption, and no unrepaired damage accumulates. The rate constant of that consumption is not fitted to data; it is set so that consumption at the standard bolus peak matches the first-order parameterisation it replaces, which makes the two mechanisms comparable at the same initial rate and isolates how each integrates over time.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predicts a clear dose-dense advantage in both populations, which RTOG 0525 did not find. Read as a bound rather than as a fit, that disagreement is informative: either temozolomide consumes MGMT in tumours far more slowly than this stoichiometry allows, or the benefit of depleting it is offset by something the model leaves out.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What they add is a sharper version of the rationale for dose-dense dosing: the benefit it is supposed to deliver exists in the model only at consumption rates that the trial’s null result appears to exclude. The quantity the argument rests on is the per-lesion molecular rate constant of that consumption, which has not been measured directly, although bulk depletion time-courses have: protracted temozolomide lowers alkyltransferase activity in peripheral blood mononuclear cells by about 63% at 14 days and 73% at 21 days</w:t>
      </w:r>
      <w:r>
        <w:t xml:space="preserve"> </w:t>
      </w:r>
      <w:r>
        <w:t xml:space="preserve">[54]</w:t>
      </w:r>
      <w:r>
        <w:t xml:space="preserve">, a compressed 1,000 mg/m² schedule takes it to 18% of initial levels while O⁶-methylguanine accumulates in both blood cells and tumour biopsies</w:t>
      </w:r>
      <w:r>
        <w:t xml:space="preserve"> </w:t>
      </w:r>
      <w:r>
        <w:t xml:space="preserve">[55]</w:t>
      </w:r>
      <w:r>
        <w:t xml:space="preserve">, and in orthotopic GBM43 xenografts tumour MGMT activity is depleted by day 6 on both the standard and the 21-day schedule and stays suppressed only on the 21-day one</w:t>
      </w:r>
      <w:r>
        <w:t xml:space="preserve"> </w:t>
      </w:r>
      <w:r>
        <w:t xml:space="preserve">[56]</w:t>
      </w:r>
      <w:r>
        <w:t xml:space="preserve">. The last of these is the sharpest comparison available, and it makes the disagreement more specific than the trial alone does: the deeper and longer tumour depletion that the dose-dense schedule is supposed to deliver was confirmed in that model, and survival still did not improve. Either the depletion measured in bulk is not the per-cell depletion that matters for killing, or the benefit of depleting MGMT is offset by something the model leaves out.</w:t>
      </w:r>
    </w:p>
    <w:bookmarkEnd w:id="28"/>
    <w:bookmarkEnd w:id="29"/>
    <w:bookmarkStart w:id="30"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No individual ingredient is new, and the claim is not that any of them is: stochastic kinetics in growing and dividing cells have been simulated before</w:t>
      </w:r>
      <w:r>
        <w:t xml:space="preserve"> </w:t>
      </w:r>
      <w:r>
        <w:t xml:space="preserve">[27,28,33]</w:t>
      </w:r>
      <w:r>
        <w:t xml:space="preserve">, lineage-tracing data have their own simulators</w:t>
      </w:r>
      <w:r>
        <w:t xml:space="preserve"> </w:t>
      </w:r>
      <w:r>
        <w:t xml:space="preserve">[24,25]</w:t>
      </w:r>
      <w:r>
        <w:t xml:space="preserve">, compartment models of adaptive therapy established that the benefit of treatment holidays depends on a cost of resistance and on turnover</w:t>
      </w:r>
      <w:r>
        <w:t xml:space="preserve"> </w:t>
      </w:r>
      <w:r>
        <w:t xml:space="preserve">[48,50]</w:t>
      </w:r>
      <w:r>
        <w:t xml:space="preserve">, and phenotypic-switching theory established that perturbing the retention of a resistant state can decide a treatment outcome</w:t>
      </w:r>
      <w:r>
        <w:t xml:space="preserve"> </w:t>
      </w:r>
      <w:r>
        <w:t xml:space="preserve">[40]</w:t>
      </w:r>
      <w:r>
        <w:t xml:space="preserve">. What is new is that this is the first package to combine these mechanisms with joint inference and schedule optimisation in a single forward model. Version 1 of this framework already simulated stochastic gene networks in growing and dividing cells and generated synthetic scRNA-seq for imputation and network-inference benchmarking</w:t>
      </w:r>
      <w:r>
        <w:t xml:space="preserve"> </w:t>
      </w:r>
      <w:r>
        <w:t xml:space="preserve">[33]</w:t>
      </w:r>
      <w:r>
        <w:t xml:space="preserve">; what version 2 adds to it is gene replication and cell-cycle copy number, division by sizer, adder or timer rules rather than a timer alone, inherited promoter states, the lineage table and its statistics, the drug and pharmacokinetic layer with state-dependent killing, likelihood-free inference, and the schedule optimiser. Relative to the closest external comparator, an agent-based framework that already couples stochastic kinetics to growth, adder division, partitioning and inference from lineage data</w:t>
      </w:r>
      <w:r>
        <w:t xml:space="preserve"> </w:t>
      </w:r>
      <w:r>
        <w:t xml:space="preserve">[28,29]</w:t>
      </w:r>
      <w:r>
        <w:t xml:space="preserve">, what is added is the drug and schedule layer, the observation models, gene replication, and the benchmark-generation use. Two consequences follow from the combination rather than from any part of it. It makes a resistance phenotype a heritable expression state with measurable kinetics instead of a compartment with an assumed rate, and it supplies ground truth of a kind observational data cannot: the same simulation gives known memory genes, known networks, known perturbation effects and the true lineage tree, which is what the quantification of how growth and sequencing destroy network inference, and of how far cell-cycle regression recovers it, depends on. It also makes the calibrate-then-predict protocol available for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They are set in each case rather than inferred from the outcomes, so the case studies show that the ranking follows from cell properties, not that any particular tumour has them. Neither anchor is as one-sided as a single end point makes it look. In SWOG S1320 the progression-free survival advantage of continuous dosing (median 9.0 against 5.5 months, hazard ratio 1.36 for intermittent against continuous,</w:t>
      </w:r>
      <w:r>
        <w:t xml:space="preserve"> </w:t>
      </w:r>
      <m:oMath>
        <m:r>
          <m:t>P</m:t>
        </m:r>
        <m:r>
          <m:rPr>
            <m:sty m:val="p"/>
          </m:rPr>
          <m:t>=</m:t>
        </m:r>
        <m:r>
          <m:t>0.063</m:t>
        </m:r>
      </m:oMath>
      <w:r>
        <w:t xml:space="preserve"> </w:t>
      </w:r>
      <w:r>
        <w:t xml:space="preserve">against the trial’s pre-specified two-sided</w:t>
      </w:r>
      <w:r>
        <w:t xml:space="preserve"> </w:t>
      </w:r>
      <m:oMath>
        <m:r>
          <m:t>α</m:t>
        </m:r>
      </m:oMath>
      <w:r>
        <w:t xml:space="preserve"> </w:t>
      </w:r>
      <w:r>
        <w:t xml:space="preserve">of 0.2) did not carry through to overall survival, a secondary end point for which the trial was not powered and on which the two arms were equal at a median of 29.2 months</w:t>
      </w:r>
      <w:r>
        <w:t xml:space="preserve"> </w:t>
      </w:r>
      <w:r>
        <w:t xml:space="preserve">[47]</w:t>
      </w:r>
      <w:r>
        <w:t xml:space="preserve">; and in the xenografts the resistant tumours were drug-addicted, regressing on withdrawal rather than merely growing more slowly</w:t>
      </w:r>
      <w:r>
        <w:t xml:space="preserve"> </w:t>
      </w:r>
      <w:r>
        <w:t xml:space="preserve">[49]</w:t>
      </w:r>
      <w:r>
        <w:t xml:space="preserve">, which is the extreme of the fitness cost that the second mechanism here represents.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Cells draw their interdivision times independently, so cell-cycle duration is not inherited, and every fate correlation between related cells in these simulations is carried by the inherited promoter state. That is a real restriction and not only a simplification. Cell-cycle duration is heritable over several generations in mammalian cells, and its inheritance alone produces strong correlations between cousins and second cousins even where mother-daughter correlations are weak</w:t>
      </w:r>
      <w:r>
        <w:t xml:space="preserve"> </w:t>
      </w:r>
      <w:r>
        <w:t xml:space="preserve">[44–46]</w:t>
      </w:r>
      <w:r>
        <w:t xml:space="preserve">; combined with a cycle-gated hazard it is a complete competing explanation for the second-cousin fate correlations that the calibration in Fig. 7 reproduces, and the model as built cannot generate it, so the fit has no choice but to load all of that correlation onto expression memory. Chromatin states or cycle timing with their own inheritance rules would let the two be separated, and are the extension this points to.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Two things about that model should be read with care. Lesions are not a state variable: they are assumed to form in proportion to dose and to be repaired immediately, so</w:t>
      </w:r>
      <w:r>
        <w:t xml:space="preserve"> </w:t>
      </w:r>
      <w:r>
        <w:t xml:space="preserve">“</w:t>
      </w:r>
      <w:r>
        <w:t xml:space="preserve">one molecule per lesion</w:t>
      </w:r>
      <w:r>
        <w:t xml:space="preserve">”</w:t>
      </w:r>
      <w:r>
        <w:t xml:space="preserve"> </w:t>
      </w:r>
      <w:r>
        <w:t xml:space="preserve">enters only through the consumption rate and no unrepaired damage accumulates. And the rate constant of that consumption was set so that the initial consumption rate at the standard bolus peak matches the first-order parameterisation it replaces, which makes the two mechanisms comparable but leaves the constant itself unmeasured; bulk depletion time-courses in blood cells and in tumour tissue exist</w:t>
      </w:r>
      <w:r>
        <w:t xml:space="preserve"> </w:t>
      </w:r>
      <w:r>
        <w:t xml:space="preserve">[54–56]</w:t>
      </w:r>
      <w:r>
        <w:t xml:space="preserve"> </w:t>
      </w:r>
      <w:r>
        <w:t xml:space="preserve">and bound it loosely, and that is why we name the per-lesion constant as the quantity that separates the regimens. MGMT is in any case only one determinant of a temozolomide response that is also mismatch-repair-dependent, and the 1% and 30% expressing fractions are illustrative values that bracket low and high expression rather than measured quantities: promoter methylation shifts expression as a graded quantity across cells rather than switching a discrete subpopulation on, and the dose-dense prediction rests entirely on this two-state idealisation.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the spatial half of that list is the province of agent-based tumour simulators such as PhysiCell and PhysiBoSS</w:t>
      </w:r>
      <w:r>
        <w:t xml:space="preserve"> </w:t>
      </w:r>
      <w:r>
        <w:t xml:space="preserve">[31,32]</w:t>
      </w:r>
      <w:r>
        <w:t xml:space="preserve">, which model tissue mechanics and microenvironment but not stochastic transcription in dividing cells, so the two are complementary rather than competing.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30"/>
    <w:bookmarkStart w:id="49" w:name="methods"/>
    <w:p>
      <w:pPr>
        <w:pStyle w:val="Heading1"/>
      </w:pPr>
      <w:r>
        <w:t xml:space="preserve">Methods</w:t>
      </w:r>
    </w:p>
    <w:bookmarkStart w:id="31"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endChr m:val=")"/>
                  <m:sep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d>
          <m:dPr>
            <m:begChr m:val="("/>
            <m:endChr m:val=")"/>
            <m:sepChr m:val=""/>
            <m:grow/>
          </m:dPr>
          <m:e>
            <m:r>
              <m:t>1</m:t>
            </m:r>
            <m:r>
              <m:rPr>
                <m:sty m:val="p"/>
              </m:rPr>
              <m:t>−</m:t>
            </m:r>
            <m:r>
              <m:t>b</m:t>
            </m:r>
          </m:e>
        </m:d>
        <m:r>
          <m:t>F</m:t>
        </m:r>
        <m:d>
          <m:dPr>
            <m:begChr m:val="("/>
            <m:endChr m:val=")"/>
            <m:sepChr m:val=""/>
            <m:grow/>
          </m:dPr>
          <m:e>
            <m:r>
              <m:rPr>
                <m:sty m:val="b"/>
              </m:rPr>
              <m:t>c</m:t>
            </m:r>
          </m:e>
        </m:d>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d>
          <m:dPr>
            <m:begChr m:val="("/>
            <m:endChr m:val=")"/>
            <m:sepChr m:val=""/>
            <m:grow/>
          </m:dPr>
          <m:e>
            <m:sSubSup>
              <m:e>
                <m:r>
                  <m:t>K</m:t>
                </m:r>
              </m:e>
              <m:sub>
                <m:r>
                  <m:t>j</m:t>
                </m:r>
              </m:sub>
              <m:sup>
                <m:sSub>
                  <m:e>
                    <m:r>
                      <m:t>n</m:t>
                    </m:r>
                  </m:e>
                  <m:sub>
                    <m:r>
                      <m:t>j</m:t>
                    </m:r>
                  </m:sub>
                </m:sSub>
              </m:sup>
            </m:sSubSup>
            <m:r>
              <m:rPr>
                <m:sty m:val="p"/>
              </m:rPr>
              <m:t>+</m:t>
            </m:r>
            <m:sSubSup>
              <m:e>
                <m:r>
                  <m:t>c</m:t>
                </m:r>
              </m:e>
              <m:sub>
                <m:r>
                  <m:t>j</m:t>
                </m:r>
              </m:sub>
              <m:sup>
                <m:sSub>
                  <m:e>
                    <m:r>
                      <m:t>n</m:t>
                    </m:r>
                  </m:e>
                  <m:sub>
                    <m:r>
                      <m:t>j</m:t>
                    </m:r>
                  </m:sub>
                </m:sSub>
              </m:sup>
            </m:sSubSup>
          </m:e>
        </m:d>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h</m:t>
                    </m:r>
                  </m:e>
                  <m:sub>
                    <m:r>
                      <m:t>j</m:t>
                    </m:r>
                  </m:sub>
                </m:sSub>
              </m:e>
            </m:d>
          </m:e>
        </m:nary>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31"/>
    <w:bookmarkStart w:id="32"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t xml:space="preserve"> </w:t>
      </w:r>
      <w:r>
        <w:t xml:space="preserve">[57]</w:t>
      </w:r>
      <w:r>
        <w:t xml:space="preserve"> </w:t>
      </w:r>
      <w:r>
        <w:t xml:space="preserve">with propensities updated through a species-reaction dependency graph; fixed-step Poisson tau-leaping</w:t>
      </w:r>
      <w:r>
        <w:t xml:space="preserve"> </w:t>
      </w:r>
      <w:r>
        <w:t xml:space="preserve">[58]</w:t>
      </w:r>
      <w:r>
        <w:t xml:space="preserve">; a hybrid scheme in which a leap that would drive any species negative is discarded and that interval is simulated exactly instead (the</w:t>
      </w:r>
      <w:r>
        <w:t xml:space="preserve"> </w:t>
      </w:r>
      <w:r>
        <w:t xml:space="preserve">“</w:t>
      </w:r>
      <w:r>
        <w:t xml:space="preserve">switching</w:t>
      </w:r>
      <w:r>
        <w:t xml:space="preserve">”</w:t>
      </w:r>
      <w:r>
        <w:t xml:space="preserve"> </w:t>
      </w:r>
      <w:r>
        <w:t xml:space="preserve">scheme of version 1, with the discarded interval resolved exactly rather than clipped); and adaptive tau-leaping with the step-size selection of</w:t>
      </w:r>
      <w:r>
        <w:t xml:space="preserve"> </w:t>
      </w:r>
      <w:r>
        <w:t xml:space="preserve">[59]</w:t>
      </w:r>
      <w:r>
        <w:t xml:space="preserve"> </w:t>
      </w:r>
      <w:r>
        <w:t xml:space="preserve">and the critical-reaction partition of</w:t>
      </w:r>
      <w:r>
        <w:t xml:space="preserve"> </w:t>
      </w:r>
      <w:r>
        <w:t xml:space="preserve">[60]</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32"/>
    <w:bookmarkStart w:id="33"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ty m:val="p"/>
            <m:scr m:val="script"/>
          </m:rPr>
          <m:t>N</m:t>
        </m:r>
        <m:d>
          <m:dPr>
            <m:begChr m:val="("/>
            <m:endChr m:val=")"/>
            <m:sepChr m:val=""/>
            <m:grow/>
          </m:dPr>
          <m:e>
            <m:r>
              <m:t>0.5</m:t>
            </m:r>
            <m:r>
              <m:rPr>
                <m:sty m:val="p"/>
              </m:rPr>
              <m:t>,</m:t>
            </m:r>
            <m:sSup>
              <m:e>
                <m:r>
                  <m:t>σ</m:t>
                </m:r>
              </m:e>
              <m:sup>
                <m:r>
                  <m:t>2</m:t>
                </m:r>
              </m:sup>
            </m:sSup>
          </m:e>
        </m:d>
      </m:oMath>
      <w:r>
        <w:t xml:space="preserve"> </w:t>
      </w:r>
      <w:r>
        <w:t xml:space="preserve">(clipped to</w:t>
      </w:r>
      <w:r>
        <w:t xml:space="preserve"> </w:t>
      </w:r>
      <m:oMath>
        <m:d>
          <m:dPr>
            <m:begChr m:val="["/>
            <m:endChr m:val="]"/>
            <m:sepChr m:val=""/>
            <m:grow/>
          </m:dPr>
          <m:e>
            <m:r>
              <m:t>0.05</m:t>
            </m:r>
            <m:r>
              <m:rPr>
                <m:sty m:val="p"/>
              </m:rPr>
              <m:t>,</m:t>
            </m:r>
            <m:r>
              <m:t>0.95</m:t>
            </m:r>
          </m:e>
        </m:d>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33"/>
    <w:bookmarkStart w:id="34" w:name="drug-and-perturbation-layer"/>
    <w:p>
      <w:pPr>
        <w:pStyle w:val="Heading2"/>
      </w:pPr>
      <w:r>
        <w:t xml:space="preserve">Drug and perturbation layer</w:t>
      </w:r>
    </w:p>
    <w:p>
      <w:pPr>
        <w:pStyle w:val="FirstParagraph"/>
      </w:pPr>
      <w:r>
        <w:t xml:space="preserve">A perturbation combines a dose schedule</w:t>
      </w:r>
      <w:r>
        <w:t xml:space="preserve"> </w:t>
      </w:r>
      <m:oMath>
        <m:r>
          <m:t>d</m:t>
        </m:r>
        <m:d>
          <m:dPr>
            <m:begChr m:val="("/>
            <m:endChr m:val=")"/>
            <m:sepChr m:val=""/>
            <m:grow/>
          </m:dPr>
          <m:e>
            <m:r>
              <m:t>t</m:t>
            </m:r>
          </m:e>
        </m:d>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t>Δ</m:t>
            </m:r>
            <m:r>
              <m:t>t</m:t>
            </m:r>
          </m:sup>
        </m:sSup>
      </m:oMath>
      <w:r>
        <w:t xml:space="preserve">); growth inhibition by</w:t>
      </w:r>
      <w:r>
        <w:t xml:space="preserve"> </w:t>
      </w:r>
      <m:oMath>
        <m:r>
          <m:t>1</m:t>
        </m:r>
        <m:r>
          <m:rPr>
            <m:sty m:val="p"/>
          </m:rPr>
          <m:t>/</m:t>
        </m:r>
        <m:d>
          <m:dPr>
            <m:begChr m:val="("/>
            <m:endChr m:val=")"/>
            <m:sepChr m:val=""/>
            <m:grow/>
          </m:dPr>
          <m:e>
            <m:r>
              <m:t>1</m:t>
            </m:r>
            <m:r>
              <m:rPr>
                <m:sty m:val="p"/>
              </m:rPr>
              <m:t>+</m:t>
            </m:r>
            <m:sSup>
              <m:e>
                <m:d>
                  <m:dPr>
                    <m:begChr m:val="("/>
                    <m:endChr m:val=")"/>
                    <m:sepChr m:val=""/>
                    <m:grow/>
                  </m:dPr>
                  <m:e>
                    <m:r>
                      <m:t>d</m:t>
                    </m:r>
                    <m:r>
                      <m:rPr>
                        <m:sty m:val="p"/>
                      </m:rPr>
                      <m:t>/</m:t>
                    </m:r>
                    <m:sSub>
                      <m:e>
                        <m:r>
                          <m:rPr>
                            <m:sty m:val="p"/>
                          </m:rPr>
                          <m:t>I</m:t>
                        </m:r>
                        <m:r>
                          <m:rPr>
                            <m:sty m:val="p"/>
                          </m:rPr>
                          <m:t>C</m:t>
                        </m:r>
                      </m:e>
                      <m:sub>
                        <m:r>
                          <m:t>50</m:t>
                        </m:r>
                      </m:sub>
                    </m:sSub>
                  </m:e>
                </m:d>
              </m:e>
              <m:sup>
                <m:r>
                  <m:t>m</m:t>
                </m:r>
              </m:sup>
            </m:sSup>
          </m:e>
        </m:d>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d>
          <m:dPr>
            <m:begChr m:val="("/>
            <m:endChr m:val=")"/>
            <m:sepChr m:val=""/>
            <m:grow/>
          </m:dPr>
          <m:e>
            <m:sSup>
              <m:e>
                <m:r>
                  <m:t>K</m:t>
                </m:r>
              </m:e>
              <m:sup>
                <m:r>
                  <m:t>q</m:t>
                </m:r>
              </m:sup>
            </m:sSup>
            <m:r>
              <m:rPr>
                <m:sty m:val="p"/>
              </m:rPr>
              <m:t>+</m:t>
            </m:r>
            <m:sSubSup>
              <m:e>
                <m:r>
                  <m:t>c</m:t>
                </m:r>
              </m:e>
              <m:sub>
                <m:r>
                  <m:t>P</m:t>
                </m:r>
              </m:sub>
              <m:sup>
                <m:r>
                  <m:t> </m:t>
                </m:r>
                <m:r>
                  <m:t>q</m:t>
                </m:r>
              </m:sup>
            </m:sSubSup>
          </m:e>
        </m:d>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d>
            <m:dPr>
              <m:begChr m:val="("/>
              <m:endChr m:val=")"/>
              <m:sepChr m:val=""/>
              <m:grow/>
            </m:dPr>
            <m:e>
              <m:r>
                <m:t>1</m:t>
              </m:r>
              <m:r>
                <m:rPr>
                  <m:sty m:val="p"/>
                </m:rPr>
                <m:t>−</m:t>
              </m:r>
              <m:r>
                <m:t>β</m:t>
              </m:r>
            </m:e>
          </m:d>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cell’s progress through its division cycle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34"/>
    <w:bookmarkStart w:id="35"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t xml:space="preserve"> </w:t>
      </w:r>
      <w:r>
        <w:t xml:space="preserve">[61]</w:t>
      </w:r>
      <w:r>
        <w:t xml:space="preserve">, the variance of clone-mean expression divided by its permutation-null expectation.</w:t>
      </w:r>
    </w:p>
    <w:bookmarkEnd w:id="35"/>
    <w:bookmarkStart w:id="36"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36"/>
    <w:bookmarkStart w:id="37" w:name="inference"/>
    <w:p>
      <w:pPr>
        <w:pStyle w:val="Heading2"/>
      </w:pPr>
      <w:r>
        <w:t xml:space="preserve">Inference</w:t>
      </w:r>
    </w:p>
    <w:p>
      <w:pPr>
        <w:pStyle w:val="FirstParagraph"/>
      </w:pPr>
      <w:r>
        <w:t xml:space="preserve">Snapshot counts of a gene in non-dividing cells follow the Beta-Poisson law of the telegraph model</w:t>
      </w:r>
      <w:r>
        <w:t xml:space="preserve"> </w:t>
      </w:r>
      <w:r>
        <w:t xml:space="preserve">[34]</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t xml:space="preserve"> </w:t>
      </w:r>
      <w:r>
        <w:t xml:space="preserve">[62]</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t xml:space="preserve"> </w:t>
      </w:r>
      <w:r>
        <w:t xml:space="preserve">[43]</w:t>
      </w:r>
      <w:r>
        <w:t xml:space="preserve">.</w:t>
      </w:r>
    </w:p>
    <w:bookmarkEnd w:id="37"/>
    <w:bookmarkStart w:id="38"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t xml:space="preserve"> </w:t>
      </w:r>
      <w: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38"/>
    <w:bookmarkStart w:id="39"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t xml:space="preserve"> </w:t>
      </w:r>
      <w:r>
        <w:t xml:space="preserve">[48]</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t xml:space="preserve"> </w:t>
      </w:r>
      <w:r>
        <w:t xml:space="preserve">[63,64]</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t xml:space="preserve"> </w:t>
      </w:r>
      <w:r>
        <w:t xml:space="preserve">[64]</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t xml:space="preserve"> </w:t>
      </w:r>
      <w:r>
        <w:t xml:space="preserve">[2]</w:t>
      </w:r>
      <w:r>
        <w:t xml:space="preserve"> </w:t>
      </w:r>
      <w:r>
        <w:t xml:space="preserve">used as a proxy for the functional pre-resistant fraction, which is not the same quantity, and 5- to 50-fold higher than the 1 in 1,000 to 1 in 10,000 at which drug-naive precursors of resistant fates have been traced</w:t>
      </w:r>
      <w:r>
        <w:t xml:space="preserve"> </w:t>
      </w:r>
      <w:r>
        <w:t xml:space="preserve">[38]</w:t>
      </w:r>
      <w:r>
        <w:t xml:space="preserve">; the arms of Fig. 8 that lose control therefore do so earlier than the traced frequency would give, while those censored at 52 weeks are unaffected), with a memory of five net doublings (the model’s generation is the net doubling of the tumour, a modelling choice rather than the cell-division-counted memory of memory sequencing</w:t>
      </w:r>
      <w:r>
        <w:t xml:space="preserve"> </w:t>
      </w:r>
      <w:r>
        <w:t xml:space="preserve">[61]</w:t>
      </w:r>
      <w:r>
        <w:t xml:space="preserve">) and drug effects at the fractional-killing dose: sensitive cells arrest and die with a half-life of two weeks, cells in the resistant state are protected, and the drug stabilises the resistant state ten-fold (the drug-induced reprogramming of</w:t>
      </w:r>
      <w:r>
        <w:t xml:space="preserve"> </w:t>
      </w:r>
      <w:r>
        <w:t xml:space="preserve">[2]</w:t>
      </w:r>
      <w:r>
        <w:t xml:space="preserve">). Three variants of the resistant state are compared: full protection without cost; a 50% fitness cost in the absence of drug</w:t>
      </w:r>
      <w:r>
        <w:t xml:space="preserve"> </w:t>
      </w:r>
      <w:r>
        <w:t xml:space="preserve">[49]</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t xml:space="preserve"> </w:t>
      </w:r>
      <w:r>
        <w:t xml:space="preserve">[52]</w:t>
      </w:r>
      <w:r>
        <w:t xml:space="preserve"> </w:t>
      </w:r>
      <w:r>
        <w:t xml:space="preserve">(a plasma value from a three-compartment population model of plasma and cerebrospinal fluid; that study measured cerebrospinal fluid rather than tumour tissue and found its exposure to be 20% of plasma exposure, so a plasma half-life stands here as a surrogate for what the tumour sees), the regimens of RTOG 0525</w:t>
      </w:r>
      <w:r>
        <w:t xml:space="preserve"> </w:t>
      </w:r>
      <w:r>
        <w:t xml:space="preserve">[51]</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a dose-scaled first-order degradation, which isolates the consequence of letting depletion follow the cumulative exposure instead of the peak concentration; this is the suicide-enzyme behaviour that motivated dose-dense schedules.</w:t>
      </w:r>
    </w:p>
    <w:bookmarkEnd w:id="39"/>
    <w:bookmarkStart w:id="40"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40"/>
    <w:bookmarkStart w:id="41"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t xml:space="preserve"> </w:t>
      </w:r>
      <w:r>
        <w:t xml:space="preserve">[65,66]</w:t>
      </w:r>
      <w:r>
        <w:t xml:space="preserve">), by agreement between kernels, and by a two-sample comparison against JumpProcesses.jl</w:t>
      </w:r>
      <w:r>
        <w:t xml:space="preserve"> </w:t>
      </w:r>
      <w:r>
        <w:t xml:space="preserve">[67]</w:t>
      </w:r>
      <w:r>
        <w:t xml:space="preserve"> </w:t>
      </w:r>
      <w:r>
        <w:t xml:space="preserve">on the same model.</w:t>
      </w:r>
    </w:p>
    <w:p>
      <w:pPr>
        <w:pStyle w:val="BodyText"/>
      </w:pPr>
      <w:r>
        <w:t xml:space="preserve">The population and lineage layers were then validated against exact solutions for growing, dividing populations, which exist for this class of model and take different forms for a single lineage and for a population snapshot</w:t>
      </w:r>
      <w:r>
        <w:t xml:space="preserve"> </w:t>
      </w:r>
      <w:r>
        <w:t xml:space="preserve">[30,35–37]</w:t>
      </w:r>
      <w:r>
        <w:t xml:space="preserve">. Four analytically solvable members of that class were simulated in both modes: constitutive production, production in bursts of fixed size, and a two-state promoter, each with a memoryless interdivision time; and volume-scaled synthesis from a gene that replicates at mid-cycle, with a deterministic cycle and exponential volume growth. Single lineages were generated with a mother-machine population control that keeps one daughter at random at every division, so that the recorded cells are independent; population snapshots were generated by free branching growth with uniform subsampling, which preserves the snapshot distribution. For the memoryless models the exact stationary law of the scheme the simulator runs is the leading eigenvector of one update step, exact kinetics over</w:t>
      </w:r>
      <w:r>
        <w:t xml:space="preserve"> </w:t>
      </w:r>
      <m:oMath>
        <m:r>
          <m:t>d</m:t>
        </m:r>
        <m:r>
          <m:t>t</m:t>
        </m:r>
      </m:oMath>
      <w:r>
        <w:t xml:space="preserve"> </w:t>
      </w:r>
      <w:r>
        <w:t xml:space="preserve">followed by division with probability</w:t>
      </w:r>
      <w:r>
        <w:t xml:space="preserve"> </w:t>
      </w:r>
      <m:oMath>
        <m:r>
          <m:t>1</m:t>
        </m:r>
        <m:r>
          <m:rPr>
            <m:sty m:val="p"/>
          </m:rPr>
          <m:t>−</m:t>
        </m:r>
        <m:sSup>
          <m:e>
            <m:r>
              <m:rPr>
                <m:sty m:val="p"/>
              </m:rPr>
              <m:t>e</m:t>
            </m:r>
          </m:e>
          <m:sup>
            <m:r>
              <m:rPr>
                <m:sty m:val="p"/>
              </m:rPr>
              <m:t>−</m:t>
            </m:r>
            <m:r>
              <m:t>d</m:t>
            </m:r>
            <m:r>
              <m:t>t</m:t>
            </m:r>
            <m:r>
              <m:rPr>
                <m:sty m:val="p"/>
              </m:rPr>
              <m:t>/</m:t>
            </m:r>
            <m:r>
              <m:t>T</m:t>
            </m:r>
          </m:sup>
        </m:sSup>
      </m:oMath>
      <w:r>
        <w:t xml:space="preserve">, with the division operator carrying a factor of two in the population mode; it was computed by matrix exponentiation and checked against the closed-form factorial moments, and the step size was scanned to show the discretisation of the interdivision time vanishing. For the replication model the count distribution at every cycle phase is exactly Poisson, and the cycle-phase weights of the population were obtained by iterating the age map of the scheme from the founder ages used, so that no assumption about convergence to a stable age distribution enters. Each simulated distribution was compared with the exact law of its own mode and with that of the other mode, the second as a check that the comparison can tell them apart (Supplementary Note 14). Population-level properties were compared with the analytic expectations for cell-size scaling and concentration homeostasis</w:t>
      </w:r>
      <w:r>
        <w:t xml:space="preserve"> </w:t>
      </w:r>
      <w:r>
        <w:t xml:space="preserve">[27]</w:t>
      </w:r>
      <w:r>
        <w:t xml:space="preserve">, partitioning noise</w:t>
      </w:r>
      <w:r>
        <w:t xml:space="preserve"> </w:t>
      </w:r>
      <w:r>
        <w:t xml:space="preserve">[68]</w:t>
      </w:r>
      <w:r>
        <w:t xml:space="preserve">, lineage versus population statistics</w:t>
      </w:r>
      <w:r>
        <w:t xml:space="preserve"> </w:t>
      </w:r>
      <w:r>
        <w:t xml:space="preserve">[11]</w:t>
      </w:r>
      <w:r>
        <w:t xml:space="preserve"> </w:t>
      </w:r>
      <w:r>
        <w:t xml:space="preserve">and cell-cycle-dependent burst parameters</w:t>
      </w:r>
      <w:r>
        <w:t xml:space="preserve"> </w:t>
      </w:r>
      <w:r>
        <w:t xml:space="preserve">[10]</w:t>
      </w:r>
      <w:r>
        <w:t xml:space="preserve">. Persister simulations were compared with the quantitative signatures reported by</w:t>
      </w:r>
      <w:r>
        <w:t xml:space="preserve"> </w:t>
      </w:r>
      <w:r>
        <w:t xml:space="preserve">[6]</w:t>
      </w:r>
      <w:r>
        <w:t xml:space="preserve">,</w:t>
      </w:r>
      <w:r>
        <w:t xml:space="preserve"> </w:t>
      </w:r>
      <w:r>
        <w:t xml:space="preserve">[42]</w:t>
      </w:r>
      <w:r>
        <w:t xml:space="preserve"> </w:t>
      </w:r>
      <w:r>
        <w:t xml:space="preserve">and</w:t>
      </w:r>
      <w:r>
        <w:t xml:space="preserve"> </w:t>
      </w:r>
      <w:r>
        <w:t xml:space="preserve">[9]</w:t>
      </w:r>
      <w:r>
        <w:t xml:space="preserve">, and with the phenotypic-selection model of</w:t>
      </w:r>
      <w:r>
        <w:t xml:space="preserve"> </w:t>
      </w:r>
      <w:r>
        <w:t xml:space="preserve">[41]</w:t>
      </w:r>
      <w:r>
        <w:t xml:space="preserve">. All scripts, seeds and outputs are in the</w:t>
      </w:r>
      <w:r>
        <w:t xml:space="preserve"> </w:t>
      </w:r>
      <w:r>
        <w:rPr>
          <w:rStyle w:val="VerbatimChar"/>
        </w:rPr>
        <w:t xml:space="preserve">paper/</w:t>
      </w:r>
      <w:r>
        <w:t xml:space="preserve"> </w:t>
      </w:r>
      <w:r>
        <w:t xml:space="preserve">directory of the repository.</w:t>
      </w:r>
    </w:p>
    <w:bookmarkEnd w:id="41"/>
    <w:bookmarkStart w:id="42"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at the middle of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42"/>
    <w:bookmarkStart w:id="43"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Schedules within a scan are evaluated on common random numbers, the same seeds for every point of the grid, so they are compared by the paired differences over those seeds rather than by an unpaired standard error, which the shared founder population would make invalid; a margin is called resolved when a two-sided paired Student’s t-test rejects equality at the 5% level, which on four degrees of freedom requires the margin to exceed 2.776 of its paired standard errors rather than two. Multithreaded runs give results identical to single-threaded runs, because each cell carries its own random number generator seeded from its parent.</w:t>
      </w:r>
    </w:p>
    <w:bookmarkEnd w:id="43"/>
    <w:bookmarkStart w:id="44"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tools used were Claude Opus 5, Claude Opus 4.8 and Claude Fable 5.1 (Anthropic), accessed through the Claude Code command-line interface between 19 and 22 September 2026; the model used for each commit is recorded in that commit’s trailer in the repository, so the record is auditable rather than summary. The model was not used to generate citations: every reference was located by the author and its bibliographic details and quantitative claims were checked against the primary record. The model is not an author, in keeping with journal policy on generative artificial intelligence, and the author is accountable for the accuracy and integrity of everything reported here.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44"/>
    <w:bookmarkStart w:id="45"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they are regenerated exactly, from fixed seeds, by the scripts in the</w:t>
      </w:r>
      <w:r>
        <w:t xml:space="preserve"> </w:t>
      </w:r>
      <w:r>
        <w:rPr>
          <w:rStyle w:val="VerbatimChar"/>
        </w:rPr>
        <w:t xml:space="preserve">paper/</w:t>
      </w:r>
      <w:r>
        <w:t xml:space="preserve"> </w:t>
      </w:r>
      <w:r>
        <w:t xml:space="preserve">directory of that repository, so those scripts rather than a deposited table are the primary record. The archived release carries them (10.5281/zenodo.22894286).</w:t>
      </w:r>
    </w:p>
    <w:bookmarkEnd w:id="45"/>
    <w:bookmarkStart w:id="47"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remaining opt-in analyses, the cell-cycle refits and scans (</w:t>
      </w:r>
      <w:r>
        <w:rPr>
          <w:rStyle w:val="VerbatimChar"/>
        </w:rPr>
        <w:t xml:space="preserve">fig7_calibration.jl cycle</w:t>
      </w:r>
      <w:r>
        <w:t xml:space="preserve">,</w:t>
      </w:r>
      <w:r>
        <w:t xml:space="preserve"> </w:t>
      </w:r>
      <w:r>
        <w:rPr>
          <w:rStyle w:val="VerbatimChar"/>
        </w:rPr>
        <w:t xml:space="preserve">fig4_persisters.jl cycle seeds</w:t>
      </w:r>
      <w:r>
        <w:t xml:space="preserve">,</w:t>
      </w:r>
      <w:r>
        <w:t xml:space="preserve"> </w:t>
      </w:r>
      <w:r>
        <w:rPr>
          <w:rStyle w:val="VerbatimChar"/>
        </w:rPr>
        <w:t xml:space="preserve">fig8_schedules.jl melanoma_cycle melanoma_memory</w:t>
      </w:r>
      <w:r>
        <w:t xml:space="preserve">) and the exact-solution validation of Supplementary Fig. 6 (</w:t>
      </w:r>
      <w:r>
        <w:rPr>
          <w:rStyle w:val="VerbatimChar"/>
        </w:rPr>
        <w:t xml:space="preserve">fig9_validation.jl</w:t>
      </w:r>
      <w:r>
        <w:t xml:space="preserve">, followed by</w:t>
      </w:r>
      <w:r>
        <w:t xml:space="preserve"> </w:t>
      </w:r>
      <w:r>
        <w:rPr>
          <w:rStyle w:val="VerbatimChar"/>
        </w:rPr>
        <w:t xml:space="preserve">python paper/scripts/exact_solutions.py</w:t>
      </w:r>
      <w:r>
        <w:t xml:space="preserve">), are listed in</w:t>
      </w:r>
      <w:r>
        <w:t xml:space="preserve"> </w:t>
      </w:r>
      <w:r>
        <w:rPr>
          <w:rStyle w:val="VerbatimChar"/>
        </w:rPr>
        <w:t xml:space="preserve">paper/README.md</w:t>
      </w:r>
      <w:r>
        <w:t xml:space="preserve"> </w:t>
      </w:r>
      <w:r>
        <w:t xml:space="preserve">with their invocations.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invocation that produces the timings of Supplementary Table 3, are in</w:t>
      </w:r>
      <w:r>
        <w:t xml:space="preserve"> </w:t>
      </w:r>
      <w:r>
        <w:rPr>
          <w:rStyle w:val="VerbatimChar"/>
        </w:rPr>
        <w:t xml:space="preserve">paper/README.md</w:t>
      </w:r>
      <w:r>
        <w:t xml:space="preserve">. Version 2.0.0, the version used for every result in this Article, is archived at Zenodo under the concept DOI</w:t>
      </w:r>
      <w:r>
        <w:t xml:space="preserve"> </w:t>
      </w:r>
      <w:hyperlink r:id="rId46">
        <w:r>
          <w:rPr>
            <w:rStyle w:val="Hyperlink"/>
          </w:rPr>
          <w:t xml:space="preserve">10.5281/zenodo.22894286</w:t>
        </w:r>
      </w:hyperlink>
      <w:r>
        <w:t xml:space="preserve">, which resolves to the current release.</w:t>
      </w:r>
    </w:p>
    <w:bookmarkEnd w:id="47"/>
    <w:bookmarkStart w:id="48"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t xml:space="preserve"> </w:t>
      </w:r>
      <w:r>
        <w:t xml:space="preserve">[69]</w:t>
      </w:r>
      <w:r>
        <w:t xml:space="preserve">, MAGIC</w:t>
      </w:r>
      <w:r>
        <w:t xml:space="preserve"> </w:t>
      </w:r>
      <w:r>
        <w:t xml:space="preserve">[70]</w:t>
      </w:r>
      <w:r>
        <w:t xml:space="preserve"> </w:t>
      </w:r>
      <w:r>
        <w:t xml:space="preserve">and kNN-smoothing</w:t>
      </w:r>
      <w:r>
        <w:t xml:space="preserve"> </w:t>
      </w:r>
      <w:r>
        <w:t xml:space="preserve">[71]</w:t>
      </w:r>
      <w:r>
        <w:t xml:space="preserve">. The test suite (Aqua quality checks and statistical tests) runs under GitHub Actions on Julia 1.10 and the latest release.</w:t>
      </w:r>
    </w:p>
    <w:bookmarkEnd w:id="48"/>
    <w:bookmarkEnd w:id="49"/>
    <w:bookmarkStart w:id="74" w:name="figure-legends"/>
    <w:p>
      <w:pPr>
        <w:pStyle w:val="Heading1"/>
      </w:pPr>
      <w:r>
        <w:t xml:space="preserve">Figure legends</w:t>
      </w:r>
    </w:p>
    <w:p>
      <w:pPr>
        <w:pStyle w:val="FirstParagraph"/>
      </w:pPr>
      <w:r>
        <w:drawing>
          <wp:inline>
            <wp:extent cx="5334000" cy="3630083"/>
            <wp:effectExtent b="0" l="0" r="0" t="0"/>
            <wp:docPr descr="" title="" id="51" name="Picture"/>
            <a:graphic>
              <a:graphicData uri="http://schemas.openxmlformats.org/drawingml/2006/picture">
                <pic:pic>
                  <pic:nvPicPr>
                    <pic:cNvPr descr="fig1_framework.png" id="52" name="Picture"/>
                    <pic:cNvPicPr>
                      <a:picLocks noChangeArrowheads="1" noChangeAspect="1"/>
                    </pic:cNvPicPr>
                  </pic:nvPicPr>
                  <pic:blipFill>
                    <a:blip r:embed="rId50"/>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Cs/>
          <w:b/>
        </w:rPr>
        <w:t xml:space="preserve">Fig. 1 | The Biomodelling.jl 2.0 framework.</w:t>
      </w:r>
      <w:r>
        <w:t xml:space="preserve"> </w:t>
      </w:r>
      <w:r>
        <w:rPr>
          <w:bCs/>
          <w:b/>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Cs/>
          <w:b/>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Cs/>
          <w:b/>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Cs/>
          <w:b/>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Cs/>
          <w:b/>
        </w:rPr>
        <w:t xml:space="preserve">e</w:t>
      </w:r>
      <w:r>
        <w:t xml:space="preserve">, A complete experiment in twelve lines of code.</w:t>
      </w:r>
    </w:p>
    <w:p>
      <w:pPr>
        <w:pStyle w:val="BodyText"/>
      </w:pPr>
      <w:r>
        <w:drawing>
          <wp:inline>
            <wp:extent cx="5334000" cy="3445617"/>
            <wp:effectExtent b="0" l="0" r="0" t="0"/>
            <wp:docPr descr="" title="" id="54" name="Picture"/>
            <a:graphic>
              <a:graphicData uri="http://schemas.openxmlformats.org/drawingml/2006/picture">
                <pic:pic>
                  <pic:nvPicPr>
                    <pic:cNvPr descr="fig2_engine.png" id="55" name="Picture"/>
                    <pic:cNvPicPr>
                      <a:picLocks noChangeArrowheads="1" noChangeAspect="1"/>
                    </pic:cNvPicPr>
                  </pic:nvPicPr>
                  <pic:blipFill>
                    <a:blip r:embed="rId53"/>
                    <a:stretch>
                      <a:fillRect/>
                    </a:stretch>
                  </pic:blipFill>
                  <pic:spPr bwMode="auto">
                    <a:xfrm>
                      <a:off x="0" y="0"/>
                      <a:ext cx="5334000" cy="3445617"/>
                    </a:xfrm>
                    <a:prstGeom prst="rect">
                      <a:avLst/>
                    </a:prstGeom>
                    <a:noFill/>
                    <a:ln w="9525">
                      <a:noFill/>
                      <a:headEnd/>
                      <a:tailEnd/>
                    </a:ln>
                  </pic:spPr>
                </pic:pic>
              </a:graphicData>
            </a:graphic>
          </wp:inline>
        </w:drawing>
      </w:r>
    </w:p>
    <w:p>
      <w:pPr>
        <w:pStyle w:val="BodyText"/>
      </w:pPr>
      <w:r>
        <w:rPr>
          <w:bCs/>
          <w:b/>
        </w:rPr>
        <w:t xml:space="preserve">Fig. 2 | The engine matches exact laws and an independent implementation.</w:t>
      </w:r>
      <w:r>
        <w:t xml:space="preserve"> </w:t>
      </w:r>
      <w:r>
        <w:rPr>
          <w:bCs/>
          <w:b/>
        </w:rPr>
        <w:t xml:space="preserve">a</w:t>
      </w:r>
      <w:r>
        <w:t xml:space="preserve">, Stationary distribution of a birth-death process (bars, 50,000 simulated cells; line, Poisson law).</w:t>
      </w:r>
      <w:r>
        <w:t xml:space="preserve"> </w:t>
      </w:r>
      <w:r>
        <w:rPr>
          <w:bCs/>
          <w:b/>
        </w:rPr>
        <w:t xml:space="preserve">b</w:t>
      </w:r>
      <w:r>
        <w:t xml:space="preserve">, Telegraph model in an intermediate and a bursty regime against the Beta-Poisson law.</w:t>
      </w:r>
      <w:r>
        <w:t xml:space="preserve"> </w:t>
      </w:r>
      <w:r>
        <w:rPr>
          <w:bCs/>
          <w:b/>
        </w:rPr>
        <w:t xml:space="preserve">c</w:t>
      </w:r>
      <w:r>
        <w:t xml:space="preserve">, Bursty protein production against the negative binomial.</w:t>
      </w:r>
      <w:r>
        <w:t xml:space="preserve"> </w:t>
      </w:r>
      <w:r>
        <w:rPr>
          <w:bCs/>
          <w:b/>
        </w:rPr>
        <w:t xml:space="preserve">d</w:t>
      </w:r>
      <w:r>
        <w:t xml:space="preserve">, Kolmogorov-Smirnov distance to the exact law for every kernel (n = 20,000; dotted line, 99% critical value) with wall-clock time per 10⁴ cells.</w:t>
      </w:r>
      <w:r>
        <w:t xml:space="preserve"> </w:t>
      </w:r>
      <w:r>
        <w:rPr>
          <w:bCs/>
          <w:b/>
        </w:rPr>
        <w:t xml:space="preserve">e</w:t>
      </w:r>
      <w:r>
        <w:t xml:space="preserve">, Telegraph model simulated with Biomodelling.jl and with JumpProcesses.jl on the same model; the two-sample Kolmogorov-Smirnov statistic lies below its 99% critical value.</w:t>
      </w:r>
      <w:r>
        <w:t xml:space="preserve"> </w:t>
      </w:r>
      <w:r>
        <w:rPr>
          <w:bCs/>
          <w:b/>
        </w:rPr>
        <w:t xml:space="preserve">f</w:t>
      </w:r>
      <w:r>
        <w:t xml:space="preserve">, Runtime of population simulations against the number of cells (10 genes) and genes (1,000 cells) for the exact and hybrid kernels.</w:t>
      </w:r>
    </w:p>
    <w:p>
      <w:pPr>
        <w:pStyle w:val="BodyText"/>
      </w:pPr>
      <w:r>
        <w:drawing>
          <wp:inline>
            <wp:extent cx="5334000" cy="3978002"/>
            <wp:effectExtent b="0" l="0" r="0" t="0"/>
            <wp:docPr descr="" title="" id="57" name="Picture"/>
            <a:graphic>
              <a:graphicData uri="http://schemas.openxmlformats.org/drawingml/2006/picture">
                <pic:pic>
                  <pic:nvPicPr>
                    <pic:cNvPr descr="fig3_growth.png" id="58" name="Picture"/>
                    <pic:cNvPicPr>
                      <a:picLocks noChangeArrowheads="1" noChangeAspect="1"/>
                    </pic:cNvPicPr>
                  </pic:nvPicPr>
                  <pic:blipFill>
                    <a:blip r:embed="rId56"/>
                    <a:stretch>
                      <a:fillRect/>
                    </a:stretch>
                  </pic:blipFill>
                  <pic:spPr bwMode="auto">
                    <a:xfrm>
                      <a:off x="0" y="0"/>
                      <a:ext cx="5334000" cy="3978002"/>
                    </a:xfrm>
                    <a:prstGeom prst="rect">
                      <a:avLst/>
                    </a:prstGeom>
                    <a:noFill/>
                    <a:ln w="9525">
                      <a:noFill/>
                      <a:headEnd/>
                      <a:tailEnd/>
                    </a:ln>
                  </pic:spPr>
                </pic:pic>
              </a:graphicData>
            </a:graphic>
          </wp:inline>
        </w:drawing>
      </w:r>
    </w:p>
    <w:p>
      <w:pPr>
        <w:pStyle w:val="BodyText"/>
      </w:pPr>
      <w:r>
        <w:rPr>
          <w:bCs/>
          <w:b/>
        </w:rPr>
        <w:t xml:space="preserve">Fig. 3 | Growth, division and partitioning generate memory, size scaling and cell-cycle effects.</w:t>
      </w:r>
      <w:r>
        <w:t xml:space="preserve"> </w:t>
      </w:r>
      <w:r>
        <w:rPr>
          <w:bCs/>
          <w:b/>
        </w:rPr>
        <w:t xml:space="preserve">a</w:t>
      </w:r>
      <w:r>
        <w:t xml:space="preserve">, A single lineage: volume, mRNA and protein of a slowly switching gene, with the promoter-on state shaded.</w:t>
      </w:r>
      <w:r>
        <w:t xml:space="preserve"> </w:t>
      </w:r>
      <w:r>
        <w:rPr>
          <w:bCs/>
          <w:b/>
        </w:rPr>
        <w:t xml:space="preserve">b</w:t>
      </w:r>
      <w:r>
        <w:t xml:space="preserve">, mRNA count against cell volume for a fast-switching gene without replication (points; line, mean concentration × V) and with gene replication at mid-cycle (binned means).</w:t>
      </w:r>
      <w:r>
        <w:t xml:space="preserve"> </w:t>
      </w:r>
      <w:r>
        <w:rPr>
          <w:bCs/>
          <w:b/>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Cs/>
          <w:b/>
        </w:rPr>
        <w:t xml:space="preserve">d</w:t>
      </w:r>
      <w:r>
        <w:t xml:space="preserve">, Memory timescale against the measured cell-cycle time for two switching rates; dotted lines,</w:t>
      </w:r>
      <w:r>
        <w:t xml:space="preserve"> </w:t>
      </w:r>
      <m:oMath>
        <m:r>
          <m:t>1</m:t>
        </m:r>
        <m:r>
          <m:rPr>
            <m:sty m:val="p"/>
          </m:rPr>
          <m:t>/</m:t>
        </m:r>
        <m:d>
          <m:dPr>
            <m:begChr m:val="("/>
            <m:endChr m:val=")"/>
            <m:sepChr m:val=""/>
            <m:grow/>
          </m:dPr>
          <m:e>
            <m:sSub>
              <m:e>
                <m:r>
                  <m:t>k</m:t>
                </m:r>
              </m:e>
              <m:sub>
                <m:r>
                  <m:rPr>
                    <m:sty m:val="p"/>
                  </m:rPr>
                  <m:t>o</m:t>
                </m:r>
                <m:r>
                  <m:rPr>
                    <m:sty m:val="p"/>
                  </m:rPr>
                  <m:t>n</m:t>
                </m:r>
              </m:sub>
            </m:sSub>
            <m:r>
              <m:rPr>
                <m:sty m:val="p"/>
              </m:rPr>
              <m:t>+</m:t>
            </m:r>
            <m:sSub>
              <m:e>
                <m:r>
                  <m:t>k</m:t>
                </m:r>
              </m:e>
              <m:sub>
                <m:r>
                  <m:rPr>
                    <m:sty m:val="p"/>
                  </m:rPr>
                  <m:t>o</m:t>
                </m:r>
                <m:r>
                  <m:rPr>
                    <m:sty m:val="p"/>
                  </m:rPr>
                  <m:t>f</m:t>
                </m:r>
                <m:r>
                  <m:rPr>
                    <m:sty m:val="p"/>
                  </m:rPr>
                  <m:t>f</m:t>
                </m:r>
              </m:sub>
            </m:sSub>
          </m:e>
        </m:d>
      </m:oMath>
      <w:r>
        <w:t xml:space="preserve">.</w:t>
      </w:r>
      <w:r>
        <w:t xml:space="preserve"> </w:t>
      </w:r>
      <w:r>
        <w:rPr>
          <w:bCs/>
          <w:b/>
        </w:rPr>
        <w:t xml:space="preserve">e</w:t>
      </w:r>
      <w:r>
        <w:t xml:space="preserve">, Squared coefficient of variation of a stable protein’s concentration across the population and along single lineages, for increasing partitioning noise and cell-cycle-time noise.</w:t>
      </w:r>
      <w:r>
        <w:t xml:space="preserve"> </w:t>
      </w:r>
      <w:r>
        <w:rPr>
          <w:bCs/>
          <w:b/>
        </w:rPr>
        <w:t xml:space="preserve">f</w:t>
      </w:r>
      <w:r>
        <w:t xml:space="preserve">, Telegraph parameters fitted to cells before replication (one gene copy), after replication (two copies) and pooled. The transcription rate is plotted per unit cell volume and divided by twenty, so that all three series share an axis and the dotted lines mark the true per-allele values (</w:t>
      </w:r>
      <m:oMath>
        <m:sSub>
          <m:e>
            <m:r>
              <m:t>k</m:t>
            </m:r>
          </m:e>
          <m:sub>
            <m:r>
              <m:rPr>
                <m:sty m:val="p"/>
              </m:rPr>
              <m:t>o</m:t>
            </m:r>
            <m:r>
              <m:rPr>
                <m:sty m:val="p"/>
              </m:rPr>
              <m:t>n</m:t>
            </m:r>
          </m:sub>
        </m:sSub>
        <m:r>
          <m:rPr>
            <m:sty m:val="p"/>
          </m:rPr>
          <m:t>=</m:t>
        </m:r>
        <m:r>
          <m:t>0.5</m:t>
        </m:r>
      </m:oMath>
      <w:r>
        <w:t xml:space="preserve">,</w:t>
      </w:r>
      <w:r>
        <w:t xml:space="preserve"> </w:t>
      </w:r>
      <m:oMath>
        <m:sSub>
          <m:e>
            <m:r>
              <m:t>k</m:t>
            </m:r>
          </m:e>
          <m:sub>
            <m:r>
              <m:rPr>
                <m:sty m:val="p"/>
              </m:rPr>
              <m:t>o</m:t>
            </m:r>
            <m:r>
              <m:rPr>
                <m:sty m:val="p"/>
              </m:rPr>
              <m:t>f</m:t>
            </m:r>
            <m:r>
              <m:rPr>
                <m:sty m:val="p"/>
              </m:rPr>
              <m:t>f</m:t>
            </m:r>
          </m:sub>
        </m:sSub>
        <m:r>
          <m:rPr>
            <m:sty m:val="p"/>
          </m:rPr>
          <m:t>=</m:t>
        </m:r>
        <m:r>
          <m:t>1.5</m:t>
        </m:r>
      </m:oMath>
      <w:r>
        <w:t xml:space="preserve">, and 2 for the scaled transcription rate); the raw fitted transcription rates are in</w:t>
      </w:r>
      <w:r>
        <w:t xml:space="preserve"> </w:t>
      </w:r>
      <w:r>
        <w:rPr>
          <w:rStyle w:val="VerbatimChar"/>
        </w:rPr>
        <w:t xml:space="preserve">paper/output/fig3f_copynumber.csv</w:t>
      </w:r>
      <w:r>
        <w:t xml:space="preserve">.</w:t>
      </w:r>
    </w:p>
    <w:p>
      <w:pPr>
        <w:pStyle w:val="BodyText"/>
      </w:pPr>
      <w:r>
        <w:drawing>
          <wp:inline>
            <wp:extent cx="5334000" cy="4961953"/>
            <wp:effectExtent b="0" l="0" r="0" t="0"/>
            <wp:docPr descr="" title="" id="60" name="Picture"/>
            <a:graphic>
              <a:graphicData uri="http://schemas.openxmlformats.org/drawingml/2006/picture">
                <pic:pic>
                  <pic:nvPicPr>
                    <pic:cNvPr descr="fig4_persisters.png" id="61" name="Picture"/>
                    <pic:cNvPicPr>
                      <a:picLocks noChangeArrowheads="1" noChangeAspect="1"/>
                    </pic:cNvPicPr>
                  </pic:nvPicPr>
                  <pic:blipFill>
                    <a:blip r:embed="rId59"/>
                    <a:stretch>
                      <a:fillRect/>
                    </a:stretch>
                  </pic:blipFill>
                  <pic:spPr bwMode="auto">
                    <a:xfrm>
                      <a:off x="0" y="0"/>
                      <a:ext cx="5334000" cy="4961953"/>
                    </a:xfrm>
                    <a:prstGeom prst="rect">
                      <a:avLst/>
                    </a:prstGeom>
                    <a:noFill/>
                    <a:ln w="9525">
                      <a:noFill/>
                      <a:headEnd/>
                      <a:tailEnd/>
                    </a:ln>
                  </pic:spPr>
                </pic:pic>
              </a:graphicData>
            </a:graphic>
          </wp:inline>
        </w:drawing>
      </w:r>
    </w:p>
    <w:p>
      <w:pPr>
        <w:pStyle w:val="BodyText"/>
      </w:pPr>
      <w:r>
        <w:rPr>
          <w:bCs/>
          <w:b/>
        </w:rPr>
        <w:t xml:space="preserve">Fig. 4 | A single resistance gene with slow promoter switching reproduces persister biology.</w:t>
      </w:r>
      <w:r>
        <w:t xml:space="preserve"> </w:t>
      </w:r>
      <w:r>
        <w:rPr>
          <w:bCs/>
          <w:b/>
        </w:rPr>
        <w:t xml:space="preserve">a</w:t>
      </w:r>
      <w:r>
        <w:t xml:space="preserve">, Population size under continuous, pulsed and reduced-dose schedules (shading, treatment window).</w:t>
      </w:r>
      <w:r>
        <w:t xml:space="preserve"> </w:t>
      </w:r>
      <w:r>
        <w:rPr>
          <w:bCs/>
          <w:b/>
        </w:rPr>
        <w:t xml:space="preserve">b</w:t>
      </w:r>
      <w:r>
        <w:t xml:space="preserve">, Kill curves at increasing dose.</w:t>
      </w:r>
      <w:r>
        <w:t xml:space="preserve"> </w:t>
      </w:r>
      <w:r>
        <w:rPr>
          <w:bCs/>
          <w:b/>
        </w:rPr>
        <w:t xml:space="preserve">c</w:t>
      </w:r>
      <w:r>
        <w:t xml:space="preserve">, Net population decay rate over the first 30 time units of treatment against dose, with the mean division time of cells born under drug (inset), which is unchanged.</w:t>
      </w:r>
      <w:r>
        <w:t xml:space="preserve"> </w:t>
      </w:r>
      <w:r>
        <w:rPr>
          <w:bCs/>
          <w:b/>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Cs/>
          <w:b/>
        </w:rPr>
        <w:t xml:space="preserve">e</w:t>
      </w:r>
      <w:r>
        <w:t xml:space="preserve">, Effective number of clones (barcodes) before and after drug for pre-existing and drug-induced tolerance (mean ± s.d. of three seeds).</w:t>
      </w:r>
      <w:r>
        <w:t xml:space="preserve"> </w:t>
      </w:r>
      <w:r>
        <w:rPr>
          <w:bCs/>
          <w:b/>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Cs/>
          <w:b/>
        </w:rPr>
        <w:t xml:space="preserve">g</w:t>
      </w:r>
      <w:r>
        <w:t xml:space="preserve">, Fraction of high-expressing cells before, during and after a drug pulse for slow and fast switching.</w:t>
      </w:r>
      <w:r>
        <w:t xml:space="preserve"> </w:t>
      </w:r>
      <w:r>
        <w:rPr>
          <w:bCs/>
          <w:b/>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each cell of the map is the mean of five independent seeds and the box marks the schedule with the lowest mean growth rate; every schedule is run on the same five seeds and compared by paired differences, and the margin over the best alternative with a non-zero release period is resolved in only one of the three mechanisms (Supplementary Note 4).</w:t>
      </w:r>
    </w:p>
    <w:p>
      <w:pPr>
        <w:pStyle w:val="BodyText"/>
      </w:pPr>
      <w:r>
        <w:drawing>
          <wp:inline>
            <wp:extent cx="5334000" cy="3878106"/>
            <wp:effectExtent b="0" l="0" r="0" t="0"/>
            <wp:docPr descr="" title="" id="63" name="Picture"/>
            <a:graphic>
              <a:graphicData uri="http://schemas.openxmlformats.org/drawingml/2006/picture">
                <pic:pic>
                  <pic:nvPicPr>
                    <pic:cNvPr descr="fig5_benchmarks.png" id="64" name="Picture"/>
                    <pic:cNvPicPr>
                      <a:picLocks noChangeArrowheads="1" noChangeAspect="1"/>
                    </pic:cNvPicPr>
                  </pic:nvPicPr>
                  <pic:blipFill>
                    <a:blip r:embed="rId62"/>
                    <a:stretch>
                      <a:fillRect/>
                    </a:stretch>
                  </pic:blipFill>
                  <pic:spPr bwMode="auto">
                    <a:xfrm>
                      <a:off x="0" y="0"/>
                      <a:ext cx="5334000" cy="3878106"/>
                    </a:xfrm>
                    <a:prstGeom prst="rect">
                      <a:avLst/>
                    </a:prstGeom>
                    <a:noFill/>
                    <a:ln w="9525">
                      <a:noFill/>
                      <a:headEnd/>
                      <a:tailEnd/>
                    </a:ln>
                  </pic:spPr>
                </pic:pic>
              </a:graphicData>
            </a:graphic>
          </wp:inline>
        </w:drawing>
      </w:r>
    </w:p>
    <w:p>
      <w:pPr>
        <w:pStyle w:val="BodyText"/>
      </w:pPr>
      <w:r>
        <w:rPr>
          <w:bCs/>
          <w:b/>
        </w:rPr>
        <w:t xml:space="preserve">Fig. 5 | Ground-truth benchmarks.</w:t>
      </w:r>
      <w:r>
        <w:t xml:space="preserve"> </w:t>
      </w:r>
      <w:r>
        <w:rPr>
          <w:bCs/>
          <w:b/>
        </w:rPr>
        <w:t xml:space="preserve">a</w:t>
      </w:r>
      <w:r>
        <w:t xml:space="preserve">, Clonal variance score against the known memory time of 40 independent genes, from true concentrations and from sequenced counts; dotted line, cell-cycle time.</w:t>
      </w:r>
      <w:r>
        <w:t xml:space="preserve"> </w:t>
      </w:r>
      <w:r>
        <w:rPr>
          <w:bCs/>
          <w:b/>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Cs/>
          <w:b/>
        </w:rPr>
        <w:t xml:space="preserve">c</w:t>
      </w:r>
      <w:r>
        <w:t xml:space="preserve">, Effect of kNN-smoothing and MAGIC imputation before inference.</w:t>
      </w:r>
      <w:r>
        <w:t xml:space="preserve"> </w:t>
      </w:r>
      <w:r>
        <w:rPr>
          <w:bCs/>
          <w:b/>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77809"/>
            <wp:effectExtent b="0" l="0" r="0" t="0"/>
            <wp:docPr descr="" title="" id="66" name="Picture"/>
            <a:graphic>
              <a:graphicData uri="http://schemas.openxmlformats.org/drawingml/2006/picture">
                <pic:pic>
                  <pic:nvPicPr>
                    <pic:cNvPr descr="fig6_inference.png" id="67" name="Picture"/>
                    <pic:cNvPicPr>
                      <a:picLocks noChangeArrowheads="1" noChangeAspect="1"/>
                    </pic:cNvPicPr>
                  </pic:nvPicPr>
                  <pic:blipFill>
                    <a:blip r:embed="rId65"/>
                    <a:stretch>
                      <a:fillRect/>
                    </a:stretch>
                  </pic:blipFill>
                  <pic:spPr bwMode="auto">
                    <a:xfrm>
                      <a:off x="0" y="0"/>
                      <a:ext cx="5334000" cy="5177809"/>
                    </a:xfrm>
                    <a:prstGeom prst="rect">
                      <a:avLst/>
                    </a:prstGeom>
                    <a:noFill/>
                    <a:ln w="9525">
                      <a:noFill/>
                      <a:headEnd/>
                      <a:tailEnd/>
                    </a:ln>
                  </pic:spPr>
                </pic:pic>
              </a:graphicData>
            </a:graphic>
          </wp:inline>
        </w:drawing>
      </w:r>
    </w:p>
    <w:p>
      <w:pPr>
        <w:pStyle w:val="BodyText"/>
      </w:pPr>
      <w:r>
        <w:rPr>
          <w:bCs/>
          <w:b/>
        </w:rPr>
        <w:t xml:space="preserve">Fig. 6 | Inference with the forward model.</w:t>
      </w:r>
      <w:r>
        <w:t xml:space="preserve"> </w:t>
      </w:r>
      <w:r>
        <w:rPr>
          <w:bCs/>
          <w:b/>
        </w:rPr>
        <w:t xml:space="preserve">a</w:t>
      </w:r>
      <w:r>
        <w:t xml:space="preserve">, Posterior distributions of telegraph parameters from ABC-SMC on a snapshot of non-dividing cells, with the truth and the exact maximum-likelihood estimate.</w:t>
      </w:r>
      <w:r>
        <w:t xml:space="preserve"> </w:t>
      </w:r>
      <w:r>
        <w:rPr>
          <w:bCs/>
          <w:b/>
        </w:rPr>
        <w:t xml:space="preserve">b</w:t>
      </w:r>
      <w:r>
        <w:t xml:space="preserve">, The same for a snapshot of a growing and dividing population: the naive telegraph fit is biased while division-aware ABC recovers the truth.</w:t>
      </w:r>
      <w:r>
        <w:t xml:space="preserve"> </w:t>
      </w:r>
      <w:r>
        <w:rPr>
          <w:bCs/>
          <w:b/>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Cs/>
          <w:b/>
        </w:rPr>
        <w:t xml:space="preserve">d</w:t>
      </w:r>
      <w:r>
        <w:t xml:space="preserve">, Posterior predictive kill curves simulated at the posterior median against the observed curve.</w:t>
      </w:r>
    </w:p>
    <w:p>
      <w:pPr>
        <w:pStyle w:val="BodyText"/>
      </w:pPr>
      <w:r>
        <w:drawing>
          <wp:inline>
            <wp:extent cx="5334000" cy="4292236"/>
            <wp:effectExtent b="0" l="0" r="0" t="0"/>
            <wp:docPr descr="" title="" id="69" name="Picture"/>
            <a:graphic>
              <a:graphicData uri="http://schemas.openxmlformats.org/drawingml/2006/picture">
                <pic:pic>
                  <pic:nvPicPr>
                    <pic:cNvPr descr="fig7_calibration.png" id="70" name="Picture"/>
                    <pic:cNvPicPr>
                      <a:picLocks noChangeArrowheads="1" noChangeAspect="1"/>
                    </pic:cNvPicPr>
                  </pic:nvPicPr>
                  <pic:blipFill>
                    <a:blip r:embed="rId68"/>
                    <a:stretch>
                      <a:fillRect/>
                    </a:stretch>
                  </pic:blipFill>
                  <pic:spPr bwMode="auto">
                    <a:xfrm>
                      <a:off x="0" y="0"/>
                      <a:ext cx="5334000" cy="4292236"/>
                    </a:xfrm>
                    <a:prstGeom prst="rect">
                      <a:avLst/>
                    </a:prstGeom>
                    <a:noFill/>
                    <a:ln w="9525">
                      <a:noFill/>
                      <a:headEnd/>
                      <a:tailEnd/>
                    </a:ln>
                  </pic:spPr>
                </pic:pic>
              </a:graphicData>
            </a:graphic>
          </wp:inline>
        </w:drawing>
      </w:r>
    </w:p>
    <w:p>
      <w:pPr>
        <w:pStyle w:val="BodyText"/>
      </w:pPr>
      <w:r>
        <w:rPr>
          <w:bCs/>
          <w:b/>
        </w:rPr>
        <w:t xml:space="preserve">Fig. 7 | Calibration to laboratory time-lapse data and validation on held-out conditions.</w:t>
      </w:r>
      <w:r>
        <w:t xml:space="preserve"> </w:t>
      </w:r>
      <w:r>
        <w:rPr>
          <w:bCs/>
          <w:b/>
        </w:rPr>
        <w:t xml:space="preserve">a</w:t>
      </w:r>
      <w:r>
        <w:t xml:space="preserve">, Fates over 72 h of cisplatin of U2OS cells present at drug addition, observed by time-lapse microscopy (grey; ref.</w:t>
      </w:r>
      <w:r>
        <w:t xml:space="preserve"> </w:t>
      </w:r>
      <w:r>
        <w:t xml:space="preserve">[6]</w:t>
      </w:r>
      <w:r>
        <w:t xml:space="preserve">) and simulated by the calibrated model (colours; mean ± s.d. of four seeds); the model was calibrated on 7 and 13 µM and the 10 µM condition is predicted.</w:t>
      </w:r>
      <w:r>
        <w:t xml:space="preserve"> </w:t>
      </w:r>
      <w:r>
        <w:rPr>
          <w:bCs/>
          <w:b/>
        </w:rPr>
        <w:t xml:space="preserve">b</w:t>
      </w:r>
      <w:r>
        <w:t xml:space="preserve">, Predicted population size at the three concentrations and at 11.5 µM, from two days before the drug to seven days of exposure.</w:t>
      </w:r>
      <w:r>
        <w:t xml:space="preserve"> </w:t>
      </w:r>
      <w:r>
        <w:rPr>
          <w:bCs/>
          <w:b/>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 That observation is reported graphically in ref.</w:t>
      </w:r>
      <w:r>
        <w:t xml:space="preserve"> </w:t>
      </w:r>
      <w:r>
        <w:t xml:space="preserve">[6]</w:t>
      </w:r>
      <w:r>
        <w:t xml:space="preserve"> </w:t>
      </w:r>
      <w:r>
        <w:t xml:space="preserve">with no numeric coefficients, so the comparison is of pattern rather than of value.</w:t>
      </w:r>
      <w:r>
        <w:t xml:space="preserve"> </w:t>
      </w:r>
      <w:r>
        <w:rPr>
          <w:bCs/>
          <w:b/>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Cs/>
          <w:b/>
        </w:rPr>
        <w:t xml:space="preserve">e</w:t>
      </w:r>
      <w:r>
        <w:t xml:space="preserve">, Calibration landscape: every parameter set evaluated by the optimiser, coloured by the objective it minimised, which is the single-seed training error plus the memory prior and is not the seed-averaged error quoted in the text.</w:t>
      </w:r>
      <w:r>
        <w:t xml:space="preserve"> </w:t>
      </w:r>
      <w:r>
        <w:rPr>
          <w:bCs/>
          <w:b/>
        </w:rPr>
        <w:t xml:space="preserve">f</w:t>
      </w:r>
      <w:r>
        <w:t xml:space="preserve">, Calibrated parameters.</w:t>
      </w:r>
    </w:p>
    <w:p>
      <w:pPr>
        <w:pStyle w:val="BodyText"/>
      </w:pPr>
      <w:r>
        <w:drawing>
          <wp:inline>
            <wp:extent cx="5334000" cy="5521735"/>
            <wp:effectExtent b="0" l="0" r="0" t="0"/>
            <wp:docPr descr="" title="" id="72" name="Picture"/>
            <a:graphic>
              <a:graphicData uri="http://schemas.openxmlformats.org/drawingml/2006/picture">
                <pic:pic>
                  <pic:nvPicPr>
                    <pic:cNvPr descr="fig8_schedules.png" id="73" name="Picture"/>
                    <pic:cNvPicPr>
                      <a:picLocks noChangeArrowheads="1" noChangeAspect="1"/>
                    </pic:cNvPicPr>
                  </pic:nvPicPr>
                  <pic:blipFill>
                    <a:blip r:embed="rId71"/>
                    <a:stretch>
                      <a:fillRect/>
                    </a:stretch>
                  </pic:blipFill>
                  <pic:spPr bwMode="auto">
                    <a:xfrm>
                      <a:off x="0" y="0"/>
                      <a:ext cx="5334000" cy="5521735"/>
                    </a:xfrm>
                    <a:prstGeom prst="rect">
                      <a:avLst/>
                    </a:prstGeom>
                    <a:noFill/>
                    <a:ln w="9525">
                      <a:noFill/>
                      <a:headEnd/>
                      <a:tailEnd/>
                    </a:ln>
                  </pic:spPr>
                </pic:pic>
              </a:graphicData>
            </a:graphic>
          </wp:inline>
        </w:drawing>
      </w:r>
    </w:p>
    <w:p>
      <w:pPr>
        <w:pStyle w:val="BodyText"/>
      </w:pPr>
      <w:r>
        <w:rPr>
          <w:bCs/>
          <w:b/>
        </w:rPr>
        <w:t xml:space="preserve">Fig. 8 | Dose and schedule optimisation against clinical regimens.</w:t>
      </w:r>
      <w:r>
        <w:t xml:space="preserve"> </w:t>
      </w:r>
      <w:r>
        <w:rPr>
          <w:bCs/>
          <w:b/>
        </w:rPr>
        <w:t xml:space="preserve">a</w:t>
      </w:r>
      <w:r>
        <w:t xml:space="preserve">–</w:t>
      </w:r>
      <w:r>
        <w:rPr>
          <w:bCs/>
          <w:b/>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Cs/>
          <w:b/>
        </w:rPr>
        <w:t xml:space="preserve">a</w:t>
      </w:r>
      <w:r>
        <w:t xml:space="preserve">), when resistant cells grow 50% slower in the absence of drug (</w:t>
      </w:r>
      <w:r>
        <w:rPr>
          <w:bCs/>
          <w:b/>
        </w:rPr>
        <w:t xml:space="preserve">b</w:t>
      </w:r>
      <w:r>
        <w:t xml:space="preserve">), and when resistant cells are only partly protected and grow at half speed under drug (</w:t>
      </w:r>
      <w:r>
        <w:rPr>
          <w:bCs/>
          <w:b/>
        </w:rPr>
        <w:t xml:space="preserve">c</w:t>
      </w:r>
      <w:r>
        <w:t xml:space="preserve">); dotted line, 120% of the initial size.</w:t>
      </w:r>
      <w:r>
        <w:t xml:space="preserve"> </w:t>
      </w:r>
      <w:r>
        <w:rPr>
          <w:bCs/>
          <w:b/>
        </w:rPr>
        <w:t xml:space="preserve">d</w:t>
      </w:r>
      <w:r>
        <w:t xml:space="preserve">, Weeks after randomisation until the population exceeds 120% of its pre-treatment size (loss of control; mean ± s.d. of four seeds, censored at 52 weeks).</w:t>
      </w:r>
      <w:r>
        <w:t xml:space="preserve"> </w:t>
      </w:r>
      <w:r>
        <w:rPr>
          <w:bCs/>
          <w:b/>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Cs/>
          <w:b/>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a plasma value; an independent study gives 1.8 h) and stoichiometric consumption of MGMT by the drug, one molecule per lesion repaired, for populations in which 1% (methylated promoter, solid) or 30% (unmethylated, dashed) of cells express MGMT.</w:t>
      </w:r>
      <w:r>
        <w:t xml:space="preserve"> </w:t>
      </w:r>
      <w:r>
        <w:rPr>
          <w:bCs/>
          <w:b/>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Cs/>
          <w:b/>
        </w:rPr>
        <w:t xml:space="preserve">h</w:t>
      </w:r>
      <w:r>
        <w:t xml:space="preserve">, Final population size against the number of dosing days per 28-day cycle at the standard cumulative dose.</w:t>
      </w:r>
    </w:p>
    <w:bookmarkEnd w:id="74"/>
    <w:bookmarkStart w:id="75"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t xml:space="preserve"> </w:t>
      </w:r>
      <w:r>
        <w:t xml:space="preserve">[33]</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75"/>
    <w:bookmarkStart w:id="76"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76"/>
    <w:bookmarkStart w:id="77" w:name="competing-interests"/>
    <w:p>
      <w:pPr>
        <w:pStyle w:val="Heading1"/>
      </w:pPr>
      <w:r>
        <w:t xml:space="preserve">Competing interests</w:t>
      </w:r>
    </w:p>
    <w:p>
      <w:pPr>
        <w:pStyle w:val="FirstParagraph"/>
      </w:pPr>
      <w:r>
        <w:t xml:space="preserve">The author declares no competing interests.</w:t>
      </w:r>
    </w:p>
    <w:bookmarkEnd w:id="77"/>
    <w:bookmarkStart w:id="78" w:name="additional-information"/>
    <w:p>
      <w:pPr>
        <w:pStyle w:val="Heading1"/>
      </w:pPr>
      <w:r>
        <w:t xml:space="preserve">Additional information</w:t>
      </w:r>
    </w:p>
    <w:p>
      <w:pPr>
        <w:pStyle w:val="FirstParagraph"/>
      </w:pPr>
      <w:r>
        <w:rPr>
          <w:bCs/>
          <w:b/>
        </w:rPr>
        <w:t xml:space="preserve">Supplementary information</w:t>
      </w:r>
      <w:r>
        <w:t xml:space="preserve"> </w:t>
      </w:r>
      <w:r>
        <w:t xml:space="preserve">accompanies this Article. Correspondence and requests for materials should be addressed to A.L.</w:t>
      </w:r>
    </w:p>
    <w:bookmarkEnd w:id="78"/>
    <w:bookmarkStart w:id="222" w:name="references"/>
    <w:p>
      <w:pPr>
        <w:pStyle w:val="Heading1"/>
      </w:pPr>
      <w:r>
        <w:t xml:space="preserve">References</w:t>
      </w:r>
    </w:p>
    <w:bookmarkStart w:id="221" w:name="refs"/>
    <w:bookmarkStart w:id="80" w:name="ref-sharma2010"/>
    <w:p>
      <w:pPr>
        <w:pStyle w:val="Bibliography"/>
      </w:pPr>
      <w:r>
        <w:t xml:space="preserve">1.</w:t>
      </w:r>
      <w:r>
        <w:t xml:space="preserve"> </w:t>
      </w:r>
      <w:r>
        <w:t xml:space="preserve">	</w:t>
      </w:r>
      <w:r>
        <w:t xml:space="preserve">Sharma SV, Lee DY, Li B, Quinlan MP, Takahashi F, Maheswaran S, et al. A chromatin-mediated reversible drug-tolerant state in cancer cell subpopulations. Cell. 2010;141: 69–80. doi:</w:t>
      </w:r>
      <w:hyperlink r:id="rId79">
        <w:r>
          <w:rPr>
            <w:rStyle w:val="Hyperlink"/>
          </w:rPr>
          <w:t xml:space="preserve">10.1016/j.cell.2010.02.027</w:t>
        </w:r>
      </w:hyperlink>
    </w:p>
    <w:bookmarkEnd w:id="80"/>
    <w:bookmarkStart w:id="82" w:name="ref-shaffer2017"/>
    <w:p>
      <w:pPr>
        <w:pStyle w:val="Bibliography"/>
      </w:pPr>
      <w:r>
        <w:t xml:space="preserve">2.</w:t>
      </w:r>
      <w:r>
        <w:t xml:space="preserve"> </w:t>
      </w:r>
      <w:r>
        <w:t xml:space="preserve">	</w:t>
      </w:r>
      <w:r>
        <w:t xml:space="preserve">Shaffer SM, Dunagin MC, Torborg SR, Torre EA, Emert B, Krepler C, et al. Rare cell variability and drug-induced reprogramming as a mode of cancer drug resistance. Nature. 2017;546: 431–435. doi:</w:t>
      </w:r>
      <w:hyperlink r:id="rId81">
        <w:r>
          <w:rPr>
            <w:rStyle w:val="Hyperlink"/>
          </w:rPr>
          <w:t xml:space="preserve">10.1038/nature22794</w:t>
        </w:r>
      </w:hyperlink>
    </w:p>
    <w:bookmarkEnd w:id="82"/>
    <w:bookmarkStart w:id="84" w:name="ref-hata2016"/>
    <w:p>
      <w:pPr>
        <w:pStyle w:val="Bibliography"/>
      </w:pPr>
      <w:r>
        <w:t xml:space="preserve">3.</w:t>
      </w:r>
      <w:r>
        <w:t xml:space="preserve"> </w:t>
      </w:r>
      <w:r>
        <w:t xml:space="preserve">	</w:t>
      </w:r>
      <w:r>
        <w:t xml:space="preserve">Hata AN, Niederst MJ, Archibald HL, Gomez-Caraballo M, Siddiqui FM, Mulvey HE, et al. Tumor cells can follow distinct evolutionary paths to become resistant to epidermal growth factor receptor inhibition. Nature Medicine. 2016;22: 262–269. doi:</w:t>
      </w:r>
      <w:hyperlink r:id="rId83">
        <w:r>
          <w:rPr>
            <w:rStyle w:val="Hyperlink"/>
          </w:rPr>
          <w:t xml:space="preserve">10.1038/nm.4040</w:t>
        </w:r>
      </w:hyperlink>
    </w:p>
    <w:bookmarkEnd w:id="84"/>
    <w:bookmarkStart w:id="86" w:name="ref-oren2021"/>
    <w:p>
      <w:pPr>
        <w:pStyle w:val="Bibliography"/>
      </w:pPr>
      <w:r>
        <w:t xml:space="preserve">4.</w:t>
      </w:r>
      <w:r>
        <w:t xml:space="preserve"> </w:t>
      </w:r>
      <w:r>
        <w:t xml:space="preserve">	</w:t>
      </w:r>
      <w:r>
        <w:t xml:space="preserve">Oren Y, Tsabar M, Cuoco MS, Amir-Zilberstein L, Cabanos HF, Hütter J-C, et al. Cycling cancer persister cells arise from lineages with distinct programs. Nature. 2021;596: 576–582. doi:</w:t>
      </w:r>
      <w:hyperlink r:id="rId85">
        <w:r>
          <w:rPr>
            <w:rStyle w:val="Hyperlink"/>
          </w:rPr>
          <w:t xml:space="preserve">10.1038/s41586-021-03796-6</w:t>
        </w:r>
      </w:hyperlink>
    </w:p>
    <w:bookmarkEnd w:id="86"/>
    <w:bookmarkStart w:id="88" w:name="ref-franca2024"/>
    <w:p>
      <w:pPr>
        <w:pStyle w:val="Bibliography"/>
      </w:pPr>
      <w:r>
        <w:t xml:space="preserve">5.</w:t>
      </w:r>
      <w:r>
        <w:t xml:space="preserve"> </w:t>
      </w:r>
      <w:r>
        <w:t xml:space="preserve">	</w:t>
      </w:r>
      <w:r>
        <w:t xml:space="preserve">França GS, Baron M, King BR, Bossowski JP, Bjornberg A, Pour M, et al. Cellular adaptation to cancer therapy along a resistance continuum. Nature. 2024;631: 876–883. doi:</w:t>
      </w:r>
      <w:hyperlink r:id="rId87">
        <w:r>
          <w:rPr>
            <w:rStyle w:val="Hyperlink"/>
          </w:rPr>
          <w:t xml:space="preserve">10.1038/s41586-024-07690-9</w:t>
        </w:r>
      </w:hyperlink>
    </w:p>
    <w:bookmarkEnd w:id="88"/>
    <w:bookmarkStart w:id="90" w:name="ref-iyer2025"/>
    <w:p>
      <w:pPr>
        <w:pStyle w:val="Bibliography"/>
      </w:pPr>
      <w:r>
        <w:t xml:space="preserve">6.</w:t>
      </w:r>
      <w:r>
        <w:t xml:space="preserve"> </w:t>
      </w:r>
      <w:r>
        <w:t xml:space="preserve">	</w:t>
      </w:r>
      <w:r>
        <w:t xml:space="preserve">Iyer A, Alva A, Granada AE, Chakrabarti S. Inheritable cell-states shape drug-persister correlations and population dynamics in cancer cells. PLoS Computational Biology. 2025;21: e1013446. doi:</w:t>
      </w:r>
      <w:hyperlink r:id="rId89">
        <w:r>
          <w:rPr>
            <w:rStyle w:val="Hyperlink"/>
          </w:rPr>
          <w:t xml:space="preserve">10.1371/journal.pcbi.1013446</w:t>
        </w:r>
      </w:hyperlink>
    </w:p>
    <w:bookmarkEnd w:id="90"/>
    <w:bookmarkStart w:id="92" w:name="ref-lin2025memory"/>
    <w:p>
      <w:pPr>
        <w:pStyle w:val="Bibliography"/>
      </w:pPr>
      <w:r>
        <w:t xml:space="preserve">7.</w:t>
      </w:r>
      <w:r>
        <w:t xml:space="preserve"> </w:t>
      </w:r>
      <w:r>
        <w:t xml:space="preserve">	</w:t>
      </w:r>
      <w:r>
        <w:t xml:space="preserve">Lin Y, Chen X, Wu L, Zhou Y, Lin Y. Widespread transcriptional memory shapes heritable states and functional heterogeneity in cancer and stem cells. Cell Systems. 2026;17: 101621. doi:</w:t>
      </w:r>
      <w:hyperlink r:id="rId91">
        <w:r>
          <w:rPr>
            <w:rStyle w:val="Hyperlink"/>
          </w:rPr>
          <w:t xml:space="preserve">10.1016/j.cels.2026.101621</w:t>
        </w:r>
      </w:hyperlink>
    </w:p>
    <w:bookmarkEnd w:id="92"/>
    <w:bookmarkStart w:id="94" w:name="ref-ghosh2025powerseek"/>
    <w:p>
      <w:pPr>
        <w:pStyle w:val="Bibliography"/>
      </w:pPr>
      <w:r>
        <w:t xml:space="preserve">8.</w:t>
      </w:r>
      <w:r>
        <w:t xml:space="preserve"> </w:t>
      </w:r>
      <w:r>
        <w:t xml:space="preserve">	</w:t>
      </w:r>
      <w:r>
        <w:t xml:space="preserve">Ghosh S, Chakrabarti S, Raju A. Identifying memory gene expression from single sample</w:t>
      </w:r>
      <w:r>
        <w:t xml:space="preserve"> </w:t>
      </w:r>
      <w:r>
        <w:t xml:space="preserve">scRNA-seq</w:t>
      </w:r>
      <w:r>
        <w:t xml:space="preserve"> </w:t>
      </w:r>
      <w:r>
        <w:t xml:space="preserve">data using power law signatures. bioRxiv. 2025. doi:</w:t>
      </w:r>
      <w:hyperlink r:id="rId93">
        <w:r>
          <w:rPr>
            <w:rStyle w:val="Hyperlink"/>
          </w:rPr>
          <w:t xml:space="preserve">10.1101/2025.01.15.633183</w:t>
        </w:r>
      </w:hyperlink>
    </w:p>
    <w:bookmarkEnd w:id="94"/>
    <w:bookmarkStart w:id="96" w:name="ref-harmange2023"/>
    <w:p>
      <w:pPr>
        <w:pStyle w:val="Bibliography"/>
      </w:pPr>
      <w:r>
        <w:t xml:space="preserve">9.</w:t>
      </w:r>
      <w:r>
        <w:t xml:space="preserve"> </w:t>
      </w:r>
      <w:r>
        <w:t xml:space="preserve">	</w:t>
      </w:r>
      <w:r>
        <w:t xml:space="preserve">Harmange G, Hueros RAR, Schaff DL, Emert B, Saint-Antoine M, Kim LC, et al. Disrupting cellular memory to overcome drug resistance. Nature Communications. 2023;14: 7130. doi:</w:t>
      </w:r>
      <w:hyperlink r:id="rId95">
        <w:r>
          <w:rPr>
            <w:rStyle w:val="Hyperlink"/>
          </w:rPr>
          <w:t xml:space="preserve">10.1038/s41467-023-41811-8</w:t>
        </w:r>
      </w:hyperlink>
    </w:p>
    <w:bookmarkEnd w:id="96"/>
    <w:bookmarkStart w:id="98" w:name="ref-sukys2025"/>
    <w:p>
      <w:pPr>
        <w:pStyle w:val="Bibliography"/>
      </w:pPr>
      <w:r>
        <w:t xml:space="preserve">10.</w:t>
      </w:r>
      <w:r>
        <w:t xml:space="preserve"> </w:t>
      </w:r>
      <w:r>
        <w:t xml:space="preserve">	</w:t>
      </w:r>
      <w:r>
        <w:t xml:space="preserve">Sukys A, Grima R. Cell-cycle dependence of bursty gene expression: Insights from fitting mechanistic models to single-cell</w:t>
      </w:r>
      <w:r>
        <w:t xml:space="preserve"> </w:t>
      </w:r>
      <w:r>
        <w:t xml:space="preserve">RNA-seq</w:t>
      </w:r>
      <w:r>
        <w:t xml:space="preserve"> </w:t>
      </w:r>
      <w:r>
        <w:t xml:space="preserve">data. Nucleic Acids Research. 2025;53: gkaf295. doi:</w:t>
      </w:r>
      <w:hyperlink r:id="rId97">
        <w:r>
          <w:rPr>
            <w:rStyle w:val="Hyperlink"/>
          </w:rPr>
          <w:t xml:space="preserve">10.1093/nar/gkaf295</w:t>
        </w:r>
      </w:hyperlink>
    </w:p>
    <w:bookmarkEnd w:id="98"/>
    <w:bookmarkStart w:id="100" w:name="ref-zhang2025"/>
    <w:p>
      <w:pPr>
        <w:pStyle w:val="Bibliography"/>
      </w:pPr>
      <w:r>
        <w:t xml:space="preserve">11.</w:t>
      </w:r>
      <w:r>
        <w:t xml:space="preserve"> </w:t>
      </w:r>
      <w:r>
        <w:t xml:space="preserve">	</w:t>
      </w:r>
      <w:r>
        <w:t xml:space="preserve">Zhang Z, Zabaikina I, Nieto C, Vahdat Z, Bokes P, Singh A. Stochastic gene expression in proliferating cells: Differing noise intensity in single-cell and population perspectives. PLoS Computational Biology. 2025;21: e1013014. doi:</w:t>
      </w:r>
      <w:hyperlink r:id="rId99">
        <w:r>
          <w:rPr>
            <w:rStyle w:val="Hyperlink"/>
          </w:rPr>
          <w:t xml:space="preserve">10.1371/journal.pcbi.1013014</w:t>
        </w:r>
      </w:hyperlink>
    </w:p>
    <w:bookmarkEnd w:id="100"/>
    <w:bookmarkStart w:id="102" w:name="ref-okochi2026scdivide"/>
    <w:p>
      <w:pPr>
        <w:pStyle w:val="Bibliography"/>
      </w:pPr>
      <w:r>
        <w:t xml:space="preserve">12.</w:t>
      </w:r>
      <w:r>
        <w:t xml:space="preserve"> </w:t>
      </w:r>
      <w:r>
        <w:t xml:space="preserve">	</w:t>
      </w:r>
      <w:r>
        <w:t xml:space="preserve">Okochi Y, Sawazaki Y, Kondo Y, Naoki H. Inferring division-associated stochasticity from time-series single-cell transcriptomes. bioRxiv. 2026. doi:</w:t>
      </w:r>
      <w:hyperlink r:id="rId101">
        <w:r>
          <w:rPr>
            <w:rStyle w:val="Hyperlink"/>
          </w:rPr>
          <w:t xml:space="preserve">10.64898/2026.04.14.718485</w:t>
        </w:r>
      </w:hyperlink>
    </w:p>
    <w:bookmarkEnd w:id="102"/>
    <w:bookmarkStart w:id="104" w:name="ref-ahlmanneltze2025"/>
    <w:p>
      <w:pPr>
        <w:pStyle w:val="Bibliography"/>
      </w:pPr>
      <w:r>
        <w:t xml:space="preserve">13.</w:t>
      </w:r>
      <w:r>
        <w:t xml:space="preserve"> </w:t>
      </w:r>
      <w:r>
        <w:t xml:space="preserve">	</w:t>
      </w:r>
      <w:r>
        <w:t xml:space="preserve">Ahlmann-Eltze C, Huber W, Anders S. Deep-learning-based gene perturbation effect prediction does not yet outperform simple linear baselines. Nature Methods. 2025;22: 1657–1661. doi:</w:t>
      </w:r>
      <w:hyperlink r:id="rId103">
        <w:r>
          <w:rPr>
            <w:rStyle w:val="Hyperlink"/>
          </w:rPr>
          <w:t xml:space="preserve">10.1038/s41592-025-02772-6</w:t>
        </w:r>
      </w:hyperlink>
    </w:p>
    <w:bookmarkEnd w:id="104"/>
    <w:bookmarkStart w:id="106" w:name="ref-vollenweider2026"/>
    <w:p>
      <w:pPr>
        <w:pStyle w:val="Bibliography"/>
      </w:pPr>
      <w:r>
        <w:t xml:space="preserve">14.</w:t>
      </w:r>
      <w:r>
        <w:t xml:space="preserve"> </w:t>
      </w:r>
      <w:r>
        <w:t xml:space="preserve">	</w:t>
      </w:r>
      <w:r>
        <w:t xml:space="preserve">Vollenweider MS, Bühlmann P. Signal, bounds, and baselines: Principles for rigorous evaluation of high-dimensional biological perturbation prediction. bioRxiv. 2026. doi:</w:t>
      </w:r>
      <w:hyperlink r:id="rId105">
        <w:r>
          <w:rPr>
            <w:rStyle w:val="Hyperlink"/>
          </w:rPr>
          <w:t xml:space="preserve">10.64898/2026.04.20.719650</w:t>
        </w:r>
      </w:hyperlink>
    </w:p>
    <w:bookmarkEnd w:id="106"/>
    <w:bookmarkStart w:id="108" w:name="ref-dibaeinia2026context"/>
    <w:p>
      <w:pPr>
        <w:pStyle w:val="Bibliography"/>
      </w:pPr>
      <w:r>
        <w:t xml:space="preserve">15.</w:t>
      </w:r>
      <w:r>
        <w:t xml:space="preserve"> </w:t>
      </w:r>
      <w:r>
        <w:t xml:space="preserve">	</w:t>
      </w:r>
      <w:r>
        <w:t xml:space="preserve">Dibaeinia P, Babu S, Knudson M, ElSheikh A, Wen Y, Liu H, et al. Virtual cells need context, not just scale. bioRxiv. 2026. doi:</w:t>
      </w:r>
      <w:hyperlink r:id="rId107">
        <w:r>
          <w:rPr>
            <w:rStyle w:val="Hyperlink"/>
          </w:rPr>
          <w:t xml:space="preserve">10.64898/2026.02.04.703804</w:t>
        </w:r>
      </w:hyperlink>
    </w:p>
    <w:bookmarkEnd w:id="108"/>
    <w:bookmarkStart w:id="110" w:name="ref-bunne2024"/>
    <w:p>
      <w:pPr>
        <w:pStyle w:val="Bibliography"/>
      </w:pPr>
      <w:r>
        <w:t xml:space="preserve">16.</w:t>
      </w:r>
      <w:r>
        <w:t xml:space="preserve"> </w:t>
      </w:r>
      <w:r>
        <w:t xml:space="preserve">	</w:t>
      </w:r>
      <w:r>
        <w:t xml:space="preserve">Bunne C, Roohani Y, Rosen Y, Gupta A, Zhang X, Roed M, et al. How to build the virtual cell with artificial intelligence: Priorities and opportunities. Cell. 2024;187: 7045–7063. doi:</w:t>
      </w:r>
      <w:hyperlink r:id="rId109">
        <w:r>
          <w:rPr>
            <w:rStyle w:val="Hyperlink"/>
          </w:rPr>
          <w:t xml:space="preserve">10.1016/j.cell.2024.11.015</w:t>
        </w:r>
      </w:hyperlink>
    </w:p>
    <w:bookmarkEnd w:id="110"/>
    <w:bookmarkStart w:id="112" w:name="ref-zappia2017"/>
    <w:p>
      <w:pPr>
        <w:pStyle w:val="Bibliography"/>
      </w:pPr>
      <w:r>
        <w:t xml:space="preserve">17.</w:t>
      </w:r>
      <w:r>
        <w:t xml:space="preserve"> </w:t>
      </w:r>
      <w:r>
        <w:t xml:space="preserve">	</w:t>
      </w:r>
      <w:r>
        <w:t xml:space="preserve">Zappia L, Phipson B, Oshlack A. Splatter: Simulation of single-cell</w:t>
      </w:r>
      <w:r>
        <w:t xml:space="preserve"> </w:t>
      </w:r>
      <w:r>
        <w:t xml:space="preserve">RNA</w:t>
      </w:r>
      <w:r>
        <w:t xml:space="preserve"> </w:t>
      </w:r>
      <w:r>
        <w:t xml:space="preserve">sequencing data. Genome Biology. 2017;18: 174. doi:</w:t>
      </w:r>
      <w:hyperlink r:id="rId111">
        <w:r>
          <w:rPr>
            <w:rStyle w:val="Hyperlink"/>
          </w:rPr>
          <w:t xml:space="preserve">10.1186/s13059-017-1305-0</w:t>
        </w:r>
      </w:hyperlink>
    </w:p>
    <w:bookmarkEnd w:id="112"/>
    <w:bookmarkStart w:id="114" w:name="ref-song2024scdesign3"/>
    <w:p>
      <w:pPr>
        <w:pStyle w:val="Bibliography"/>
      </w:pPr>
      <w:r>
        <w:t xml:space="preserve">18.</w:t>
      </w:r>
      <w:r>
        <w:t xml:space="preserve"> </w:t>
      </w:r>
      <w:r>
        <w:t xml:space="preserve">	</w:t>
      </w:r>
      <w:r>
        <w:t xml:space="preserve">Song D, Wang Q, Yan G, Liu T, Sun T, Li JJ.</w:t>
      </w:r>
      <w:r>
        <w:t xml:space="preserve"> </w:t>
      </w:r>
      <w:r>
        <w:t xml:space="preserve">scDesign3</w:t>
      </w:r>
      <w:r>
        <w:t xml:space="preserve"> </w:t>
      </w:r>
      <w:r>
        <w:t xml:space="preserve">generates realistic in silico data for multimodal single-cell and spatial omics. Nature Biotechnology. 2024;42: 247–252. doi:</w:t>
      </w:r>
      <w:hyperlink r:id="rId113">
        <w:r>
          <w:rPr>
            <w:rStyle w:val="Hyperlink"/>
          </w:rPr>
          <w:t xml:space="preserve">10.1038/s41587-023-01772-1</w:t>
        </w:r>
      </w:hyperlink>
    </w:p>
    <w:bookmarkEnd w:id="114"/>
    <w:bookmarkStart w:id="116" w:name="ref-zhang2019symsim"/>
    <w:p>
      <w:pPr>
        <w:pStyle w:val="Bibliography"/>
      </w:pPr>
      <w:r>
        <w:t xml:space="preserve">19.</w:t>
      </w:r>
      <w:r>
        <w:t xml:space="preserve"> </w:t>
      </w:r>
      <w:r>
        <w:t xml:space="preserve">	</w:t>
      </w:r>
      <w:r>
        <w:t xml:space="preserve">Zhang X, Xu C, Yosef N. Simulating multiple faceted variability in single cell</w:t>
      </w:r>
      <w:r>
        <w:t xml:space="preserve"> </w:t>
      </w:r>
      <w:r>
        <w:t xml:space="preserve">RNA</w:t>
      </w:r>
      <w:r>
        <w:t xml:space="preserve"> </w:t>
      </w:r>
      <w:r>
        <w:t xml:space="preserve">sequencing. Nature Communications. 2019;10: 2611. doi:</w:t>
      </w:r>
      <w:hyperlink r:id="rId115">
        <w:r>
          <w:rPr>
            <w:rStyle w:val="Hyperlink"/>
          </w:rPr>
          <w:t xml:space="preserve">10.1038/s41467-019-10500-w</w:t>
        </w:r>
      </w:hyperlink>
    </w:p>
    <w:bookmarkEnd w:id="116"/>
    <w:bookmarkStart w:id="118" w:name="ref-dibaeinia2020"/>
    <w:p>
      <w:pPr>
        <w:pStyle w:val="Bibliography"/>
      </w:pPr>
      <w:r>
        <w:t xml:space="preserve">20.</w:t>
      </w:r>
      <w:r>
        <w:t xml:space="preserve"> </w:t>
      </w:r>
      <w:r>
        <w:t xml:space="preserve">	</w:t>
      </w:r>
      <w:r>
        <w:t xml:space="preserve">Dibaeinia P, Sinha S.</w:t>
      </w:r>
      <w:r>
        <w:t xml:space="preserve"> </w:t>
      </w:r>
      <w:r>
        <w:t xml:space="preserve">SERGIO</w:t>
      </w:r>
      <w:r>
        <w:t xml:space="preserve">: A single-cell expression simulator guided by gene regulatory networks. Cell Systems. 2020;11: 252–271. doi:</w:t>
      </w:r>
      <w:hyperlink r:id="rId117">
        <w:r>
          <w:rPr>
            <w:rStyle w:val="Hyperlink"/>
          </w:rPr>
          <w:t xml:space="preserve">10.1016/j.cels.2020.08.003</w:t>
        </w:r>
      </w:hyperlink>
    </w:p>
    <w:bookmarkEnd w:id="118"/>
    <w:bookmarkStart w:id="120" w:name="ref-cannoodt2021"/>
    <w:p>
      <w:pPr>
        <w:pStyle w:val="Bibliography"/>
      </w:pPr>
      <w:r>
        <w:t xml:space="preserve">21.</w:t>
      </w:r>
      <w:r>
        <w:t xml:space="preserve"> </w:t>
      </w:r>
      <w:r>
        <w:t xml:space="preserve">	</w:t>
      </w:r>
      <w:r>
        <w:t xml:space="preserve">Cannoodt R, Saelens W, Deconinck L, Saeys Y. Spearheading future omics analyses using dyngen, a multi-modal simulator of single cells. Nature Communications. 2021;12: 3942. doi:</w:t>
      </w:r>
      <w:hyperlink r:id="rId119">
        <w:r>
          <w:rPr>
            <w:rStyle w:val="Hyperlink"/>
          </w:rPr>
          <w:t xml:space="preserve">10.1038/s41467-021-24152-2</w:t>
        </w:r>
      </w:hyperlink>
    </w:p>
    <w:bookmarkEnd w:id="120"/>
    <w:bookmarkStart w:id="122" w:name="ref-li2025scmultisim"/>
    <w:p>
      <w:pPr>
        <w:pStyle w:val="Bibliography"/>
      </w:pPr>
      <w:r>
        <w:t xml:space="preserve">22.</w:t>
      </w:r>
      <w:r>
        <w:t xml:space="preserve"> </w:t>
      </w:r>
      <w:r>
        <w:t xml:space="preserve">	</w:t>
      </w:r>
      <w:r>
        <w:t xml:space="preserve">Li H, Zhang Z, Squires M, Chen X, Zhang X.</w:t>
      </w:r>
      <w:r>
        <w:t xml:space="preserve"> </w:t>
      </w:r>
      <w:r>
        <w:t xml:space="preserve">scMultiSim</w:t>
      </w:r>
      <w:r>
        <w:t xml:space="preserve">: Simulation of single-cell multi-omics and spatial data guided by gene regulatory networks and cell–cell interactions. Nature Methods. 2025;22: 982–993. doi:</w:t>
      </w:r>
      <w:hyperlink r:id="rId121">
        <w:r>
          <w:rPr>
            <w:rStyle w:val="Hyperlink"/>
          </w:rPr>
          <w:t xml:space="preserve">10.1038/s41592-025-02651-0</w:t>
        </w:r>
      </w:hyperlink>
    </w:p>
    <w:bookmarkEnd w:id="122"/>
    <w:bookmarkStart w:id="124" w:name="ref-zinati2024groundgan"/>
    <w:p>
      <w:pPr>
        <w:pStyle w:val="Bibliography"/>
      </w:pPr>
      <w:r>
        <w:t xml:space="preserve">23.</w:t>
      </w:r>
      <w:r>
        <w:t xml:space="preserve"> </w:t>
      </w:r>
      <w:r>
        <w:t xml:space="preserve">	</w:t>
      </w:r>
      <w:r>
        <w:t xml:space="preserve">Zinati Y, Takiddeen A, Emad A.</w:t>
      </w:r>
      <w:r>
        <w:t xml:space="preserve"> </w:t>
      </w:r>
      <w:r>
        <w:t xml:space="preserve">GRouNdGAN</w:t>
      </w:r>
      <w:r>
        <w:t xml:space="preserve">:</w:t>
      </w:r>
      <w:r>
        <w:t xml:space="preserve"> </w:t>
      </w:r>
      <w:r>
        <w:t xml:space="preserve">GRN</w:t>
      </w:r>
      <w:r>
        <w:t xml:space="preserve">-guided simulation of single-cell</w:t>
      </w:r>
      <w:r>
        <w:t xml:space="preserve"> </w:t>
      </w:r>
      <w:r>
        <w:t xml:space="preserve">RNA-seq</w:t>
      </w:r>
      <w:r>
        <w:t xml:space="preserve"> </w:t>
      </w:r>
      <w:r>
        <w:t xml:space="preserve">data using causal generative adversarial networks. Nature Communications. 2024;15: 4055. doi:</w:t>
      </w:r>
      <w:hyperlink r:id="rId123">
        <w:r>
          <w:rPr>
            <w:rStyle w:val="Hyperlink"/>
          </w:rPr>
          <w:t xml:space="preserve">10.1038/s41467-024-48516-6</w:t>
        </w:r>
      </w:hyperlink>
    </w:p>
    <w:bookmarkEnd w:id="124"/>
    <w:bookmarkStart w:id="126" w:name="ref-pan2022tedsim"/>
    <w:p>
      <w:pPr>
        <w:pStyle w:val="Bibliography"/>
      </w:pPr>
      <w:r>
        <w:t xml:space="preserve">24.</w:t>
      </w:r>
      <w:r>
        <w:t xml:space="preserve"> </w:t>
      </w:r>
      <w:r>
        <w:t xml:space="preserve">	</w:t>
      </w:r>
      <w:r>
        <w:t xml:space="preserve">Pan X, Li H, Zhang X.</w:t>
      </w:r>
      <w:r>
        <w:t xml:space="preserve"> </w:t>
      </w:r>
      <w:r>
        <w:t xml:space="preserve">TedSim</w:t>
      </w:r>
      <w:r>
        <w:t xml:space="preserve">: Temporal dynamics simulation of single-cell</w:t>
      </w:r>
      <w:r>
        <w:t xml:space="preserve"> </w:t>
      </w:r>
      <w:r>
        <w:t xml:space="preserve">RNA</w:t>
      </w:r>
      <w:r>
        <w:t xml:space="preserve"> </w:t>
      </w:r>
      <w:r>
        <w:t xml:space="preserve">sequencing data and cell division history. Nucleic Acids Research. 2022;50: 4272–4288. doi:</w:t>
      </w:r>
      <w:hyperlink r:id="rId125">
        <w:r>
          <w:rPr>
            <w:rStyle w:val="Hyperlink"/>
          </w:rPr>
          <w:t xml:space="preserve">10.1093/nar/gkac235</w:t>
        </w:r>
      </w:hyperlink>
    </w:p>
    <w:bookmarkEnd w:id="126"/>
    <w:bookmarkStart w:id="128" w:name="ref-jones2020cassiopeia"/>
    <w:p>
      <w:pPr>
        <w:pStyle w:val="Bibliography"/>
      </w:pPr>
      <w:r>
        <w:t xml:space="preserve">25.</w:t>
      </w:r>
      <w:r>
        <w:t xml:space="preserve"> </w:t>
      </w:r>
      <w:r>
        <w:t xml:space="preserve">	</w:t>
      </w:r>
      <w:r>
        <w:t xml:space="preserve">Jones MG, Khodaverdian A, Quinn JJ, Chan MM, Hussmann JA, Wang R, et al. Inference of single-cell phylogenies from lineage tracing data using</w:t>
      </w:r>
      <w:r>
        <w:t xml:space="preserve"> </w:t>
      </w:r>
      <w:r>
        <w:t xml:space="preserve">Cassiopeia</w:t>
      </w:r>
      <w:r>
        <w:t xml:space="preserve">. Genome Biology. 2020;21: 92. doi:</w:t>
      </w:r>
      <w:hyperlink r:id="rId127">
        <w:r>
          <w:rPr>
            <w:rStyle w:val="Hyperlink"/>
          </w:rPr>
          <w:t xml:space="preserve">10.1186/s13059-020-02000-8</w:t>
        </w:r>
      </w:hyperlink>
    </w:p>
    <w:bookmarkEnd w:id="128"/>
    <w:bookmarkStart w:id="130" w:name="ref-pratapa2020"/>
    <w:p>
      <w:pPr>
        <w:pStyle w:val="Bibliography"/>
      </w:pPr>
      <w:r>
        <w:t xml:space="preserve">26.</w:t>
      </w:r>
      <w:r>
        <w:t xml:space="preserve"> </w:t>
      </w:r>
      <w:r>
        <w:t xml:space="preserve">	</w:t>
      </w:r>
      <w:r>
        <w:t xml:space="preserve">Pratapa A, Jalihal AP, Law JN, Bharadwaj A, Murali TM. Benchmarking algorithms for gene regulatory network inference from single-cell transcriptomic data. Nature Methods. 2020;17: 147–154. doi:</w:t>
      </w:r>
      <w:hyperlink r:id="rId129">
        <w:r>
          <w:rPr>
            <w:rStyle w:val="Hyperlink"/>
          </w:rPr>
          <w:t xml:space="preserve">10.1038/s41592-019-0690-6</w:t>
        </w:r>
      </w:hyperlink>
    </w:p>
    <w:bookmarkEnd w:id="130"/>
    <w:bookmarkStart w:id="132" w:name="ref-bertaux2018"/>
    <w:p>
      <w:pPr>
        <w:pStyle w:val="Bibliography"/>
      </w:pPr>
      <w:r>
        <w:t xml:space="preserve">27.</w:t>
      </w:r>
      <w:r>
        <w:t xml:space="preserve"> </w:t>
      </w:r>
      <w:r>
        <w:t xml:space="preserve">	</w:t>
      </w:r>
      <w:r>
        <w:t xml:space="preserve">Bertaux F, Marguerat S, Shahrezaei V. Division rate, cell size and proteome allocation: Impact on gene expression noise and implications for the dynamics of genetic circuits. Royal Society Open Science. 2018;5: 172234. doi:</w:t>
      </w:r>
      <w:hyperlink r:id="rId131">
        <w:r>
          <w:rPr>
            <w:rStyle w:val="Hyperlink"/>
          </w:rPr>
          <w:t xml:space="preserve">10.1098/rsos.172234</w:t>
        </w:r>
      </w:hyperlink>
    </w:p>
    <w:bookmarkEnd w:id="132"/>
    <w:bookmarkStart w:id="134" w:name="ref-piho2025abm"/>
    <w:p>
      <w:pPr>
        <w:pStyle w:val="Bibliography"/>
      </w:pPr>
      <w:r>
        <w:t xml:space="preserve">28.</w:t>
      </w:r>
      <w:r>
        <w:t xml:space="preserve"> </w:t>
      </w:r>
      <w:r>
        <w:t xml:space="preserve">	</w:t>
      </w:r>
      <w:r>
        <w:t xml:space="preserve">Piho P, Thomas P.</w:t>
      </w:r>
      <w:r>
        <w:t xml:space="preserve"> </w:t>
      </w:r>
      <w:r>
        <w:t xml:space="preserve">AgentBasedModeling.jl</w:t>
      </w:r>
      <w:r>
        <w:t xml:space="preserve">: A tool for stochastic simulation of structured population dynamics. PLoS Computational Biology. 2026;22: e1014366. doi:</w:t>
      </w:r>
      <w:hyperlink r:id="rId133">
        <w:r>
          <w:rPr>
            <w:rStyle w:val="Hyperlink"/>
          </w:rPr>
          <w:t xml:space="preserve">10.1371/journal.pcbi.1014366</w:t>
        </w:r>
      </w:hyperlink>
    </w:p>
    <w:bookmarkEnd w:id="134"/>
    <w:bookmarkStart w:id="136" w:name="ref-piho2024feedback"/>
    <w:p>
      <w:pPr>
        <w:pStyle w:val="Bibliography"/>
      </w:pPr>
      <w:r>
        <w:t xml:space="preserve">29.</w:t>
      </w:r>
      <w:r>
        <w:t xml:space="preserve"> </w:t>
      </w:r>
      <w:r>
        <w:t xml:space="preserve">	</w:t>
      </w:r>
      <w:r>
        <w:t xml:space="preserve">Piho P, Thomas P. Feedback between stochastic gene networks and population dynamics enables cellular decision-making. Science Advances. 2024;10: eadl4895. doi:</w:t>
      </w:r>
      <w:hyperlink r:id="rId135">
        <w:r>
          <w:rPr>
            <w:rStyle w:val="Hyperlink"/>
          </w:rPr>
          <w:t xml:space="preserve">10.1126/sciadv.adl4895</w:t>
        </w:r>
      </w:hyperlink>
    </w:p>
    <w:bookmarkEnd w:id="136"/>
    <w:bookmarkStart w:id="138" w:name="ref-thomas2021"/>
    <w:p>
      <w:pPr>
        <w:pStyle w:val="Bibliography"/>
      </w:pPr>
      <w:r>
        <w:t xml:space="preserve">30.</w:t>
      </w:r>
      <w:r>
        <w:t xml:space="preserve"> </w:t>
      </w:r>
      <w:r>
        <w:t xml:space="preserve">	</w:t>
      </w:r>
      <w:r>
        <w:t xml:space="preserve">Thomas P, Shahrezaei V. Coordination of gene expression noise with cell size: Analytical results for agent-based models of growing cell populations. Journal of the Royal Society Interface. 2021;18: 20210274. doi:</w:t>
      </w:r>
      <w:hyperlink r:id="rId137">
        <w:r>
          <w:rPr>
            <w:rStyle w:val="Hyperlink"/>
          </w:rPr>
          <w:t xml:space="preserve">10.1098/rsif.2021.0274</w:t>
        </w:r>
      </w:hyperlink>
    </w:p>
    <w:bookmarkEnd w:id="138"/>
    <w:bookmarkStart w:id="140" w:name="ref-ghaffarizadeh2018"/>
    <w:p>
      <w:pPr>
        <w:pStyle w:val="Bibliography"/>
      </w:pPr>
      <w:r>
        <w:t xml:space="preserve">31.</w:t>
      </w:r>
      <w:r>
        <w:t xml:space="preserve"> </w:t>
      </w:r>
      <w:r>
        <w:t xml:space="preserve">	</w:t>
      </w:r>
      <w:r>
        <w:t xml:space="preserve">Ghaffarizadeh A, Heiland R, Friedman SH, Mumenthaler SM, Macklin P.</w:t>
      </w:r>
      <w:r>
        <w:t xml:space="preserve"> </w:t>
      </w:r>
      <w:r>
        <w:t xml:space="preserve">PhysiCell</w:t>
      </w:r>
      <w:r>
        <w:t xml:space="preserve">: An open source physics-based cell simulator for 3-</w:t>
      </w:r>
      <w:r>
        <w:t xml:space="preserve">D</w:t>
      </w:r>
      <w:r>
        <w:t xml:space="preserve"> </w:t>
      </w:r>
      <w:r>
        <w:t xml:space="preserve">multicellular systems. PLoS Computational Biology. 2018;14: e1005991. doi:</w:t>
      </w:r>
      <w:hyperlink r:id="rId139">
        <w:r>
          <w:rPr>
            <w:rStyle w:val="Hyperlink"/>
          </w:rPr>
          <w:t xml:space="preserve">10.1371/journal.pcbi.1005991</w:t>
        </w:r>
      </w:hyperlink>
    </w:p>
    <w:bookmarkEnd w:id="140"/>
    <w:bookmarkStart w:id="142" w:name="ref-poncedeleon2023"/>
    <w:p>
      <w:pPr>
        <w:pStyle w:val="Bibliography"/>
      </w:pPr>
      <w:r>
        <w:t xml:space="preserve">32.</w:t>
      </w:r>
      <w:r>
        <w:t xml:space="preserve"> </w:t>
      </w:r>
      <w:r>
        <w:t xml:space="preserve">	</w:t>
      </w:r>
      <w:r>
        <w:t xml:space="preserve">Ponce-de-Leon M, Montagud A, Noël V, Meert A, Pradas G, Barillot E, et al.</w:t>
      </w:r>
      <w:r>
        <w:t xml:space="preserve"> </w:t>
      </w:r>
      <w:r>
        <w:t xml:space="preserve">PhysiBoSS</w:t>
      </w:r>
      <w:r>
        <w:t xml:space="preserve"> </w:t>
      </w:r>
      <w:r>
        <w:t xml:space="preserve">2.0: A sustainable integration of stochastic</w:t>
      </w:r>
      <w:r>
        <w:t xml:space="preserve"> </w:t>
      </w:r>
      <w:r>
        <w:t xml:space="preserve">Boolean</w:t>
      </w:r>
      <w:r>
        <w:t xml:space="preserve"> </w:t>
      </w:r>
      <w:r>
        <w:t xml:space="preserve">and agent-based modelling frameworks. npj Systems Biology and Applications. 2023;9: 54. doi:</w:t>
      </w:r>
      <w:hyperlink r:id="rId141">
        <w:r>
          <w:rPr>
            <w:rStyle w:val="Hyperlink"/>
          </w:rPr>
          <w:t xml:space="preserve">10.1038/s41540-023-00314-4</w:t>
        </w:r>
      </w:hyperlink>
    </w:p>
    <w:bookmarkEnd w:id="142"/>
    <w:bookmarkStart w:id="144" w:name="ref-lasri2022"/>
    <w:p>
      <w:pPr>
        <w:pStyle w:val="Bibliography"/>
      </w:pPr>
      <w:r>
        <w:t xml:space="preserve">33.</w:t>
      </w:r>
      <w:r>
        <w:t xml:space="preserve"> </w:t>
      </w:r>
      <w:r>
        <w:t xml:space="preserve">	</w:t>
      </w:r>
      <w:r>
        <w:t xml:space="preserve">Lasri A, Shahrezaei V, Sturrock M. Benchmarking imputation methods for network inference using a novel method of synthetic</w:t>
      </w:r>
      <w:r>
        <w:t xml:space="preserve"> </w:t>
      </w:r>
      <w:r>
        <w:t xml:space="preserve">scRNA-seq</w:t>
      </w:r>
      <w:r>
        <w:t xml:space="preserve"> </w:t>
      </w:r>
      <w:r>
        <w:t xml:space="preserve">data generation. BMC Bioinformatics. 2022;23: 236. doi:</w:t>
      </w:r>
      <w:hyperlink r:id="rId143">
        <w:r>
          <w:rPr>
            <w:rStyle w:val="Hyperlink"/>
          </w:rPr>
          <w:t xml:space="preserve">10.1186/s12859-022-04778-9</w:t>
        </w:r>
      </w:hyperlink>
    </w:p>
    <w:bookmarkEnd w:id="144"/>
    <w:bookmarkStart w:id="146" w:name="ref-peccoud1995"/>
    <w:p>
      <w:pPr>
        <w:pStyle w:val="Bibliography"/>
      </w:pPr>
      <w:r>
        <w:t xml:space="preserve">34.</w:t>
      </w:r>
      <w:r>
        <w:t xml:space="preserve"> </w:t>
      </w:r>
      <w:r>
        <w:t xml:space="preserve">	</w:t>
      </w:r>
      <w:r>
        <w:t xml:space="preserve">Peccoud J, Ycart B. Markovian modeling of gene-product synthesis. Theoretical Population Biology. 1995;48: 222–234. doi:</w:t>
      </w:r>
      <w:hyperlink r:id="rId145">
        <w:r>
          <w:rPr>
            <w:rStyle w:val="Hyperlink"/>
          </w:rPr>
          <w:t xml:space="preserve">10.1006/tpbi.1995.1027</w:t>
        </w:r>
      </w:hyperlink>
    </w:p>
    <w:bookmarkEnd w:id="146"/>
    <w:bookmarkStart w:id="148" w:name="ref-beentjes2020"/>
    <w:p>
      <w:pPr>
        <w:pStyle w:val="Bibliography"/>
      </w:pPr>
      <w:r>
        <w:t xml:space="preserve">35.</w:t>
      </w:r>
      <w:r>
        <w:t xml:space="preserve"> </w:t>
      </w:r>
      <w:r>
        <w:t xml:space="preserve">	</w:t>
      </w:r>
      <w:r>
        <w:t xml:space="preserve">Beentjes CHL, Perez-Carrasco R, Grima R. Exact solution of stochastic gene expression models with bursting, cell cycle and replication dynamics. Physical Review E. 2020;101: 032403. doi:</w:t>
      </w:r>
      <w:hyperlink r:id="rId147">
        <w:r>
          <w:rPr>
            <w:rStyle w:val="Hyperlink"/>
          </w:rPr>
          <w:t xml:space="preserve">10.1103/PhysRevE.101.032403</w:t>
        </w:r>
      </w:hyperlink>
    </w:p>
    <w:bookmarkEnd w:id="148"/>
    <w:bookmarkStart w:id="150" w:name="ref-jia2023"/>
    <w:p>
      <w:pPr>
        <w:pStyle w:val="Bibliography"/>
      </w:pPr>
      <w:r>
        <w:t xml:space="preserve">36.</w:t>
      </w:r>
      <w:r>
        <w:t xml:space="preserve"> </w:t>
      </w:r>
      <w:r>
        <w:t xml:space="preserve">	</w:t>
      </w:r>
      <w:r>
        <w:t xml:space="preserve">Jia C, Grima R. Coupling gene expression dynamics to cell size dynamics and cell cycle events: Exact and approximate solutions of the extended telegraph model. iScience. 2023;26: 105746. doi:</w:t>
      </w:r>
      <w:hyperlink r:id="rId149">
        <w:r>
          <w:rPr>
            <w:rStyle w:val="Hyperlink"/>
          </w:rPr>
          <w:t xml:space="preserve">10.1016/j.isci.2022.105746</w:t>
        </w:r>
      </w:hyperlink>
    </w:p>
    <w:bookmarkEnd w:id="150"/>
    <w:bookmarkStart w:id="152" w:name="ref-thomas2017"/>
    <w:p>
      <w:pPr>
        <w:pStyle w:val="Bibliography"/>
      </w:pPr>
      <w:r>
        <w:t xml:space="preserve">37.</w:t>
      </w:r>
      <w:r>
        <w:t xml:space="preserve"> </w:t>
      </w:r>
      <w:r>
        <w:t xml:space="preserve">	</w:t>
      </w:r>
      <w:r>
        <w:t xml:space="preserve">Thomas P. Making sense of snapshot data: Ergodic principle for clonal cell populations. Journal of the Royal Society Interface. 2017;14: 20170467. doi:</w:t>
      </w:r>
      <w:hyperlink r:id="rId151">
        <w:r>
          <w:rPr>
            <w:rStyle w:val="Hyperlink"/>
          </w:rPr>
          <w:t xml:space="preserve">10.1098/rsif.2017.0467</w:t>
        </w:r>
      </w:hyperlink>
    </w:p>
    <w:bookmarkEnd w:id="152"/>
    <w:bookmarkStart w:id="154" w:name="ref-emert2021"/>
    <w:p>
      <w:pPr>
        <w:pStyle w:val="Bibliography"/>
      </w:pPr>
      <w:r>
        <w:t xml:space="preserve">38.</w:t>
      </w:r>
      <w:r>
        <w:t xml:space="preserve"> </w:t>
      </w:r>
      <w:r>
        <w:t xml:space="preserve">	</w:t>
      </w:r>
      <w:r>
        <w:t xml:space="preserve">Emert BL, Cote CJ, Torre EA, Dardani IP, Jiang CL, Jain N, et al. Variability within rare cell states enables multiple paths toward drug resistance. Nature Biotechnology. 2021;39: 865–876. doi:</w:t>
      </w:r>
      <w:hyperlink r:id="rId153">
        <w:r>
          <w:rPr>
            <w:rStyle w:val="Hyperlink"/>
          </w:rPr>
          <w:t xml:space="preserve">10.1038/s41587-021-00837-3</w:t>
        </w:r>
      </w:hyperlink>
    </w:p>
    <w:bookmarkEnd w:id="154"/>
    <w:bookmarkStart w:id="156" w:name="ref-torre2021"/>
    <w:p>
      <w:pPr>
        <w:pStyle w:val="Bibliography"/>
      </w:pPr>
      <w:r>
        <w:t xml:space="preserve">39.</w:t>
      </w:r>
      <w:r>
        <w:t xml:space="preserve"> </w:t>
      </w:r>
      <w:r>
        <w:t xml:space="preserve">	</w:t>
      </w:r>
      <w:r>
        <w:t xml:space="preserve">Torre EA, Arai E, Bayatpour S, Jiang CL, Beck LE, Emert BL, et al. Genetic screening for single-cell variability modulators driving therapy resistance. Nature Genetics. 2021;53: 76–85. doi:</w:t>
      </w:r>
      <w:hyperlink r:id="rId155">
        <w:r>
          <w:rPr>
            <w:rStyle w:val="Hyperlink"/>
          </w:rPr>
          <w:t xml:space="preserve">10.1038/s41588-020-00749-z</w:t>
        </w:r>
      </w:hyperlink>
    </w:p>
    <w:bookmarkEnd w:id="156"/>
    <w:bookmarkStart w:id="158" w:name="ref-gunnarsson2020"/>
    <w:p>
      <w:pPr>
        <w:pStyle w:val="Bibliography"/>
      </w:pPr>
      <w:r>
        <w:t xml:space="preserve">40.</w:t>
      </w:r>
      <w:r>
        <w:t xml:space="preserve"> </w:t>
      </w:r>
      <w:r>
        <w:t xml:space="preserve">	</w:t>
      </w:r>
      <w:r>
        <w:t xml:space="preserve">Gunnarsson EB, De S, Leder K, Foo J. Understanding the role of phenotypic switching in cancer drug resistance. Journal of Theoretical Biology. 2020;490: 110162. doi:</w:t>
      </w:r>
      <w:hyperlink r:id="rId157">
        <w:r>
          <w:rPr>
            <w:rStyle w:val="Hyperlink"/>
          </w:rPr>
          <w:t xml:space="preserve">10.1016/j.jtbi.2020.110162</w:t>
        </w:r>
      </w:hyperlink>
    </w:p>
    <w:bookmarkEnd w:id="158"/>
    <w:bookmarkStart w:id="160" w:name="ref-lasri2020"/>
    <w:p>
      <w:pPr>
        <w:pStyle w:val="Bibliography"/>
      </w:pPr>
      <w:r>
        <w:t xml:space="preserve">41.</w:t>
      </w:r>
      <w:r>
        <w:t xml:space="preserve"> </w:t>
      </w:r>
      <w:r>
        <w:t xml:space="preserve">	</w:t>
      </w:r>
      <w:r>
        <w:t xml:space="preserve">Lasri A, Juric V, Verreault M, Bielle F, Idbaih A, Kel A, et al. Phenotypic selection through cell death: Stochastic modelling of</w:t>
      </w:r>
      <w:r>
        <w:t xml:space="preserve"> </w:t>
      </w:r>
      <w:r>
        <w:t xml:space="preserve">O</w:t>
      </w:r>
      <w:r>
        <w:t xml:space="preserve">-6-methylguanine-</w:t>
      </w:r>
      <w:r>
        <w:t xml:space="preserve">DNA</w:t>
      </w:r>
      <w:r>
        <w:t xml:space="preserve"> </w:t>
      </w:r>
      <w:r>
        <w:t xml:space="preserve">methyltransferase dynamics. Royal Society Open Science. 2020;7: 191243. doi:</w:t>
      </w:r>
      <w:hyperlink r:id="rId159">
        <w:r>
          <w:rPr>
            <w:rStyle w:val="Hyperlink"/>
          </w:rPr>
          <w:t xml:space="preserve">10.1098/rsos.191243</w:t>
        </w:r>
      </w:hyperlink>
    </w:p>
    <w:bookmarkEnd w:id="160"/>
    <w:bookmarkStart w:id="162" w:name="ref-corigliano2025"/>
    <w:p>
      <w:pPr>
        <w:pStyle w:val="Bibliography"/>
      </w:pPr>
      <w:r>
        <w:t xml:space="preserve">42.</w:t>
      </w:r>
      <w:r>
        <w:t xml:space="preserve"> </w:t>
      </w:r>
      <w:r>
        <w:t xml:space="preserve">	</w:t>
      </w:r>
      <w:r>
        <w:t xml:space="preserve">Corigliano M, Di Bernardo A, Cosentino Lagomarsino M, Pompei S. Optimal treatment for drug-induced cancer persisters involves release periods and intermediate drug doses. PRX Life. 2025. doi:</w:t>
      </w:r>
      <w:hyperlink r:id="rId161">
        <w:r>
          <w:rPr>
            <w:rStyle w:val="Hyperlink"/>
          </w:rPr>
          <w:t xml:space="preserve">10.1103/mh5v-lcyw</w:t>
        </w:r>
      </w:hyperlink>
    </w:p>
    <w:bookmarkEnd w:id="162"/>
    <w:bookmarkStart w:id="164" w:name="ref-bernton2019"/>
    <w:p>
      <w:pPr>
        <w:pStyle w:val="Bibliography"/>
      </w:pPr>
      <w:r>
        <w:t xml:space="preserve">43.</w:t>
      </w:r>
      <w:r>
        <w:t xml:space="preserve"> </w:t>
      </w:r>
      <w:r>
        <w:t xml:space="preserve">	</w:t>
      </w:r>
      <w:r>
        <w:t xml:space="preserve">Bernton E, Jacob PE, Gerber M, Robert CP. Approximate</w:t>
      </w:r>
      <w:r>
        <w:t xml:space="preserve"> </w:t>
      </w:r>
      <w:r>
        <w:t xml:space="preserve">Bayesian</w:t>
      </w:r>
      <w:r>
        <w:t xml:space="preserve"> </w:t>
      </w:r>
      <w:r>
        <w:t xml:space="preserve">computation with the</w:t>
      </w:r>
      <w:r>
        <w:t xml:space="preserve"> </w:t>
      </w:r>
      <w:r>
        <w:t xml:space="preserve">Wasserstein</w:t>
      </w:r>
      <w:r>
        <w:t xml:space="preserve"> </w:t>
      </w:r>
      <w:r>
        <w:t xml:space="preserve">distance. Journal of the Royal Statistical Society: Series B. 2019;81: 235–269. doi:</w:t>
      </w:r>
      <w:hyperlink r:id="rId163">
        <w:r>
          <w:rPr>
            <w:rStyle w:val="Hyperlink"/>
          </w:rPr>
          <w:t xml:space="preserve">10.1111/rssb.12312</w:t>
        </w:r>
      </w:hyperlink>
    </w:p>
    <w:bookmarkEnd w:id="164"/>
    <w:bookmarkStart w:id="166" w:name="ref-sandler2015"/>
    <w:p>
      <w:pPr>
        <w:pStyle w:val="Bibliography"/>
      </w:pPr>
      <w:r>
        <w:t xml:space="preserve">44.</w:t>
      </w:r>
      <w:r>
        <w:t xml:space="preserve"> </w:t>
      </w:r>
      <w:r>
        <w:t xml:space="preserve">	</w:t>
      </w:r>
      <w:r>
        <w:t xml:space="preserve">Sandler O, Mizrahi SP, Weiss N, Agam O, Simon I, Balaban NQ. Lineage correlations of single cell division time as a probe of cell-cycle dynamics. Nature. 2015;519: 468–471. doi:</w:t>
      </w:r>
      <w:hyperlink r:id="rId165">
        <w:r>
          <w:rPr>
            <w:rStyle w:val="Hyperlink"/>
          </w:rPr>
          <w:t xml:space="preserve">10.1038/nature14318</w:t>
        </w:r>
      </w:hyperlink>
    </w:p>
    <w:bookmarkEnd w:id="166"/>
    <w:bookmarkStart w:id="168" w:name="ref-kuchen2020"/>
    <w:p>
      <w:pPr>
        <w:pStyle w:val="Bibliography"/>
      </w:pPr>
      <w:r>
        <w:t xml:space="preserve">45.</w:t>
      </w:r>
      <w:r>
        <w:t xml:space="preserve"> </w:t>
      </w:r>
      <w:r>
        <w:t xml:space="preserve">	</w:t>
      </w:r>
      <w:r>
        <w:t xml:space="preserve">Kuchen EE, Becker NB, Claudino N, Höfer T. Hidden long-range memories of growth and cycle speed correlate cell cycles in lineage trees. eLife. 2020;9: e51002. doi:</w:t>
      </w:r>
      <w:hyperlink r:id="rId167">
        <w:r>
          <w:rPr>
            <w:rStyle w:val="Hyperlink"/>
          </w:rPr>
          <w:t xml:space="preserve">10.7554/eLife.51002</w:t>
        </w:r>
      </w:hyperlink>
    </w:p>
    <w:bookmarkEnd w:id="168"/>
    <w:bookmarkStart w:id="170" w:name="ref-chakrabarti2018"/>
    <w:p>
      <w:pPr>
        <w:pStyle w:val="Bibliography"/>
      </w:pPr>
      <w:r>
        <w:t xml:space="preserve">46.</w:t>
      </w:r>
      <w:r>
        <w:t xml:space="preserve"> </w:t>
      </w:r>
      <w:r>
        <w:t xml:space="preserve">	</w:t>
      </w:r>
      <w:r>
        <w:t xml:space="preserve">Chakrabarti S, Paek AL, Reyes J, Lasick KA, Lahav G, Michor F. Hidden heterogeneity and circadian-controlled cell fate inferred from single cell lineages. Nature Communications. 2018;9: 5372. doi:</w:t>
      </w:r>
      <w:hyperlink r:id="rId169">
        <w:r>
          <w:rPr>
            <w:rStyle w:val="Hyperlink"/>
          </w:rPr>
          <w:t xml:space="preserve">10.1038/s41467-018-07788-5</w:t>
        </w:r>
      </w:hyperlink>
    </w:p>
    <w:bookmarkEnd w:id="170"/>
    <w:bookmarkStart w:id="172" w:name="ref-algazi2020"/>
    <w:p>
      <w:pPr>
        <w:pStyle w:val="Bibliography"/>
      </w:pPr>
      <w:r>
        <w:t xml:space="preserve">47.</w:t>
      </w:r>
      <w:r>
        <w:t xml:space="preserve"> </w:t>
      </w:r>
      <w:r>
        <w:t xml:space="preserve">	</w:t>
      </w:r>
      <w:r>
        <w:t xml:space="preserve">Algazi AP, Othus M, Daud AI, Lo RS, Mehnert JM, Truong T-G, et al. Continuous versus intermittent</w:t>
      </w:r>
      <w:r>
        <w:t xml:space="preserve"> </w:t>
      </w:r>
      <w:r>
        <w:t xml:space="preserve">BRAF</w:t>
      </w:r>
      <w:r>
        <w:t xml:space="preserve"> </w:t>
      </w:r>
      <w:r>
        <w:t xml:space="preserve">and</w:t>
      </w:r>
      <w:r>
        <w:t xml:space="preserve"> </w:t>
      </w:r>
      <w:r>
        <w:t xml:space="preserve">MEK</w:t>
      </w:r>
      <w:r>
        <w:t xml:space="preserve"> </w:t>
      </w:r>
      <w:r>
        <w:t xml:space="preserve">inhibition in patients with</w:t>
      </w:r>
      <w:r>
        <w:t xml:space="preserve"> </w:t>
      </w:r>
      <w:r>
        <w:t xml:space="preserve">BRAF</w:t>
      </w:r>
      <w:r>
        <w:t xml:space="preserve">-mutated melanoma: A randomized phase 2 trial. Nature Medicine. 2020;26: 1564–1568. doi:</w:t>
      </w:r>
      <w:hyperlink r:id="rId171">
        <w:r>
          <w:rPr>
            <w:rStyle w:val="Hyperlink"/>
          </w:rPr>
          <w:t xml:space="preserve">10.1038/s41591-020-1060-8</w:t>
        </w:r>
      </w:hyperlink>
    </w:p>
    <w:bookmarkEnd w:id="172"/>
    <w:bookmarkStart w:id="174" w:name="ref-zhang2017adaptive"/>
    <w:p>
      <w:pPr>
        <w:pStyle w:val="Bibliography"/>
      </w:pPr>
      <w:r>
        <w:t xml:space="preserve">48.</w:t>
      </w:r>
      <w:r>
        <w:t xml:space="preserve"> </w:t>
      </w:r>
      <w:r>
        <w:t xml:space="preserve">	</w:t>
      </w:r>
      <w:r>
        <w:t xml:space="preserve">Zhang J, Cunningham JJ, Brown JS, Gatenby RA. Integrating evolutionary dynamics into treatment of metastatic castrate-resistant prostate cancer. Nature Communications. 2017;8: 1816. doi:</w:t>
      </w:r>
      <w:hyperlink r:id="rId173">
        <w:r>
          <w:rPr>
            <w:rStyle w:val="Hyperlink"/>
          </w:rPr>
          <w:t xml:space="preserve">10.1038/s41467-017-01968-5</w:t>
        </w:r>
      </w:hyperlink>
    </w:p>
    <w:bookmarkEnd w:id="174"/>
    <w:bookmarkStart w:id="176" w:name="ref-dasthakur2013"/>
    <w:p>
      <w:pPr>
        <w:pStyle w:val="Bibliography"/>
      </w:pPr>
      <w:r>
        <w:t xml:space="preserve">49.</w:t>
      </w:r>
      <w:r>
        <w:t xml:space="preserve"> </w:t>
      </w:r>
      <w:r>
        <w:t xml:space="preserve">	</w:t>
      </w:r>
      <w:r>
        <w:t xml:space="preserve">Das Thakur M, Salangsang F, Landman AS, Sellers WR, Pryer NK, Levesque MP, et al. Modelling vemurafenib resistance in melanoma reveals a strategy to forestall drug resistance. Nature. 2013;494: 251–255. doi:</w:t>
      </w:r>
      <w:hyperlink r:id="rId175">
        <w:r>
          <w:rPr>
            <w:rStyle w:val="Hyperlink"/>
          </w:rPr>
          <w:t xml:space="preserve">10.1038/nature11814</w:t>
        </w:r>
      </w:hyperlink>
    </w:p>
    <w:bookmarkEnd w:id="176"/>
    <w:bookmarkStart w:id="178" w:name="ref-strobl2021"/>
    <w:p>
      <w:pPr>
        <w:pStyle w:val="Bibliography"/>
      </w:pPr>
      <w:r>
        <w:t xml:space="preserve">50.</w:t>
      </w:r>
      <w:r>
        <w:t xml:space="preserve"> </w:t>
      </w:r>
      <w:r>
        <w:t xml:space="preserve">	</w:t>
      </w:r>
      <w:r>
        <w:t xml:space="preserve">Strobl MAR, West J, Viossat Y, Damaghi M, Robertson-Tessi M, Brown JS, et al. Turnover modulates the need for a cost of resistance in adaptive therapy. Cancer Research. 2021;81: 1135–1147. doi:</w:t>
      </w:r>
      <w:hyperlink r:id="rId177">
        <w:r>
          <w:rPr>
            <w:rStyle w:val="Hyperlink"/>
          </w:rPr>
          <w:t xml:space="preserve">10.1158/0008-5472.CAN-20-0806</w:t>
        </w:r>
      </w:hyperlink>
    </w:p>
    <w:bookmarkEnd w:id="178"/>
    <w:bookmarkStart w:id="180" w:name="ref-gilbert2013"/>
    <w:p>
      <w:pPr>
        <w:pStyle w:val="Bibliography"/>
      </w:pPr>
      <w:r>
        <w:t xml:space="preserve">51.</w:t>
      </w:r>
      <w:r>
        <w:t xml:space="preserve"> </w:t>
      </w:r>
      <w:r>
        <w:t xml:space="preserve">	</w:t>
      </w:r>
      <w:r>
        <w:t xml:space="preserve">Gilbert MR, Wang M, Aldape KD, Stupp R, Hegi ME, Jaeckle KA, et al. Dose-dense temozolomide for newly diagnosed glioblastoma: A randomized phase</w:t>
      </w:r>
      <w:r>
        <w:t xml:space="preserve"> </w:t>
      </w:r>
      <w:r>
        <w:t xml:space="preserve">III</w:t>
      </w:r>
      <w:r>
        <w:t xml:space="preserve"> </w:t>
      </w:r>
      <w:r>
        <w:t xml:space="preserve">clinical trial. Journal of Clinical Oncology. 2013;31: 4085–4091. doi:</w:t>
      </w:r>
      <w:hyperlink r:id="rId179">
        <w:r>
          <w:rPr>
            <w:rStyle w:val="Hyperlink"/>
          </w:rPr>
          <w:t xml:space="preserve">10.1200/JCO.2013.49.6968</w:t>
        </w:r>
      </w:hyperlink>
    </w:p>
    <w:bookmarkEnd w:id="180"/>
    <w:bookmarkStart w:id="182" w:name="ref-ostermann2004"/>
    <w:p>
      <w:pPr>
        <w:pStyle w:val="Bibliography"/>
      </w:pPr>
      <w:r>
        <w:t xml:space="preserve">52.</w:t>
      </w:r>
      <w:r>
        <w:t xml:space="preserve"> </w:t>
      </w:r>
      <w:r>
        <w:t xml:space="preserve">	</w:t>
      </w:r>
      <w:r>
        <w:t xml:space="preserve">Ostermann S, Csajka C, Buclin T, Leyvraz S, Lejeune F, Decosterd LA, et al. Plasma and cerebrospinal fluid population pharmacokinetics of temozolomide in malignant glioma patients. Clinical Cancer Research. 2004;10: 3728–3736. doi:</w:t>
      </w:r>
      <w:hyperlink r:id="rId181">
        <w:r>
          <w:rPr>
            <w:rStyle w:val="Hyperlink"/>
          </w:rPr>
          <w:t xml:space="preserve">10.1158/1078-0432.CCR-03-0807</w:t>
        </w:r>
      </w:hyperlink>
    </w:p>
    <w:bookmarkEnd w:id="182"/>
    <w:bookmarkStart w:id="184" w:name="ref-rudek2004"/>
    <w:p>
      <w:pPr>
        <w:pStyle w:val="Bibliography"/>
      </w:pPr>
      <w:r>
        <w:t xml:space="preserve">53.</w:t>
      </w:r>
      <w:r>
        <w:t xml:space="preserve"> </w:t>
      </w:r>
      <w:r>
        <w:t xml:space="preserve">	</w:t>
      </w:r>
      <w:r>
        <w:t xml:space="preserve">Rudek MA, Donehower RC, Statkevich P, Batra VK, Cutler DL, Baker SD. Temozolomide in patients with advanced cancer: Phase</w:t>
      </w:r>
      <w:r>
        <w:t xml:space="preserve"> </w:t>
      </w:r>
      <w:r>
        <w:t xml:space="preserve">I</w:t>
      </w:r>
      <w:r>
        <w:t xml:space="preserve"> </w:t>
      </w:r>
      <w:r>
        <w:t xml:space="preserve">and pharmacokinetic study. Pharmacotherapy. 2004;24: 16–25. doi:</w:t>
      </w:r>
      <w:hyperlink r:id="rId183">
        <w:r>
          <w:rPr>
            <w:rStyle w:val="Hyperlink"/>
          </w:rPr>
          <w:t xml:space="preserve">10.1592/phco.24.1.16.34800</w:t>
        </w:r>
      </w:hyperlink>
    </w:p>
    <w:bookmarkEnd w:id="184"/>
    <w:bookmarkStart w:id="186" w:name="ref-tolcher2003"/>
    <w:p>
      <w:pPr>
        <w:pStyle w:val="Bibliography"/>
      </w:pPr>
      <w:r>
        <w:t xml:space="preserve">54.</w:t>
      </w:r>
      <w:r>
        <w:t xml:space="preserve"> </w:t>
      </w:r>
      <w:r>
        <w:t xml:space="preserve">	</w:t>
      </w:r>
      <w:r>
        <w:t xml:space="preserve">Tolcher AW, Gerson SL, Denis L, Geyer C, Hammond LA, Patnaik A, et al. Marked inactivation of</w:t>
      </w:r>
      <w:r>
        <w:t xml:space="preserve"> </w:t>
      </w:r>
      <w:r>
        <w:t xml:space="preserve">O6-alkylguanine-DNA</w:t>
      </w:r>
      <w:r>
        <w:t xml:space="preserve"> </w:t>
      </w:r>
      <w:r>
        <w:t xml:space="preserve">alkyltransferase activity with protracted temozolomide schedules. British Journal of Cancer. 2003;88: 1004–1011. doi:</w:t>
      </w:r>
      <w:hyperlink r:id="rId185">
        <w:r>
          <w:rPr>
            <w:rStyle w:val="Hyperlink"/>
          </w:rPr>
          <w:t xml:space="preserve">10.1038/sj.bjc.6600827</w:t>
        </w:r>
      </w:hyperlink>
    </w:p>
    <w:bookmarkEnd w:id="186"/>
    <w:bookmarkStart w:id="188" w:name="ref-middleton2000"/>
    <w:p>
      <w:pPr>
        <w:pStyle w:val="Bibliography"/>
      </w:pPr>
      <w:r>
        <w:t xml:space="preserve">55.</w:t>
      </w:r>
      <w:r>
        <w:t xml:space="preserve"> </w:t>
      </w:r>
      <w:r>
        <w:t xml:space="preserve">	</w:t>
      </w:r>
      <w:r>
        <w:t xml:space="preserve">Middleton MR, Lee SM, Arance A, Wood M, Thatcher N, Margison GP.</w:t>
      </w:r>
      <w:r>
        <w:t xml:space="preserve"> </w:t>
      </w:r>
      <w:r>
        <w:t xml:space="preserve">O6-methylguanine</w:t>
      </w:r>
      <w:r>
        <w:t xml:space="preserve"> </w:t>
      </w:r>
      <w:r>
        <w:t xml:space="preserve">formation, repair protein depletion and clinical outcome with a 4 hr schedule of temozolomide in the treatment of advanced melanoma: Results of a phase</w:t>
      </w:r>
      <w:r>
        <w:t xml:space="preserve"> </w:t>
      </w:r>
      <w:r>
        <w:t xml:space="preserve">II</w:t>
      </w:r>
      <w:r>
        <w:t xml:space="preserve"> </w:t>
      </w:r>
      <w:r>
        <w:t xml:space="preserve">study. International Journal of Cancer. 2000;88: 469–473. doi:</w:t>
      </w:r>
      <w:hyperlink r:id="rId187">
        <w:r>
          <w:rPr>
            <w:rStyle w:val="Hyperlink"/>
          </w:rPr>
          <w:t xml:space="preserve">10.1002/1097-0215(20001101)88:3&lt;469::AID-IJC21&gt;3.0.CO;2-7</w:t>
        </w:r>
      </w:hyperlink>
    </w:p>
    <w:bookmarkEnd w:id="188"/>
    <w:bookmarkStart w:id="190" w:name="ref-robinson2010"/>
    <w:p>
      <w:pPr>
        <w:pStyle w:val="Bibliography"/>
      </w:pPr>
      <w:r>
        <w:t xml:space="preserve">56.</w:t>
      </w:r>
      <w:r>
        <w:t xml:space="preserve"> </w:t>
      </w:r>
      <w:r>
        <w:t xml:space="preserve">	</w:t>
      </w:r>
      <w:r>
        <w:t xml:space="preserve">Robinson CG, Palomo JM, Rahmathulla G, McGraw M, Donze J, Liu L, et al. Effect of alternative temozolomide schedules on glioblastoma</w:t>
      </w:r>
      <w:r>
        <w:t xml:space="preserve"> </w:t>
      </w:r>
      <w:r>
        <w:t xml:space="preserve">O6-methylguanine-DNA</w:t>
      </w:r>
      <w:r>
        <w:t xml:space="preserve"> </w:t>
      </w:r>
      <w:r>
        <w:t xml:space="preserve">methyltransferase activity and survival. British Journal of Cancer. 2010;103: 498–504. doi:</w:t>
      </w:r>
      <w:hyperlink r:id="rId189">
        <w:r>
          <w:rPr>
            <w:rStyle w:val="Hyperlink"/>
          </w:rPr>
          <w:t xml:space="preserve">10.1038/sj.bjc.6605792</w:t>
        </w:r>
      </w:hyperlink>
    </w:p>
    <w:bookmarkEnd w:id="190"/>
    <w:bookmarkStart w:id="192" w:name="ref-gillespie1977"/>
    <w:p>
      <w:pPr>
        <w:pStyle w:val="Bibliography"/>
      </w:pPr>
      <w:r>
        <w:t xml:space="preserve">57.</w:t>
      </w:r>
      <w:r>
        <w:t xml:space="preserve"> </w:t>
      </w:r>
      <w:r>
        <w:t xml:space="preserve">	</w:t>
      </w:r>
      <w:r>
        <w:t xml:space="preserve">Gillespie DT. Exact stochastic simulation of coupled chemical reactions. The Journal of Physical Chemistry. 1977;81: 2340–2361. doi:</w:t>
      </w:r>
      <w:hyperlink r:id="rId191">
        <w:r>
          <w:rPr>
            <w:rStyle w:val="Hyperlink"/>
          </w:rPr>
          <w:t xml:space="preserve">10.1021/j100540a008</w:t>
        </w:r>
      </w:hyperlink>
    </w:p>
    <w:bookmarkEnd w:id="192"/>
    <w:bookmarkStart w:id="194" w:name="ref-gillespie2001"/>
    <w:p>
      <w:pPr>
        <w:pStyle w:val="Bibliography"/>
      </w:pPr>
      <w:r>
        <w:t xml:space="preserve">58.</w:t>
      </w:r>
      <w:r>
        <w:t xml:space="preserve"> </w:t>
      </w:r>
      <w:r>
        <w:t xml:space="preserve">	</w:t>
      </w:r>
      <w:r>
        <w:t xml:space="preserve">Gillespie DT. Approximate accelerated stochastic simulation of chemically reacting systems. The Journal of Chemical Physics. 2001;115: 1716–1733. doi:</w:t>
      </w:r>
      <w:hyperlink r:id="rId193">
        <w:r>
          <w:rPr>
            <w:rStyle w:val="Hyperlink"/>
          </w:rPr>
          <w:t xml:space="preserve">10.1063/1.1378322</w:t>
        </w:r>
      </w:hyperlink>
    </w:p>
    <w:bookmarkEnd w:id="194"/>
    <w:bookmarkStart w:id="196" w:name="ref-cao2006"/>
    <w:p>
      <w:pPr>
        <w:pStyle w:val="Bibliography"/>
      </w:pPr>
      <w:r>
        <w:t xml:space="preserve">59.</w:t>
      </w:r>
      <w:r>
        <w:t xml:space="preserve"> </w:t>
      </w:r>
      <w:r>
        <w:t xml:space="preserve">	</w:t>
      </w:r>
      <w:r>
        <w:t xml:space="preserve">Cao Y, Gillespie DT, Petzold LR. Efficient step size selection for the tau-leaping simulation method. The Journal of Chemical Physics. 2006;124: 044109. doi:</w:t>
      </w:r>
      <w:hyperlink r:id="rId195">
        <w:r>
          <w:rPr>
            <w:rStyle w:val="Hyperlink"/>
          </w:rPr>
          <w:t xml:space="preserve">10.1063/1.2159468</w:t>
        </w:r>
      </w:hyperlink>
    </w:p>
    <w:bookmarkEnd w:id="196"/>
    <w:bookmarkStart w:id="198" w:name="ref-cao2005"/>
    <w:p>
      <w:pPr>
        <w:pStyle w:val="Bibliography"/>
      </w:pPr>
      <w:r>
        <w:t xml:space="preserve">60.</w:t>
      </w:r>
      <w:r>
        <w:t xml:space="preserve"> </w:t>
      </w:r>
      <w:r>
        <w:t xml:space="preserve">	</w:t>
      </w:r>
      <w:r>
        <w:t xml:space="preserve">Cao Y, Gillespie DT, Petzold LR. Avoiding negative populations in explicit</w:t>
      </w:r>
      <w:r>
        <w:t xml:space="preserve"> </w:t>
      </w:r>
      <w:r>
        <w:t xml:space="preserve">Poisson</w:t>
      </w:r>
      <w:r>
        <w:t xml:space="preserve"> </w:t>
      </w:r>
      <w:r>
        <w:t xml:space="preserve">tau-leaping. The Journal of Chemical Physics. 2005;123: 054104. doi:</w:t>
      </w:r>
      <w:hyperlink r:id="rId197">
        <w:r>
          <w:rPr>
            <w:rStyle w:val="Hyperlink"/>
          </w:rPr>
          <w:t xml:space="preserve">10.1063/1.1992473</w:t>
        </w:r>
      </w:hyperlink>
    </w:p>
    <w:bookmarkEnd w:id="198"/>
    <w:bookmarkStart w:id="200" w:name="ref-shaffer2020"/>
    <w:p>
      <w:pPr>
        <w:pStyle w:val="Bibliography"/>
      </w:pPr>
      <w:r>
        <w:t xml:space="preserve">61.</w:t>
      </w:r>
      <w:r>
        <w:t xml:space="preserve"> </w:t>
      </w:r>
      <w:r>
        <w:t xml:space="preserve">	</w:t>
      </w:r>
      <w:r>
        <w:t xml:space="preserve">Shaffer SM, Emert BL, Reyes Hueros RA, Cote C, Harmange G, Schaff DL, et al. Memory sequencing reveals heritable single-cell gene expression programs associated with distinct cellular behaviors. Cell. 2020;182: 947–959. doi:</w:t>
      </w:r>
      <w:hyperlink r:id="rId199">
        <w:r>
          <w:rPr>
            <w:rStyle w:val="Hyperlink"/>
          </w:rPr>
          <w:t xml:space="preserve">10.1016/j.cell.2020.07.003</w:t>
        </w:r>
      </w:hyperlink>
    </w:p>
    <w:bookmarkEnd w:id="200"/>
    <w:bookmarkStart w:id="202" w:name="ref-toni2009"/>
    <w:p>
      <w:pPr>
        <w:pStyle w:val="Bibliography"/>
      </w:pPr>
      <w:r>
        <w:t xml:space="preserve">62.</w:t>
      </w:r>
      <w:r>
        <w:t xml:space="preserve"> </w:t>
      </w:r>
      <w:r>
        <w:t xml:space="preserve">	</w:t>
      </w:r>
      <w:r>
        <w:t xml:space="preserve">Toni T, Welch D, Strelkowa N, Ipsen A, Stumpf MPH. Approximate</w:t>
      </w:r>
      <w:r>
        <w:t xml:space="preserve"> </w:t>
      </w:r>
      <w:r>
        <w:t xml:space="preserve">Bayesian</w:t>
      </w:r>
      <w:r>
        <w:t xml:space="preserve"> </w:t>
      </w:r>
      <w:r>
        <w:t xml:space="preserve">computation scheme for parameter inference and model selection in dynamical systems. Journal of the Royal Society Interface. 2009;6: 187–202. doi:</w:t>
      </w:r>
      <w:hyperlink r:id="rId201">
        <w:r>
          <w:rPr>
            <w:rStyle w:val="Hyperlink"/>
          </w:rPr>
          <w:t xml:space="preserve">10.1098/rsif.2008.0172</w:t>
        </w:r>
      </w:hyperlink>
    </w:p>
    <w:bookmarkEnd w:id="202"/>
    <w:bookmarkStart w:id="204" w:name="ref-ellingson2016"/>
    <w:p>
      <w:pPr>
        <w:pStyle w:val="Bibliography"/>
      </w:pPr>
      <w:r>
        <w:t xml:space="preserve">63.</w:t>
      </w:r>
      <w:r>
        <w:t xml:space="preserve"> </w:t>
      </w:r>
      <w:r>
        <w:t xml:space="preserve">	</w:t>
      </w:r>
      <w:r>
        <w:t xml:space="preserve">Ellingson BM, Nguyen HN, Lai A, Nechifor RE, Zaw O, Pope WB, et al. Contrast-enhancing tumor growth dynamics of preoperative, treatment-naive human glioblastoma. Cancer. 2016;122: 1718–1727. doi:</w:t>
      </w:r>
      <w:hyperlink r:id="rId203">
        <w:r>
          <w:rPr>
            <w:rStyle w:val="Hyperlink"/>
          </w:rPr>
          <w:t xml:space="preserve">10.1002/cncr.29957</w:t>
        </w:r>
      </w:hyperlink>
    </w:p>
    <w:bookmarkEnd w:id="204"/>
    <w:bookmarkStart w:id="206" w:name="ref-stensjoen2015"/>
    <w:p>
      <w:pPr>
        <w:pStyle w:val="Bibliography"/>
      </w:pPr>
      <w:r>
        <w:t xml:space="preserve">64.</w:t>
      </w:r>
      <w:r>
        <w:t xml:space="preserve"> </w:t>
      </w:r>
      <w:r>
        <w:t xml:space="preserve">	</w:t>
      </w:r>
      <w:r>
        <w:t xml:space="preserve">Stensjøen AL, Solheim O, Kvistad KA, Håberg AK, Salvesen Ø, Berntsen EM. Growth dynamics of untreated glioblastomas in vivo. Neuro-Oncology. 2015;17: 1402–1411. doi:</w:t>
      </w:r>
      <w:hyperlink r:id="rId205">
        <w:r>
          <w:rPr>
            <w:rStyle w:val="Hyperlink"/>
          </w:rPr>
          <w:t xml:space="preserve">10.1093/neuonc/nov029</w:t>
        </w:r>
      </w:hyperlink>
    </w:p>
    <w:bookmarkEnd w:id="206"/>
    <w:bookmarkStart w:id="208" w:name="ref-friedman2006"/>
    <w:p>
      <w:pPr>
        <w:pStyle w:val="Bibliography"/>
      </w:pPr>
      <w:r>
        <w:t xml:space="preserve">65.</w:t>
      </w:r>
      <w:r>
        <w:t xml:space="preserve"> </w:t>
      </w:r>
      <w:r>
        <w:t xml:space="preserve">	</w:t>
      </w:r>
      <w:r>
        <w:t xml:space="preserve">Friedman N, Cai L, Xie XS. Linking stochastic dynamics to population distribution: An analytical framework of gene expression. Physical Review Letters. 2006;97: 168302. doi:</w:t>
      </w:r>
      <w:hyperlink r:id="rId207">
        <w:r>
          <w:rPr>
            <w:rStyle w:val="Hyperlink"/>
          </w:rPr>
          <w:t xml:space="preserve">10.1103/PhysRevLett.97.168302</w:t>
        </w:r>
      </w:hyperlink>
    </w:p>
    <w:bookmarkEnd w:id="208"/>
    <w:bookmarkStart w:id="210" w:name="ref-shahrezaei2008"/>
    <w:p>
      <w:pPr>
        <w:pStyle w:val="Bibliography"/>
      </w:pPr>
      <w:r>
        <w:t xml:space="preserve">66.</w:t>
      </w:r>
      <w:r>
        <w:t xml:space="preserve"> </w:t>
      </w:r>
      <w:r>
        <w:t xml:space="preserve">	</w:t>
      </w:r>
      <w:r>
        <w:t xml:space="preserve">Shahrezaei V, Swain PS. Analytical distributions for stochastic gene expression. Proceedings of the National Academy of Sciences. 2008;105: 17256–17261. doi:</w:t>
      </w:r>
      <w:hyperlink r:id="rId209">
        <w:r>
          <w:rPr>
            <w:rStyle w:val="Hyperlink"/>
          </w:rPr>
          <w:t xml:space="preserve">10.1073/pnas.0803850105</w:t>
        </w:r>
      </w:hyperlink>
    </w:p>
    <w:bookmarkEnd w:id="210"/>
    <w:bookmarkStart w:id="212" w:name="ref-sciml"/>
    <w:p>
      <w:pPr>
        <w:pStyle w:val="Bibliography"/>
      </w:pPr>
      <w:r>
        <w:t xml:space="preserve">67.</w:t>
      </w:r>
      <w:r>
        <w:t xml:space="preserve"> </w:t>
      </w:r>
      <w:r>
        <w:t xml:space="preserve">	</w:t>
      </w:r>
      <w:r>
        <w:t xml:space="preserve">Rackauckas C, Nie Q.</w:t>
      </w:r>
      <w:r>
        <w:t xml:space="preserve"> </w:t>
      </w:r>
      <w:r>
        <w:t xml:space="preserve">DifferentialEquations.jl</w:t>
      </w:r>
      <w:r>
        <w:t xml:space="preserve"> </w:t>
      </w:r>
      <w:r>
        <w:t xml:space="preserve">– a performant and feature-rich ecosystem for solving differential equations in</w:t>
      </w:r>
      <w:r>
        <w:t xml:space="preserve"> </w:t>
      </w:r>
      <w:r>
        <w:t xml:space="preserve">Julia</w:t>
      </w:r>
      <w:r>
        <w:t xml:space="preserve">. Journal of Open Research Software. 2017;5: 15. doi:</w:t>
      </w:r>
      <w:hyperlink r:id="rId211">
        <w:r>
          <w:rPr>
            <w:rStyle w:val="Hyperlink"/>
          </w:rPr>
          <w:t xml:space="preserve">10.5334/jors.151</w:t>
        </w:r>
      </w:hyperlink>
    </w:p>
    <w:bookmarkEnd w:id="212"/>
    <w:bookmarkStart w:id="214" w:name="ref-huh2011"/>
    <w:p>
      <w:pPr>
        <w:pStyle w:val="Bibliography"/>
      </w:pPr>
      <w:r>
        <w:t xml:space="preserve">68.</w:t>
      </w:r>
      <w:r>
        <w:t xml:space="preserve"> </w:t>
      </w:r>
      <w:r>
        <w:t xml:space="preserve">	</w:t>
      </w:r>
      <w:r>
        <w:t xml:space="preserve">Huh D, Paulsson J. Non-genetic heterogeneity from stochastic partitioning at cell division. Nature Genetics. 2011;43: 95–100. doi:</w:t>
      </w:r>
      <w:hyperlink r:id="rId213">
        <w:r>
          <w:rPr>
            <w:rStyle w:val="Hyperlink"/>
          </w:rPr>
          <w:t xml:space="preserve">10.1038/ng.729</w:t>
        </w:r>
      </w:hyperlink>
    </w:p>
    <w:bookmarkEnd w:id="214"/>
    <w:bookmarkStart w:id="216" w:name="ref-huynhthu2010"/>
    <w:p>
      <w:pPr>
        <w:pStyle w:val="Bibliography"/>
      </w:pPr>
      <w:r>
        <w:t xml:space="preserve">69.</w:t>
      </w:r>
      <w:r>
        <w:t xml:space="preserve"> </w:t>
      </w:r>
      <w:r>
        <w:t xml:space="preserve">	</w:t>
      </w:r>
      <w:r>
        <w:t xml:space="preserve">Huynh-Thu VA, Irrthum A, Wehenkel L, Geurts P. Inferring regulatory networks from expression data using tree-based methods. PLoS ONE. 2010;5: e12776. doi:</w:t>
      </w:r>
      <w:hyperlink r:id="rId215">
        <w:r>
          <w:rPr>
            <w:rStyle w:val="Hyperlink"/>
          </w:rPr>
          <w:t xml:space="preserve">10.1371/journal.pone.0012776</w:t>
        </w:r>
      </w:hyperlink>
    </w:p>
    <w:bookmarkEnd w:id="216"/>
    <w:bookmarkStart w:id="218" w:name="ref-vandijk2018"/>
    <w:p>
      <w:pPr>
        <w:pStyle w:val="Bibliography"/>
      </w:pPr>
      <w:r>
        <w:t xml:space="preserve">70.</w:t>
      </w:r>
      <w:r>
        <w:t xml:space="preserve"> </w:t>
      </w:r>
      <w:r>
        <w:t xml:space="preserve">	</w:t>
      </w:r>
      <w:r>
        <w:t xml:space="preserve">Dijk D van, Sharma R, Nainys J, Yim K, Kathail P, Carr AJ, et al. Recovering gene interactions from single-cell data using data diffusion. Cell. 2018;174: 716–729. doi:</w:t>
      </w:r>
      <w:hyperlink r:id="rId217">
        <w:r>
          <w:rPr>
            <w:rStyle w:val="Hyperlink"/>
          </w:rPr>
          <w:t xml:space="preserve">10.1016/j.cell.2018.05.061</w:t>
        </w:r>
      </w:hyperlink>
    </w:p>
    <w:bookmarkEnd w:id="218"/>
    <w:bookmarkStart w:id="220" w:name="ref-wagner2018"/>
    <w:p>
      <w:pPr>
        <w:pStyle w:val="Bibliography"/>
      </w:pPr>
      <w:r>
        <w:t xml:space="preserve">71.</w:t>
      </w:r>
      <w:r>
        <w:t xml:space="preserve"> </w:t>
      </w:r>
      <w:r>
        <w:t xml:space="preserve">	</w:t>
      </w:r>
      <w:r>
        <w:t xml:space="preserve">Wagner F, Yan Y, Yanai I. K-nearest neighbor smoothing for high-throughput single-cell</w:t>
      </w:r>
      <w:r>
        <w:t xml:space="preserve"> </w:t>
      </w:r>
      <w:r>
        <w:t xml:space="preserve">RNA-Seq</w:t>
      </w:r>
      <w:r>
        <w:t xml:space="preserve"> </w:t>
      </w:r>
      <w:r>
        <w:t xml:space="preserve">data. bioRxiv. 2018. doi:</w:t>
      </w:r>
      <w:hyperlink r:id="rId219">
        <w:r>
          <w:rPr>
            <w:rStyle w:val="Hyperlink"/>
          </w:rPr>
          <w:t xml:space="preserve">10.1101/217737</w:t>
        </w:r>
      </w:hyperlink>
    </w:p>
    <w:bookmarkEnd w:id="220"/>
    <w:bookmarkEnd w:id="221"/>
    <w:bookmarkEnd w:id="2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hyperlink" Id="rId187" Target="https://doi.org/10.1002/1097-0215(20001101)88:3&lt;469::AID-IJC21&gt;3.0.CO;2-7" TargetMode="External" /><Relationship Type="http://schemas.openxmlformats.org/officeDocument/2006/relationships/hyperlink" Id="rId203" Target="https://doi.org/10.1002/cncr.29957" TargetMode="External" /><Relationship Type="http://schemas.openxmlformats.org/officeDocument/2006/relationships/hyperlink" Id="rId145" Target="https://doi.org/10.1006/tpbi.1995.1027" TargetMode="External" /><Relationship Type="http://schemas.openxmlformats.org/officeDocument/2006/relationships/hyperlink" Id="rId79" Target="https://doi.org/10.1016/j.cell.2010.02.027" TargetMode="External" /><Relationship Type="http://schemas.openxmlformats.org/officeDocument/2006/relationships/hyperlink" Id="rId217" Target="https://doi.org/10.1016/j.cell.2018.05.061" TargetMode="External" /><Relationship Type="http://schemas.openxmlformats.org/officeDocument/2006/relationships/hyperlink" Id="rId199" Target="https://doi.org/10.1016/j.cell.2020.07.003" TargetMode="External" /><Relationship Type="http://schemas.openxmlformats.org/officeDocument/2006/relationships/hyperlink" Id="rId109" Target="https://doi.org/10.1016/j.cell.2024.11.015" TargetMode="External" /><Relationship Type="http://schemas.openxmlformats.org/officeDocument/2006/relationships/hyperlink" Id="rId117" Target="https://doi.org/10.1016/j.cels.2020.08.003" TargetMode="External" /><Relationship Type="http://schemas.openxmlformats.org/officeDocument/2006/relationships/hyperlink" Id="rId91" Target="https://doi.org/10.1016/j.cels.2026.101621" TargetMode="External" /><Relationship Type="http://schemas.openxmlformats.org/officeDocument/2006/relationships/hyperlink" Id="rId149" Target="https://doi.org/10.1016/j.isci.2022.105746" TargetMode="External" /><Relationship Type="http://schemas.openxmlformats.org/officeDocument/2006/relationships/hyperlink" Id="rId157" Target="https://doi.org/10.1016/j.jtbi.2020.110162" TargetMode="External" /><Relationship Type="http://schemas.openxmlformats.org/officeDocument/2006/relationships/hyperlink" Id="rId191" Target="https://doi.org/10.1021/j100540a008" TargetMode="External" /><Relationship Type="http://schemas.openxmlformats.org/officeDocument/2006/relationships/hyperlink" Id="rId175" Target="https://doi.org/10.1038/nature11814" TargetMode="External" /><Relationship Type="http://schemas.openxmlformats.org/officeDocument/2006/relationships/hyperlink" Id="rId165" Target="https://doi.org/10.1038/nature14318" TargetMode="External" /><Relationship Type="http://schemas.openxmlformats.org/officeDocument/2006/relationships/hyperlink" Id="rId81" Target="https://doi.org/10.1038/nature22794" TargetMode="External" /><Relationship Type="http://schemas.openxmlformats.org/officeDocument/2006/relationships/hyperlink" Id="rId213" Target="https://doi.org/10.1038/ng.729" TargetMode="External" /><Relationship Type="http://schemas.openxmlformats.org/officeDocument/2006/relationships/hyperlink" Id="rId83" Target="https://doi.org/10.1038/nm.4040" TargetMode="External" /><Relationship Type="http://schemas.openxmlformats.org/officeDocument/2006/relationships/hyperlink" Id="rId173" Target="https://doi.org/10.1038/s41467-017-01968-5" TargetMode="External" /><Relationship Type="http://schemas.openxmlformats.org/officeDocument/2006/relationships/hyperlink" Id="rId169" Target="https://doi.org/10.1038/s41467-018-07788-5" TargetMode="External" /><Relationship Type="http://schemas.openxmlformats.org/officeDocument/2006/relationships/hyperlink" Id="rId115" Target="https://doi.org/10.1038/s41467-019-10500-w" TargetMode="External" /><Relationship Type="http://schemas.openxmlformats.org/officeDocument/2006/relationships/hyperlink" Id="rId119" Target="https://doi.org/10.1038/s41467-021-24152-2" TargetMode="External" /><Relationship Type="http://schemas.openxmlformats.org/officeDocument/2006/relationships/hyperlink" Id="rId95" Target="https://doi.org/10.1038/s41467-023-41811-8" TargetMode="External" /><Relationship Type="http://schemas.openxmlformats.org/officeDocument/2006/relationships/hyperlink" Id="rId123" Target="https://doi.org/10.1038/s41467-024-48516-6" TargetMode="External" /><Relationship Type="http://schemas.openxmlformats.org/officeDocument/2006/relationships/hyperlink" Id="rId141" Target="https://doi.org/10.1038/s41540-023-00314-4" TargetMode="External" /><Relationship Type="http://schemas.openxmlformats.org/officeDocument/2006/relationships/hyperlink" Id="rId85" Target="https://doi.org/10.1038/s41586-021-03796-6" TargetMode="External" /><Relationship Type="http://schemas.openxmlformats.org/officeDocument/2006/relationships/hyperlink" Id="rId87" Target="https://doi.org/10.1038/s41586-024-07690-9" TargetMode="External" /><Relationship Type="http://schemas.openxmlformats.org/officeDocument/2006/relationships/hyperlink" Id="rId153" Target="https://doi.org/10.1038/s41587-021-00837-3" TargetMode="External" /><Relationship Type="http://schemas.openxmlformats.org/officeDocument/2006/relationships/hyperlink" Id="rId113" Target="https://doi.org/10.1038/s41587-023-01772-1" TargetMode="External" /><Relationship Type="http://schemas.openxmlformats.org/officeDocument/2006/relationships/hyperlink" Id="rId155" Target="https://doi.org/10.1038/s41588-020-00749-z" TargetMode="External" /><Relationship Type="http://schemas.openxmlformats.org/officeDocument/2006/relationships/hyperlink" Id="rId171" Target="https://doi.org/10.1038/s41591-020-1060-8" TargetMode="External" /><Relationship Type="http://schemas.openxmlformats.org/officeDocument/2006/relationships/hyperlink" Id="rId129" Target="https://doi.org/10.1038/s41592-019-0690-6" TargetMode="External" /><Relationship Type="http://schemas.openxmlformats.org/officeDocument/2006/relationships/hyperlink" Id="rId121" Target="https://doi.org/10.1038/s41592-025-02651-0" TargetMode="External" /><Relationship Type="http://schemas.openxmlformats.org/officeDocument/2006/relationships/hyperlink" Id="rId103" Target="https://doi.org/10.1038/s41592-025-02772-6" TargetMode="External" /><Relationship Type="http://schemas.openxmlformats.org/officeDocument/2006/relationships/hyperlink" Id="rId185" Target="https://doi.org/10.1038/sj.bjc.6600827" TargetMode="External" /><Relationship Type="http://schemas.openxmlformats.org/officeDocument/2006/relationships/hyperlink" Id="rId189" Target="https://doi.org/10.1038/sj.bjc.6605792" TargetMode="External" /><Relationship Type="http://schemas.openxmlformats.org/officeDocument/2006/relationships/hyperlink" Id="rId193" Target="https://doi.org/10.1063/1.1378322" TargetMode="External" /><Relationship Type="http://schemas.openxmlformats.org/officeDocument/2006/relationships/hyperlink" Id="rId197" Target="https://doi.org/10.1063/1.1992473" TargetMode="External" /><Relationship Type="http://schemas.openxmlformats.org/officeDocument/2006/relationships/hyperlink" Id="rId195" Target="https://doi.org/10.1063/1.2159468" TargetMode="External" /><Relationship Type="http://schemas.openxmlformats.org/officeDocument/2006/relationships/hyperlink" Id="rId209" Target="https://doi.org/10.1073/pnas.0803850105" TargetMode="External" /><Relationship Type="http://schemas.openxmlformats.org/officeDocument/2006/relationships/hyperlink" Id="rId125" Target="https://doi.org/10.1093/nar/gkac235" TargetMode="External" /><Relationship Type="http://schemas.openxmlformats.org/officeDocument/2006/relationships/hyperlink" Id="rId97" Target="https://doi.org/10.1093/nar/gkaf295" TargetMode="External" /><Relationship Type="http://schemas.openxmlformats.org/officeDocument/2006/relationships/hyperlink" Id="rId205" Target="https://doi.org/10.1093/neuonc/nov029" TargetMode="External" /><Relationship Type="http://schemas.openxmlformats.org/officeDocument/2006/relationships/hyperlink" Id="rId201" Target="https://doi.org/10.1098/rsif.2008.0172" TargetMode="External" /><Relationship Type="http://schemas.openxmlformats.org/officeDocument/2006/relationships/hyperlink" Id="rId151" Target="https://doi.org/10.1098/rsif.2017.0467" TargetMode="External" /><Relationship Type="http://schemas.openxmlformats.org/officeDocument/2006/relationships/hyperlink" Id="rId137" Target="https://doi.org/10.1098/rsif.2021.0274" TargetMode="External" /><Relationship Type="http://schemas.openxmlformats.org/officeDocument/2006/relationships/hyperlink" Id="rId131" Target="https://doi.org/10.1098/rsos.172234" TargetMode="External" /><Relationship Type="http://schemas.openxmlformats.org/officeDocument/2006/relationships/hyperlink" Id="rId159" Target="https://doi.org/10.1098/rsos.191243" TargetMode="External" /><Relationship Type="http://schemas.openxmlformats.org/officeDocument/2006/relationships/hyperlink" Id="rId93" Target="https://doi.org/10.1101/2025.01.15.633183" TargetMode="External" /><Relationship Type="http://schemas.openxmlformats.org/officeDocument/2006/relationships/hyperlink" Id="rId219" Target="https://doi.org/10.1101/217737" TargetMode="External" /><Relationship Type="http://schemas.openxmlformats.org/officeDocument/2006/relationships/hyperlink" Id="rId147" Target="https://doi.org/10.1103/PhysRevE.101.032403" TargetMode="External" /><Relationship Type="http://schemas.openxmlformats.org/officeDocument/2006/relationships/hyperlink" Id="rId207" Target="https://doi.org/10.1103/PhysRevLett.97.168302" TargetMode="External" /><Relationship Type="http://schemas.openxmlformats.org/officeDocument/2006/relationships/hyperlink" Id="rId161" Target="https://doi.org/10.1103/mh5v-lcyw" TargetMode="External" /><Relationship Type="http://schemas.openxmlformats.org/officeDocument/2006/relationships/hyperlink" Id="rId163" Target="https://doi.org/10.1111/rssb.12312" TargetMode="External" /><Relationship Type="http://schemas.openxmlformats.org/officeDocument/2006/relationships/hyperlink" Id="rId135" Target="https://doi.org/10.1126/sciadv.adl4895" TargetMode="External" /><Relationship Type="http://schemas.openxmlformats.org/officeDocument/2006/relationships/hyperlink" Id="rId177" Target="https://doi.org/10.1158/0008-5472.CAN-20-0806" TargetMode="External" /><Relationship Type="http://schemas.openxmlformats.org/officeDocument/2006/relationships/hyperlink" Id="rId181" Target="https://doi.org/10.1158/1078-0432.CCR-03-0807" TargetMode="External" /><Relationship Type="http://schemas.openxmlformats.org/officeDocument/2006/relationships/hyperlink" Id="rId143" Target="https://doi.org/10.1186/s12859-022-04778-9" TargetMode="External" /><Relationship Type="http://schemas.openxmlformats.org/officeDocument/2006/relationships/hyperlink" Id="rId111" Target="https://doi.org/10.1186/s13059-017-1305-0" TargetMode="External" /><Relationship Type="http://schemas.openxmlformats.org/officeDocument/2006/relationships/hyperlink" Id="rId127" Target="https://doi.org/10.1186/s13059-020-02000-8" TargetMode="External" /><Relationship Type="http://schemas.openxmlformats.org/officeDocument/2006/relationships/hyperlink" Id="rId179" Target="https://doi.org/10.1200/JCO.2013.49.6968" TargetMode="External" /><Relationship Type="http://schemas.openxmlformats.org/officeDocument/2006/relationships/hyperlink" Id="rId139" Target="https://doi.org/10.1371/journal.pcbi.1005991" TargetMode="External" /><Relationship Type="http://schemas.openxmlformats.org/officeDocument/2006/relationships/hyperlink" Id="rId99" Target="https://doi.org/10.1371/journal.pcbi.1013014" TargetMode="External" /><Relationship Type="http://schemas.openxmlformats.org/officeDocument/2006/relationships/hyperlink" Id="rId89" Target="https://doi.org/10.1371/journal.pcbi.1013446" TargetMode="External" /><Relationship Type="http://schemas.openxmlformats.org/officeDocument/2006/relationships/hyperlink" Id="rId133" Target="https://doi.org/10.1371/journal.pcbi.1014366" TargetMode="External" /><Relationship Type="http://schemas.openxmlformats.org/officeDocument/2006/relationships/hyperlink" Id="rId215" Target="https://doi.org/10.1371/journal.pone.0012776" TargetMode="External" /><Relationship Type="http://schemas.openxmlformats.org/officeDocument/2006/relationships/hyperlink" Id="rId183" Target="https://doi.org/10.1592/phco.24.1.16.34800" TargetMode="External" /><Relationship Type="http://schemas.openxmlformats.org/officeDocument/2006/relationships/hyperlink" Id="rId46" Target="https://doi.org/10.5281/zenodo.22894286" TargetMode="External" /><Relationship Type="http://schemas.openxmlformats.org/officeDocument/2006/relationships/hyperlink" Id="rId211" Target="https://doi.org/10.5334/jors.151" TargetMode="External" /><Relationship Type="http://schemas.openxmlformats.org/officeDocument/2006/relationships/hyperlink" Id="rId107" Target="https://doi.org/10.64898/2026.02.04.703804" TargetMode="External" /><Relationship Type="http://schemas.openxmlformats.org/officeDocument/2006/relationships/hyperlink" Id="rId101" Target="https://doi.org/10.64898/2026.04.14.718485" TargetMode="External" /><Relationship Type="http://schemas.openxmlformats.org/officeDocument/2006/relationships/hyperlink" Id="rId105" Target="https://doi.org/10.64898/2026.04.20.719650" TargetMode="External" /><Relationship Type="http://schemas.openxmlformats.org/officeDocument/2006/relationships/hyperlink" Id="rId167" Target="https://doi.org/10.7554/eLife.51002" TargetMode="External" /></Relationships>
</file>

<file path=word/_rels/footnotes.xml.rels><?xml version="1.0" encoding="UTF-8"?><Relationships xmlns="http://schemas.openxmlformats.org/package/2006/relationships"><Relationship Type="http://schemas.openxmlformats.org/officeDocument/2006/relationships/hyperlink" Id="rId187" Target="https://doi.org/10.1002/1097-0215(20001101)88:3&lt;469::AID-IJC21&gt;3.0.CO;2-7" TargetMode="External" /><Relationship Type="http://schemas.openxmlformats.org/officeDocument/2006/relationships/hyperlink" Id="rId203" Target="https://doi.org/10.1002/cncr.29957" TargetMode="External" /><Relationship Type="http://schemas.openxmlformats.org/officeDocument/2006/relationships/hyperlink" Id="rId145" Target="https://doi.org/10.1006/tpbi.1995.1027" TargetMode="External" /><Relationship Type="http://schemas.openxmlformats.org/officeDocument/2006/relationships/hyperlink" Id="rId79" Target="https://doi.org/10.1016/j.cell.2010.02.027" TargetMode="External" /><Relationship Type="http://schemas.openxmlformats.org/officeDocument/2006/relationships/hyperlink" Id="rId217" Target="https://doi.org/10.1016/j.cell.2018.05.061" TargetMode="External" /><Relationship Type="http://schemas.openxmlformats.org/officeDocument/2006/relationships/hyperlink" Id="rId199" Target="https://doi.org/10.1016/j.cell.2020.07.003" TargetMode="External" /><Relationship Type="http://schemas.openxmlformats.org/officeDocument/2006/relationships/hyperlink" Id="rId109" Target="https://doi.org/10.1016/j.cell.2024.11.015" TargetMode="External" /><Relationship Type="http://schemas.openxmlformats.org/officeDocument/2006/relationships/hyperlink" Id="rId117" Target="https://doi.org/10.1016/j.cels.2020.08.003" TargetMode="External" /><Relationship Type="http://schemas.openxmlformats.org/officeDocument/2006/relationships/hyperlink" Id="rId91" Target="https://doi.org/10.1016/j.cels.2026.101621" TargetMode="External" /><Relationship Type="http://schemas.openxmlformats.org/officeDocument/2006/relationships/hyperlink" Id="rId149" Target="https://doi.org/10.1016/j.isci.2022.105746" TargetMode="External" /><Relationship Type="http://schemas.openxmlformats.org/officeDocument/2006/relationships/hyperlink" Id="rId157" Target="https://doi.org/10.1016/j.jtbi.2020.110162" TargetMode="External" /><Relationship Type="http://schemas.openxmlformats.org/officeDocument/2006/relationships/hyperlink" Id="rId191" Target="https://doi.org/10.1021/j100540a008" TargetMode="External" /><Relationship Type="http://schemas.openxmlformats.org/officeDocument/2006/relationships/hyperlink" Id="rId175" Target="https://doi.org/10.1038/nature11814" TargetMode="External" /><Relationship Type="http://schemas.openxmlformats.org/officeDocument/2006/relationships/hyperlink" Id="rId165" Target="https://doi.org/10.1038/nature14318" TargetMode="External" /><Relationship Type="http://schemas.openxmlformats.org/officeDocument/2006/relationships/hyperlink" Id="rId81" Target="https://doi.org/10.1038/nature22794" TargetMode="External" /><Relationship Type="http://schemas.openxmlformats.org/officeDocument/2006/relationships/hyperlink" Id="rId213" Target="https://doi.org/10.1038/ng.729" TargetMode="External" /><Relationship Type="http://schemas.openxmlformats.org/officeDocument/2006/relationships/hyperlink" Id="rId83" Target="https://doi.org/10.1038/nm.4040" TargetMode="External" /><Relationship Type="http://schemas.openxmlformats.org/officeDocument/2006/relationships/hyperlink" Id="rId173" Target="https://doi.org/10.1038/s41467-017-01968-5" TargetMode="External" /><Relationship Type="http://schemas.openxmlformats.org/officeDocument/2006/relationships/hyperlink" Id="rId169" Target="https://doi.org/10.1038/s41467-018-07788-5" TargetMode="External" /><Relationship Type="http://schemas.openxmlformats.org/officeDocument/2006/relationships/hyperlink" Id="rId115" Target="https://doi.org/10.1038/s41467-019-10500-w" TargetMode="External" /><Relationship Type="http://schemas.openxmlformats.org/officeDocument/2006/relationships/hyperlink" Id="rId119" Target="https://doi.org/10.1038/s41467-021-24152-2" TargetMode="External" /><Relationship Type="http://schemas.openxmlformats.org/officeDocument/2006/relationships/hyperlink" Id="rId95" Target="https://doi.org/10.1038/s41467-023-41811-8" TargetMode="External" /><Relationship Type="http://schemas.openxmlformats.org/officeDocument/2006/relationships/hyperlink" Id="rId123" Target="https://doi.org/10.1038/s41467-024-48516-6" TargetMode="External" /><Relationship Type="http://schemas.openxmlformats.org/officeDocument/2006/relationships/hyperlink" Id="rId141" Target="https://doi.org/10.1038/s41540-023-00314-4" TargetMode="External" /><Relationship Type="http://schemas.openxmlformats.org/officeDocument/2006/relationships/hyperlink" Id="rId85" Target="https://doi.org/10.1038/s41586-021-03796-6" TargetMode="External" /><Relationship Type="http://schemas.openxmlformats.org/officeDocument/2006/relationships/hyperlink" Id="rId87" Target="https://doi.org/10.1038/s41586-024-07690-9" TargetMode="External" /><Relationship Type="http://schemas.openxmlformats.org/officeDocument/2006/relationships/hyperlink" Id="rId153" Target="https://doi.org/10.1038/s41587-021-00837-3" TargetMode="External" /><Relationship Type="http://schemas.openxmlformats.org/officeDocument/2006/relationships/hyperlink" Id="rId113" Target="https://doi.org/10.1038/s41587-023-01772-1" TargetMode="External" /><Relationship Type="http://schemas.openxmlformats.org/officeDocument/2006/relationships/hyperlink" Id="rId155" Target="https://doi.org/10.1038/s41588-020-00749-z" TargetMode="External" /><Relationship Type="http://schemas.openxmlformats.org/officeDocument/2006/relationships/hyperlink" Id="rId171" Target="https://doi.org/10.1038/s41591-020-1060-8" TargetMode="External" /><Relationship Type="http://schemas.openxmlformats.org/officeDocument/2006/relationships/hyperlink" Id="rId129" Target="https://doi.org/10.1038/s41592-019-0690-6" TargetMode="External" /><Relationship Type="http://schemas.openxmlformats.org/officeDocument/2006/relationships/hyperlink" Id="rId121" Target="https://doi.org/10.1038/s41592-025-02651-0" TargetMode="External" /><Relationship Type="http://schemas.openxmlformats.org/officeDocument/2006/relationships/hyperlink" Id="rId103" Target="https://doi.org/10.1038/s41592-025-02772-6" TargetMode="External" /><Relationship Type="http://schemas.openxmlformats.org/officeDocument/2006/relationships/hyperlink" Id="rId185" Target="https://doi.org/10.1038/sj.bjc.6600827" TargetMode="External" /><Relationship Type="http://schemas.openxmlformats.org/officeDocument/2006/relationships/hyperlink" Id="rId189" Target="https://doi.org/10.1038/sj.bjc.6605792" TargetMode="External" /><Relationship Type="http://schemas.openxmlformats.org/officeDocument/2006/relationships/hyperlink" Id="rId193" Target="https://doi.org/10.1063/1.1378322" TargetMode="External" /><Relationship Type="http://schemas.openxmlformats.org/officeDocument/2006/relationships/hyperlink" Id="rId197" Target="https://doi.org/10.1063/1.1992473" TargetMode="External" /><Relationship Type="http://schemas.openxmlformats.org/officeDocument/2006/relationships/hyperlink" Id="rId195" Target="https://doi.org/10.1063/1.2159468" TargetMode="External" /><Relationship Type="http://schemas.openxmlformats.org/officeDocument/2006/relationships/hyperlink" Id="rId209" Target="https://doi.org/10.1073/pnas.0803850105" TargetMode="External" /><Relationship Type="http://schemas.openxmlformats.org/officeDocument/2006/relationships/hyperlink" Id="rId125" Target="https://doi.org/10.1093/nar/gkac235" TargetMode="External" /><Relationship Type="http://schemas.openxmlformats.org/officeDocument/2006/relationships/hyperlink" Id="rId97" Target="https://doi.org/10.1093/nar/gkaf295" TargetMode="External" /><Relationship Type="http://schemas.openxmlformats.org/officeDocument/2006/relationships/hyperlink" Id="rId205" Target="https://doi.org/10.1093/neuonc/nov029" TargetMode="External" /><Relationship Type="http://schemas.openxmlformats.org/officeDocument/2006/relationships/hyperlink" Id="rId201" Target="https://doi.org/10.1098/rsif.2008.0172" TargetMode="External" /><Relationship Type="http://schemas.openxmlformats.org/officeDocument/2006/relationships/hyperlink" Id="rId151" Target="https://doi.org/10.1098/rsif.2017.0467" TargetMode="External" /><Relationship Type="http://schemas.openxmlformats.org/officeDocument/2006/relationships/hyperlink" Id="rId137" Target="https://doi.org/10.1098/rsif.2021.0274" TargetMode="External" /><Relationship Type="http://schemas.openxmlformats.org/officeDocument/2006/relationships/hyperlink" Id="rId131" Target="https://doi.org/10.1098/rsos.172234" TargetMode="External" /><Relationship Type="http://schemas.openxmlformats.org/officeDocument/2006/relationships/hyperlink" Id="rId159" Target="https://doi.org/10.1098/rsos.191243" TargetMode="External" /><Relationship Type="http://schemas.openxmlformats.org/officeDocument/2006/relationships/hyperlink" Id="rId93" Target="https://doi.org/10.1101/2025.01.15.633183" TargetMode="External" /><Relationship Type="http://schemas.openxmlformats.org/officeDocument/2006/relationships/hyperlink" Id="rId219" Target="https://doi.org/10.1101/217737" TargetMode="External" /><Relationship Type="http://schemas.openxmlformats.org/officeDocument/2006/relationships/hyperlink" Id="rId147" Target="https://doi.org/10.1103/PhysRevE.101.032403" TargetMode="External" /><Relationship Type="http://schemas.openxmlformats.org/officeDocument/2006/relationships/hyperlink" Id="rId207" Target="https://doi.org/10.1103/PhysRevLett.97.168302" TargetMode="External" /><Relationship Type="http://schemas.openxmlformats.org/officeDocument/2006/relationships/hyperlink" Id="rId161" Target="https://doi.org/10.1103/mh5v-lcyw" TargetMode="External" /><Relationship Type="http://schemas.openxmlformats.org/officeDocument/2006/relationships/hyperlink" Id="rId163" Target="https://doi.org/10.1111/rssb.12312" TargetMode="External" /><Relationship Type="http://schemas.openxmlformats.org/officeDocument/2006/relationships/hyperlink" Id="rId135" Target="https://doi.org/10.1126/sciadv.adl4895" TargetMode="External" /><Relationship Type="http://schemas.openxmlformats.org/officeDocument/2006/relationships/hyperlink" Id="rId177" Target="https://doi.org/10.1158/0008-5472.CAN-20-0806" TargetMode="External" /><Relationship Type="http://schemas.openxmlformats.org/officeDocument/2006/relationships/hyperlink" Id="rId181" Target="https://doi.org/10.1158/1078-0432.CCR-03-0807" TargetMode="External" /><Relationship Type="http://schemas.openxmlformats.org/officeDocument/2006/relationships/hyperlink" Id="rId143" Target="https://doi.org/10.1186/s12859-022-04778-9" TargetMode="External" /><Relationship Type="http://schemas.openxmlformats.org/officeDocument/2006/relationships/hyperlink" Id="rId111" Target="https://doi.org/10.1186/s13059-017-1305-0" TargetMode="External" /><Relationship Type="http://schemas.openxmlformats.org/officeDocument/2006/relationships/hyperlink" Id="rId127" Target="https://doi.org/10.1186/s13059-020-02000-8" TargetMode="External" /><Relationship Type="http://schemas.openxmlformats.org/officeDocument/2006/relationships/hyperlink" Id="rId179" Target="https://doi.org/10.1200/JCO.2013.49.6968" TargetMode="External" /><Relationship Type="http://schemas.openxmlformats.org/officeDocument/2006/relationships/hyperlink" Id="rId139" Target="https://doi.org/10.1371/journal.pcbi.1005991" TargetMode="External" /><Relationship Type="http://schemas.openxmlformats.org/officeDocument/2006/relationships/hyperlink" Id="rId99" Target="https://doi.org/10.1371/journal.pcbi.1013014" TargetMode="External" /><Relationship Type="http://schemas.openxmlformats.org/officeDocument/2006/relationships/hyperlink" Id="rId89" Target="https://doi.org/10.1371/journal.pcbi.1013446" TargetMode="External" /><Relationship Type="http://schemas.openxmlformats.org/officeDocument/2006/relationships/hyperlink" Id="rId133" Target="https://doi.org/10.1371/journal.pcbi.1014366" TargetMode="External" /><Relationship Type="http://schemas.openxmlformats.org/officeDocument/2006/relationships/hyperlink" Id="rId215" Target="https://doi.org/10.1371/journal.pone.0012776" TargetMode="External" /><Relationship Type="http://schemas.openxmlformats.org/officeDocument/2006/relationships/hyperlink" Id="rId183" Target="https://doi.org/10.1592/phco.24.1.16.34800" TargetMode="External" /><Relationship Type="http://schemas.openxmlformats.org/officeDocument/2006/relationships/hyperlink" Id="rId46" Target="https://doi.org/10.5281/zenodo.22894286" TargetMode="External" /><Relationship Type="http://schemas.openxmlformats.org/officeDocument/2006/relationships/hyperlink" Id="rId211" Target="https://doi.org/10.5334/jors.151" TargetMode="External" /><Relationship Type="http://schemas.openxmlformats.org/officeDocument/2006/relationships/hyperlink" Id="rId107" Target="https://doi.org/10.64898/2026.02.04.703804" TargetMode="External" /><Relationship Type="http://schemas.openxmlformats.org/officeDocument/2006/relationships/hyperlink" Id="rId101" Target="https://doi.org/10.64898/2026.04.14.718485" TargetMode="External" /><Relationship Type="http://schemas.openxmlformats.org/officeDocument/2006/relationships/hyperlink" Id="rId105" Target="https://doi.org/10.64898/2026.04.20.719650" TargetMode="External" /><Relationship Type="http://schemas.openxmlformats.org/officeDocument/2006/relationships/hyperlink" Id="rId167" Target="https://doi.org/10.7554/eLife.510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dc:creator>
  <cp:keywords/>
  <dcterms:created xsi:type="dcterms:W3CDTF">2026-09-22T09:32:20Z</dcterms:created>
  <dcterms:modified xsi:type="dcterms:W3CDTF">2026-09-22T09:32:20Z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and stochastic simulators of dividing cells carry no drug layer. Here we present Biomodelling.jl 2.0, in which stochastic reaction kinetics run inside growing, dividing, drug-treated cells. Exact, hybrid and adaptive kernels couple to exponential growth, volume-scaled transcription, gene replication, division with partitioning, dose schedules with state-dependent killing, a lineage record, observation models and likelihood-free inference. Expression memory, cell-size scaling and cell-cycle-dependent bursting emerge from this physiology rather than imposed. One resistance gene with slow promoter switching reproduces the lineage and memory signatures of drug tolerance, and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Its schedule optimiser reproduces the opposite rankings of intermittent dosing reported in a melanoma trial and in xenografts, and shows the ranking to turn on two measurable cell properties: growth under drug and fitness without it.</vt:lpwstr>
  </property>
  <property fmtid="{D5CDD505-2E9C-101B-9397-08002B2CF9AE}" pid="3" name="bibliography">
    <vt:lpwstr>references.bib</vt:lpwstr>
  </property>
  <property fmtid="{D5CDD505-2E9C-101B-9397-08002B2CF9AE}" pid="4" name="csl">
    <vt:lpwstr>plos.csl</vt:lpwstr>
  </property>
  <property fmtid="{D5CDD505-2E9C-101B-9397-08002B2CF9AE}" pid="5" name="date">
    <vt:lpwstr>Independent researcher, Dublin, Ireland. Correspondence: alasri@berache.com</vt:lpwstr>
  </property>
</Properties>
</file>