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simulation of heritable expression states, cell division and drug response in single-cell populations</w:t>
      </w:r>
    </w:p>
    <w:p>
      <w:pPr>
        <w:pStyle w:val="Author"/>
      </w:pPr>
      <w:r>
        <w:t xml:space="preserve">Ayoub Lasri</w:t>
      </w:r>
      <w:r>
        <w:rPr>
          <w:vertAlign w:val="superscript"/>
        </w:rPr>
        <w:t xml:space="preserve">1</w:t>
      </w:r>
    </w:p>
    <w:p>
      <w:pPr>
        <w:pStyle w:val="Date"/>
      </w:pPr>
      <w:r>
        <w:rPr>
          <w:vertAlign w:val="superscript"/>
        </w:rPr>
        <w:t xml:space="preserve">1</w:t>
      </w:r>
      <w:r>
        <w:t xml:space="preserve"> </w:t>
      </w:r>
      <w:r>
        <w:t xml:space="preserve">Department of Physiology and Medical Physics, Royal College of Surgeons in Ireland, Dublin, Ireland. Correspondence: alasri@berache.com</w:t>
      </w:r>
    </w:p>
    <w:p>
      <w:pPr>
        <w:pStyle w:val="AbstractTitle"/>
      </w:pPr>
      <w:r>
        <w:t xml:space="preserve">Abstract</w:t>
      </w:r>
    </w:p>
    <w:p>
      <w:pPr>
        <w:pStyle w:val="Abstract"/>
      </w:pPr>
      <w:r>
        <w:t xml:space="preserve">Heritable, non-genetic differences in gene expression decide which cancer cells survive a drug, yet the simulators used to benchmark single-cell methods model neither cell growth nor division, and therefore cannot generate such states from first principles. Here we present Biomodelling.jl 2.0, a framework in which stochastic reaction kinetics run inside growing, dividing and drug-treated cells. Exact, hybrid and adaptive kernels are coupled to exponential growth, volume-scaled transcription, gene replication and division with binomial partitioning and promoter inheritance, to dose schedules and state-dependent killing, to a complete lineage record, to single-cell observation models and to likelihood-free inference. Expression memory, cell-size scaling and cell-cycle-dependent bursting emerge from this physiology rather than being imposed. A single resistance gene with slow promoter switching reproduces the reported signatures of drug-tolerant persisters, and the framework supplies the ground truth that benchmarks of memory-gene detection, network inference and perturbation prediction lack. Calibrated to time-lapse measurements of cisplatin-treated cells, the model predicts held-out concentrations, lineage correlations and single-cell timing. Used with a built-in optimiser, it recovers the opposite rankings of intermittent dosing reported in a melanoma trial and in xenografts, attributes the difference to the fitness of resistant cells without drug, and searches for better schedules.</w:t>
      </w:r>
    </w:p>
    <w:p>
      <w:pPr>
        <w:pStyle w:val="FirstParagraph"/>
      </w:pPr>
      <w:r>
        <w:t xml:space="preserve">Isogenic cells differ in their transcriptional states, those differences are often inherited across several divisions, and the inherited state decides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“virtual cell”</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SERGIO, dyngen, scMultiSim and GRouNdGAN</w:t>
      </w:r>
      <w:r>
        <w:rPr>
          <w:vertAlign w:val="superscript"/>
        </w:rPr>
        <w:t xml:space="preserve">17–20</w:t>
      </w:r>
      <w:r>
        <w:t xml:space="preserve">, model regulation and technical noise but not cell growth, volume-dependent transcription, gene replication or the partitioning of molecules at division; lineage simulators such as TedSim</w:t>
      </w:r>
      <w:r>
        <w:rPr>
          <w:vertAlign w:val="superscript"/>
        </w:rPr>
        <w:t xml:space="preserve">21</w:t>
      </w:r>
      <w:r>
        <w:t xml:space="preserve"> </w:t>
      </w:r>
      <w:r>
        <w:t xml:space="preserve">generate division trees but attach phenomenological, largely Markovian expression to them. None of them can therefore produce expression memory, cell-size scaling, cell-cycle-dependent bursting or persister dynamics from first principles, and none provides the ground truth that the methods now being developed for exactly those phenomena require</w:t>
      </w:r>
      <w:r>
        <w:rPr>
          <w:vertAlign w:val="superscript"/>
        </w:rPr>
        <w:t xml:space="preserve">22</w:t>
      </w:r>
      <w:r>
        <w:t xml:space="preserve">. Stochastic simulators of growing and dividing cells exist</w:t>
      </w:r>
      <w:r>
        <w:rPr>
          <w:vertAlign w:val="superscript"/>
        </w:rPr>
        <w:t xml:space="preserve">23,24</w:t>
      </w:r>
      <w:r>
        <w:t xml:space="preserve"> </w:t>
      </w:r>
      <w:r>
        <w:t xml:space="preserve">but stop at the single-cell state: they offer no drug response, no lineage statistics, no observation models, no inference and no benchmark generation.</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25</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signatures of drug-tolerant persisters. We then use the framework as a ground-truth generator for memory-gene detection, network inference, imputation and perturbation prediction; as an inference engine that recovers kinetic and drug parameters from snapshot and lineage data and quantifies the bias of ignoring division; as a model calibrated to published time-lapse measurements and validated on conditions it was not fitted to; and, with a built-in schedule optimiser, as a testbed in which clinical dosing regimens are compared and better ones are sought.</w:t>
      </w:r>
    </w:p>
    <w:bookmarkStart w:id="17" w:name="results"/>
    <w:p>
      <w:pPr>
        <w:pStyle w:val="Heading1"/>
      </w:pPr>
      <w:r>
        <w:t xml:space="preserve">Results</w:t>
      </w:r>
    </w:p>
    <w:bookmarkStart w:id="9" w:name="X9262108ab61ea0f799b7442416ede46987d7afe"/>
    <w:p>
      <w:pPr>
        <w:pStyle w:val="Heading2"/>
      </w:pPr>
      <w:r>
        <w:t xml:space="preserve">A layered simulator of growing, dividing, treated cells</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17</w:t>
      </w:r>
      <w:r>
        <w:t xml:space="preserve">, dyngen</w:t>
      </w:r>
      <w:r>
        <w:rPr>
          <w:vertAlign w:val="superscript"/>
        </w:rPr>
        <w:t xml:space="preserve">18</w:t>
      </w:r>
      <w:r>
        <w:t xml:space="preserve">, scMultiSim</w:t>
      </w:r>
      <w:r>
        <w:rPr>
          <w:vertAlign w:val="superscript"/>
        </w:rPr>
        <w:t xml:space="preserve">19</w:t>
      </w:r>
      <w:r>
        <w:t xml:space="preserve">, GRouNdGAN</w:t>
      </w:r>
      <w:r>
        <w:rPr>
          <w:vertAlign w:val="superscript"/>
        </w:rPr>
        <w:t xml:space="preserve">20</w:t>
      </w:r>
      <w:r>
        <w:t xml:space="preserve">, TedSim</w:t>
      </w:r>
      <w:r>
        <w:rPr>
          <w:vertAlign w:val="superscript"/>
        </w:rPr>
        <w:t xml:space="preserve">21</w:t>
      </w:r>
      <w:r>
        <w:t xml:space="preserve">, Cassiopeia</w:t>
      </w:r>
      <w:r>
        <w:rPr>
          <w:vertAlign w:val="superscript"/>
        </w:rPr>
        <w:t xml:space="preserve">26</w:t>
      </w:r>
      <w:r>
        <w:t xml:space="preserve">, ABM.jl (AgentBasedModeling.jl)</w:t>
      </w:r>
      <w:r>
        <w:rPr>
          <w:vertAlign w:val="superscript"/>
        </w:rPr>
        <w:t xml:space="preserve">24</w:t>
      </w:r>
      <w:r>
        <w:t xml:space="preserve">, Biomodelling.jl v1.x</w:t>
      </w:r>
      <w:r>
        <w:rPr>
          <w:vertAlign w:val="superscript"/>
        </w:rPr>
        <w:t xml:space="preserve">25</w:t>
      </w:r>
      <w:r>
        <w:t xml:space="preserve"> </w:t>
      </w:r>
      <w:r>
        <w:t xml:space="preserve">and v2.0 (this work). Cassiopeia simulates division topologies with heritable fitness and CRISPR barcodes rather than molecular content, and its inference recovers phylogenies rather than kinetic parameters; entries were read from each tool’s publication and documentation.</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Cassio-</w:t>
            </w:r>
            <w:r>
              <w:t xml:space="preserve"> </w:t>
            </w:r>
            <w:r>
              <w:t xml:space="preserve">peia</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9"/>
    <w:bookmarkStart w:id="10" w:name="X6d951c7fa7a99f50e130c7347fad595a48883b5"/>
    <w:p>
      <w:pPr>
        <w:pStyle w:val="Heading2"/>
      </w:pPr>
      <w:r>
        <w:t xml:space="preserve">The engine is exact and reproducible in another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27</w:t>
      </w:r>
      <w:r>
        <w:t xml:space="preserve"> </w:t>
      </w:r>
      <w:r>
        <w:t xml:space="preserve">(Fig. 2b); and for bursty protein production it matches the negative binomial (Fig. 2c). Across kernels, Kolmogorov-Smirnov distances to the exact law with 20,000 cells lie below the 99% critical value for the direct method and for the hybrid and adaptive schemes at their default tolerances, at wall-clock costs of 0.25 s to 0.91 s per 10⁴ cells (Fig. 2d). Simulating the same telegraph model with JumpProcesses.jl gives distributions whose two-sample Kolmogorov-Smirnov statistic against Biomodelling.jl is 0.0034 (99% critical value 0.0163; Fig. 2e), with a 6.2-fold (in favour of JumpProcesses.jl) difference in serial wall-clock time. Population simulations scale linearly with the number of cells and approximately linearly with the number of reactions: 2.6 s for 5000 cells × 10 telegraph genes × 200 steps (hybrid kernel) with four threads (Fig. 2f).</w:t>
      </w:r>
    </w:p>
    <w:bookmarkEnd w:id="10"/>
    <w:bookmarkStart w:id="11" w:name="X23201c765ced36a28a43a5baf0d27e8e20c48c4"/>
    <w:p>
      <w:pPr>
        <w:pStyle w:val="Heading2"/>
      </w:pPr>
      <w:r>
        <w:t xml:space="preserve">Physiology alone generates memory, size scaling and cell-cycle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with sisters more correlated than mother-daughter pairs and cousins less,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differ by the expected factor of two in burst frequency, and a fit that ignores the cell cycle returns intermediate values (Fig. 3f).</w:t>
      </w:r>
    </w:p>
    <w:bookmarkEnd w:id="11"/>
    <w:bookmarkStart w:id="12" w:name="Xa32f63149716c1d9d61867f0c044cb97deece08"/>
    <w:p>
      <w:pPr>
        <w:pStyle w:val="Heading2"/>
      </w:pPr>
      <w:r>
        <w:t xml:space="preserve">One resistance gene reproduces persister phenomenology</w:t>
      </w:r>
    </w:p>
    <w:p>
      <w:pPr>
        <w:pStyle w:val="FirstParagraph"/>
      </w:pPr>
      <w:r>
        <w:t xml:space="preserve">To test whether heritable expression states suffice to reproduce the phenomenology of drug-tolerant persisters,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This reproduces the observation that population decay depends strongly on dose even though single-cell division and death times barely do</w:t>
      </w:r>
      <w:r>
        <w:rPr>
          <w:vertAlign w:val="superscript"/>
        </w:rPr>
        <w:t xml:space="preserve">6</w:t>
      </w:r>
      <w:r>
        <w:t xml:space="preserve">, because fate is decided by states that exist before the drug arrives.</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w:t>
      </w:r>
    </w:p>
    <w:p>
      <w:pPr>
        <w:pStyle w:val="BodyText"/>
      </w:pPr>
      <w:r>
        <w:t xml:space="preserve">Disrupting expression memory changes the outcome, and when it is disrupted matters. Accelerating promoter switching 20-fold from two cell-cycle times before the drug, as memory-disrupting epigenetic compounds do</w:t>
      </w:r>
      <w:r>
        <w:rPr>
          <w:vertAlign w:val="superscript"/>
        </w:rPr>
        <w:t xml:space="preserve">9</w:t>
      </w:r>
      <w:r>
        <w:t xml:space="preserve">, leaves the number of surviving clones unchanged if the acceleration stops when the drug arrives (98 versus 120 clones), because it reshuffles which cells occupy the resistant state without changing how many do. Maintaining it during exposure reduces the count to 7 clones (10 cells, against 792; Fig. 4f), because resistant cells now leave the protected state within a fraction of the time they need to found a colony. In the model, memory must be disrupted while the drug is present. Compartment theory for phenotypic switching already predicts that an agent which perturbs the retention of the resistant state can turn treatment failure into success</w:t>
      </w:r>
      <w:r>
        <w:rPr>
          <w:vertAlign w:val="superscript"/>
        </w:rPr>
        <w:t xml:space="preserve">28</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29</w:t>
      </w:r>
      <w:r>
        <w:t xml:space="preserve">. Finally, scanning release periods and doses of intermittent schedules (Fig. 4h),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Without a fitness cost nothing beats continuous dosing at the highest dose, since every release period lets the resistant subpopulation regrow. With a fitness cost the population declines under every schedule at dose ≥ 0.5, and release periods of up to 10 time units match continuous dosing (-0.013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previously</w:t>
      </w:r>
      <w:r>
        <w:rPr>
          <w:vertAlign w:val="superscript"/>
        </w:rPr>
        <w:t xml:space="preserve">30</w:t>
      </w:r>
      <w:r>
        <w:t xml:space="preserve">; the benefit of release periods reported in that work does not appear here, because in this model the induced state decays at the same rate with and without drug, so a holiday only postpones the death of reverting cells while all cells grow.</w:t>
      </w:r>
    </w:p>
    <w:bookmarkEnd w:id="12"/>
    <w:bookmarkStart w:id="13" w:name="X18b9f7c462d020beb62cc102f21cdd5235e4a4e"/>
    <w:p>
      <w:pPr>
        <w:pStyle w:val="Heading2"/>
      </w:pPr>
      <w:r>
        <w:t xml:space="preserve">Ground truth for memory genes, networks and perturbations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29.6 for the slowest genes, and the ranking survives computation on sequenced counts at 20% capture efficiency (Fig. 5a); the score separates genes with memory longer than the cycle from the rest with an area under the receiver operating curve of 1.00 on true concentrations and 0.99 on sequenced counts. For a 30-gene network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0.08 for a random ranking),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Imputation with kNN-smoothing and MAGIC before inference changes the area under the precision-recall curve by +0.05 to +0.21 (Pearson correlation) (Fig. 5c), consistent with the original benchmark</w:t>
      </w:r>
      <w:r>
        <w:rPr>
          <w:vertAlign w:val="superscript"/>
        </w:rPr>
        <w:t xml:space="preserve">25</w:t>
      </w:r>
      <w:r>
        <w:t xml:space="preserve">. Knocking down the five most connected regulators of a 20-gene network produces true fold changes that a no-change baseline and the propagation of observational correlations predict with coefficients of determination of -0.16 and -0.23 (Fig. 5d), illustrating how causal, out-of-distribution ground truth can be generated for the evaluation of perturbation-prediction models</w:t>
      </w:r>
      <w:r>
        <w:rPr>
          <w:vertAlign w:val="superscript"/>
        </w:rPr>
        <w:t xml:space="preserve">13,14</w:t>
      </w:r>
      <w:r>
        <w:t xml:space="preserve">.</w:t>
      </w:r>
    </w:p>
    <w:bookmarkEnd w:id="13"/>
    <w:bookmarkStart w:id="14" w:name="X9d7e1c98b9291f06440749f84edc7ea2c45ca5a"/>
    <w:p>
      <w:pPr>
        <w:pStyle w:val="Heading2"/>
      </w:pPr>
      <w:r>
        <w:t xml:space="preserve">Inference recovers parameters and exposes the cost of ignoring division</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31</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(k_on = 0.47, k_off = 1.95, k_tx = 71.5)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w:t>
      </w:r>
    </w:p>
    <w:bookmarkEnd w:id="14"/>
    <w:bookmarkStart w:id="15" w:name="X272c18a48cb16c5cc4c49a646cade8726f8c055"/>
    <w:p>
      <w:pPr>
        <w:pStyle w:val="Heading2"/>
      </w:pPr>
      <w:r>
        <w:t xml:space="preserve">Calibration to time-lapse data predicts held-out conditions</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(memory 2.8 generations, resistant fraction 15.2%, EC</w:t>
      </w:r>
      <m:oMath>
        <m:sSub>
          <m:e>
            <m:r>
              <m:t>​</m:t>
            </m:r>
          </m:e>
          <m:sub>
            <m:r>
              <m:t>50</m:t>
            </m:r>
          </m:sub>
        </m:sSub>
      </m:oMath>
      <w:r>
        <w:t xml:space="preserve"> </w:t>
      </w:r>
      <w:r>
        <w:t xml:space="preserve">16.7 µM; Fig. 7f) reproduces the training fractions with a root-mean-square error of 0.071 and predicts the held-out 10 µM condition with an error of 0.093 (observed died, divided and survived fractions 0.28, 0.31 and 0.41; predicted 0.39, 0.20 and 0.41; Fig. 7a).</w:t>
      </w:r>
    </w:p>
    <w:p>
      <w:pPr>
        <w:pStyle w:val="BodyText"/>
      </w:pPr>
      <w:r>
        <w:t xml:space="preserve">Properties that were not fitted can then be compared with the data. Death fates are correlated between sisters (0.09), first cousins (0.06) and second cousins (0.05), and the correlation decays to 0.02 for third cousins and 0.00 for unrelated cells (Fig. 7c), the pattern reported for HCT116 lineages.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predicted kill curves (Fig. 7b) are 1.5-fold steeper at 13 µM in their first two days than in their second half, but the calibrated memory of 2.8 generations is too short to produce the plateau that HCT116 cells reach after about 100 h: in the model, cells leave the resistant state within days and are then killed. Reproducing the plateau requires a longer memory or a drug-induced stabilisation of the resistant state, which is the kind of conclusion a calibrated forward model can draw and a lineage-tracing experiment can test.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15"/>
    <w:bookmarkStart w:id="16" w:name="X25732bf1a5a363d5f66b855a4fb56fd6dfdd71f"/>
    <w:p>
      <w:pPr>
        <w:pStyle w:val="Heading2"/>
      </w:pPr>
      <w:r>
        <w:t xml:space="preserve">Schedule optimisation reproduces and explains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32</w:t>
      </w:r>
      <w:r>
        <w:t xml:space="preserve">, and adaptive therapy, in which the drug is withdrawn when the population has halved and resumed when it regrows to its initial size</w:t>
      </w:r>
      <w:r>
        <w:rPr>
          <w:vertAlign w:val="superscript"/>
        </w:rPr>
        <w:t xml:space="preserve">33</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holidays only let sensitive cells regrow and be killed again, and the three schedules lose control after 23, 26 and 27 weeks, the intermittent schedule delivering 65% of the cumulative dose. When resistant cells pay a 50% fitness cost in the absence of drug, the drug addiction that made intermittent dosing superior in patient-derived xenografts</w:t>
      </w:r>
      <w:r>
        <w:rPr>
          <w:vertAlign w:val="superscript"/>
        </w:rPr>
        <w:t xml:space="preserve">34</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That the benefit of holidays should depend on a cost of resistance is established by compartment models of adaptive therapy, which also show that tumour turnover modulates how large that cost must be</w:t>
      </w:r>
      <w:r>
        <w:rPr>
          <w:vertAlign w:val="superscript"/>
        </w:rPr>
        <w:t xml:space="preserve">35</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The model therefore reproduces both the clinical and the preclinical outcome and attributes their difference to measurable properties of the resistant cells, their growth under drug and their fitness without it, both of which are properties of cells rather than of the tumour, and which growth and lineage experiments can bound, within the identifiability limits of Fig. 6c, before a schedule is chosen.</w:t>
      </w:r>
    </w:p>
    <w:p>
      <w:pPr>
        <w:pStyle w:val="BodyText"/>
      </w:pPr>
      <w:r>
        <w:t xml:space="preserve">The second case study concerns glioblastoma, where the RTOG 0525 trial compared the standard temozolomide regimen (150–200 mg m</w:t>
      </w:r>
      <w:r>
        <w:rPr>
          <w:vertAlign w:val="superscript"/>
        </w:rPr>
        <w:t xml:space="preserve">-2</w:t>
      </w:r>
      <w:r>
        <w:t xml:space="preserve"> </w:t>
      </w:r>
      <w:r>
        <w:t xml:space="preserve">on days 1–5 of 28-day cycles) with a dose-dense regimen (75–100 mg m</w:t>
      </w:r>
      <w:r>
        <w:rPr>
          <w:vertAlign w:val="superscript"/>
        </w:rPr>
        <w:t xml:space="preserve">-2</w:t>
      </w:r>
      <w:r>
        <w:t xml:space="preserve"> </w:t>
      </w:r>
      <w:r>
        <w:t xml:space="preserve">on days 1–21) that delivers about twice the cumulative dose and was designed to deplete MGMT, and found no difference in survival for either MGMT-methylated or unmethylated tumours</w:t>
      </w:r>
      <w:r>
        <w:rPr>
          <w:vertAlign w:val="superscript"/>
        </w:rPr>
        <w:t xml:space="preserve">36</w:t>
      </w:r>
      <w:r>
        <w:t xml:space="preserve">. We simulated both regimens with one-compartment pharmacokinetics (elimination half-life 2.1 h; ref.</w:t>
      </w:r>
      <w:r>
        <w:rPr>
          <w:vertAlign w:val="superscript"/>
        </w:rPr>
        <w:t xml:space="preserve">37</w:t>
      </w:r>
      <w:r>
        <w:t xml:space="preserve">) on populations in which 1% (methylated) or 30% (unmethylated) of cells express MGMT, with MGMT protein protecting cells from the drug</w:t>
      </w:r>
      <w:r>
        <w:rPr>
          <w:vertAlign w:val="superscript"/>
        </w:rPr>
        <w:t xml:space="preserve">29</w:t>
      </w:r>
      <w:r>
        <w:t xml:space="preserve"> </w:t>
      </w:r>
      <w:r>
        <w:t xml:space="preserve">and either stable or consumed by it, as a suicide enzyme is (Fig. 8f,g).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When the drug consumes MGMT, prolonged exposure depletes the protection of expressing cells: in the methylated population the dose-dense regimen deepens its response to 1.24 log</w:t>
      </w:r>
      <m:oMath>
        <m:sSub>
          <m:e>
            <m:r>
              <m:t>​</m:t>
            </m:r>
          </m:e>
          <m:sub>
            <m:r>
              <m:t>10</m:t>
            </m:r>
          </m:sub>
        </m:sSub>
      </m:oMath>
      <w:r>
        <w:t xml:space="preserve"> </w:t>
      </w:r>
      <w:r>
        <w:t xml:space="preserve">units against 0.21 for the standard regimen, and in the unmethylated population, where 30% of cells start protected, both regimens improve (final size 1.7 and 1.4 times the initial size, against 4.9 and 3.6 with stable MGMT) but neither controls the population, so the difference between the arms stays small (0.14 against 0.17 log</w:t>
      </w:r>
      <m:oMath>
        <m:sSub>
          <m:e>
            <m:r>
              <m:t>​</m:t>
            </m:r>
          </m:e>
          <m:sub>
            <m:r>
              <m:t>10</m:t>
            </m:r>
          </m:sub>
        </m:sSub>
      </m:oMath>
      <w:r>
        <w:t xml:space="preserve"> </w:t>
      </w:r>
      <w:r>
        <w:t xml:space="preserve">units), as in the trial.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among it, but they turn the rationale of dose-dense dosing into a quantitative prediction and identify the measurement that decides between the regimens: how fast the drug consumes MGMT in the tumour.</w:t>
      </w:r>
    </w:p>
    <w:bookmarkEnd w:id="16"/>
    <w:bookmarkEnd w:id="17"/>
    <w:bookmarkStart w:id="18"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The individual ingredients are not new: stochastic kinetics in growing and dividing cells have been simulated before</w:t>
      </w:r>
      <w:r>
        <w:rPr>
          <w:vertAlign w:val="superscript"/>
        </w:rPr>
        <w:t xml:space="preserve">23–25</w:t>
      </w:r>
      <w:r>
        <w:t xml:space="preserve">, lineage-tracing data have their own simulators</w:t>
      </w:r>
      <w:r>
        <w:rPr>
          <w:vertAlign w:val="superscript"/>
        </w:rPr>
        <w:t xml:space="preserve">21,26</w:t>
      </w:r>
      <w:r>
        <w:t xml:space="preserve">, compartment models of adaptive therapy established that the benefit of treatment holidays depends on a cost of resistance and on turnover</w:t>
      </w:r>
      <w:r>
        <w:rPr>
          <w:vertAlign w:val="superscript"/>
        </w:rPr>
        <w:t xml:space="preserve">33,35</w:t>
      </w:r>
      <w:r>
        <w:t xml:space="preserve">, and phenotypic-switching theory established that perturbing the retention of a resistant state can decide a treatment outcome</w:t>
      </w:r>
      <w:r>
        <w:rPr>
          <w:vertAlign w:val="superscript"/>
        </w:rPr>
        <w:t xml:space="preserve">28</w:t>
      </w:r>
      <w:r>
        <w:t xml:space="preserve">. Three things are new. First, the combination itself: molecular kinetics, volume-scaled transcription, gene replication, partitioning and promoter inheritance, drug schedules with state-dependent killing, a complete lineage record, observation models and inference in one forward model, which is what allows a resistance phenotype to be a heritable expression state with measurable kinetics rather than a compartment with an assumed rate. Second, the ground truth this makes available: the same simulation supplies known memory genes, known networks, known perturbation effects and the true lineage tree, which is what the quantification of how growth and sequencing destroy network inference, and of how far cell-cycle regression recovers it, depends on. Third, the calibrate-then-predict protocol applied to schedule questions, which turns a mechanism into a falsifiable prediction: here it identifies the growth of resistant cells without drug and their residual growth under drug as the two properties that decide whether holidays help, and identifies the rate at which temozolomide consumes MGMT as the measurement that separates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whether resistant cells pay a fitness cost without drug, and a trial result and a xenograft result that appeared to contradict each other are both reproduced once that property is set.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The clinical case studies use literature values for cell-cycle times, resistant fractions and pharmacokinetics rather than patient-specific measurements, so their conclusions concern mechanisms and rankings, not absolute survival times.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18"/>
    <w:bookmarkStart w:id="34" w:name="methods"/>
    <w:p>
      <w:pPr>
        <w:pStyle w:val="Heading1"/>
      </w:pPr>
      <w:r>
        <w:t xml:space="preserve">Methods</w:t>
      </w:r>
    </w:p>
    <w:bookmarkStart w:id="19"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9"/>
    <w:bookmarkStart w:id="20"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38</w:t>
      </w:r>
      <w:r>
        <w:t xml:space="preserve"> </w:t>
      </w:r>
      <w:r>
        <w:t xml:space="preserve">with propensities updated through a species-reaction dependency graph; fixed-step Poisson tau-leaping</w:t>
      </w:r>
      <w:r>
        <w:rPr>
          <w:vertAlign w:val="superscript"/>
        </w:rPr>
        <w:t xml:space="preserve">39</w:t>
      </w:r>
      <w:r>
        <w:t xml:space="preserve">; a hybrid scheme in which a leap that would drive any species negative is rejected and the interval is instead simulated exactly (this is the exact version of the</w:t>
      </w:r>
      <w:r>
        <w:t xml:space="preserve"> </w:t>
      </w:r>
      <w:r>
        <w:t xml:space="preserve">“switching”</w:t>
      </w:r>
      <w:r>
        <w:t xml:space="preserve"> </w:t>
      </w:r>
      <w:r>
        <w:t xml:space="preserve">scheme of version 1); and adaptive tau-leaping with the step-size selection of</w:t>
      </w:r>
      <w:r>
        <w:rPr>
          <w:vertAlign w:val="superscript"/>
        </w:rPr>
        <w:t xml:space="preserve">40</w:t>
      </w:r>
      <w:r>
        <w:t xml:space="preserve"> </w:t>
      </w:r>
      <w:r>
        <w:t xml:space="preserve">and the critical-reaction partition of</w:t>
      </w:r>
      <w:r>
        <w:rPr>
          <w:vertAlign w:val="superscript"/>
        </w:rPr>
        <w:t xml:space="preserve">41</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Every kernel takes an explicit random number generator.</w:t>
      </w:r>
    </w:p>
    <w:bookmarkEnd w:id="20"/>
    <w:bookmarkStart w:id="21"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1"/>
    <w:bookmarkStart w:id="22"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bookmarkEnd w:id="22"/>
    <w:bookmarkStart w:id="23"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42</w:t>
      </w:r>
      <w:r>
        <w:t xml:space="preserve">, the variance of clone-mean expression divided by its permutation-null expectation.</w:t>
      </w:r>
    </w:p>
    <w:bookmarkEnd w:id="23"/>
    <w:bookmarkStart w:id="24"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or as AnnData-compatible HDF5 files.</w:t>
      </w:r>
    </w:p>
    <w:bookmarkEnd w:id="24"/>
    <w:bookmarkStart w:id="25"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27</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43</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31</w:t>
      </w:r>
      <w:r>
        <w:t xml:space="preserve">.</w:t>
      </w:r>
    </w:p>
    <w:bookmarkEnd w:id="25"/>
    <w:bookmarkStart w:id="26"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2-3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6"/>
    <w:bookmarkStart w:id="27"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33</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gene-expression rates are scaled to the hour (mRNA half-life 7 h, protein half-life 35 h) and founders are drawn from the stationary distribution of promoter states. The melanoma case uses a pre-resistant fraction of 1:200 with a memory of five generations</w:t>
      </w:r>
      <w:r>
        <w:rPr>
          <w:vertAlign w:val="superscript"/>
        </w:rPr>
        <w:t xml:space="preserve">2,42</w:t>
      </w:r>
      <w:r>
        <w:t xml:space="preserve"> </w:t>
      </w:r>
      <w:r>
        <w:t xml:space="preserve">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34</w:t>
      </w:r>
      <w:r>
        <w:t xml:space="preserve">; and partial protection, in which resistant cells grow at half speed under drug. Progression is scored in two ways: from the nadir, as in RECIST (a 20% increase in diameter, taken as a 1.73-fold increase in cell number, after the 8-week lead-in), and as loss of control, the time after randomisation at which the population exceeds 120% of its pre-treatment size, the end point of adaptive-therapy studies, which is the one used to compare schedules that deliberately let the tumour regrow. The temozolomide case uses an elimination half-life of 2.1 h</w:t>
      </w:r>
      <w:r>
        <w:rPr>
          <w:vertAlign w:val="superscript"/>
        </w:rPr>
        <w:t xml:space="preserve">37</w:t>
      </w:r>
      <w:r>
        <w:t xml:space="preserve">, the regimens of RTOG 0525</w:t>
      </w:r>
      <w:r>
        <w:rPr>
          <w:vertAlign w:val="superscript"/>
        </w:rPr>
        <w:t xml:space="preserve">36</w:t>
      </w:r>
      <w:r>
        <w:t xml:space="preserve"> </w:t>
      </w:r>
      <w:r>
        <w:t xml:space="preserve">(200 mg/m² on days 1-5 or 100 mg/m² on days 1-21 of 28-day cycles, six cycles), MGMT-expressing fractions of 1% and 30% for methylated and unmethylated promoters, and MGMT either stable or consumed by the drug (its degradation rate increased 20-fold at the standard peak concentration), the suicide-enzyme behaviour that motivated dose-dense schedules.</w:t>
      </w:r>
    </w:p>
    <w:bookmarkEnd w:id="27"/>
    <w:bookmarkStart w:id="2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8"/>
    <w:bookmarkStart w:id="2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44,45</w:t>
      </w:r>
      <w:r>
        <w:t xml:space="preserve">), by agreement between kernels, and by a two-sample comparison against JumpProcesses.jl</w:t>
      </w:r>
      <w:r>
        <w:rPr>
          <w:vertAlign w:val="superscript"/>
        </w:rPr>
        <w:t xml:space="preserve">46</w:t>
      </w:r>
      <w:r>
        <w:t xml:space="preserve"> </w:t>
      </w:r>
      <w:r>
        <w:t xml:space="preserve">on the same model. Population-level properties were compared with the analytic expectations for cell-size scaling and concentration homeostasis</w:t>
      </w:r>
      <w:r>
        <w:rPr>
          <w:vertAlign w:val="superscript"/>
        </w:rPr>
        <w:t xml:space="preserve">23</w:t>
      </w:r>
      <w:r>
        <w:t xml:space="preserve">, partitioning noise</w:t>
      </w:r>
      <w:r>
        <w:rPr>
          <w:vertAlign w:val="superscript"/>
        </w:rPr>
        <w:t xml:space="preserve">47</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30</w:t>
      </w:r>
      <w:r>
        <w:t xml:space="preserve"> </w:t>
      </w:r>
      <w:r>
        <w:t xml:space="preserve">and</w:t>
      </w:r>
      <w:r>
        <w:rPr>
          <w:vertAlign w:val="superscript"/>
        </w:rPr>
        <w:t xml:space="preserve">9</w:t>
      </w:r>
      <w:r>
        <w:t xml:space="preserve">, and with the phenotypic-selection model of</w:t>
      </w:r>
      <w:r>
        <w:rPr>
          <w:vertAlign w:val="superscript"/>
        </w:rPr>
        <w:t xml:space="preserve">29</w:t>
      </w:r>
      <w:r>
        <w:t xml:space="preserve">. All scripts, seeds and outputs are in the</w:t>
      </w:r>
      <w:r>
        <w:t xml:space="preserve"> </w:t>
      </w:r>
      <w:r>
        <w:rPr>
          <w:rStyle w:val="VerbatimChar"/>
        </w:rPr>
        <w:t xml:space="preserve">paper/</w:t>
      </w:r>
      <w:r>
        <w:t xml:space="preserve"> </w:t>
      </w:r>
      <w:r>
        <w:t xml:space="preserve">directory of the repository.</w:t>
      </w:r>
    </w:p>
    <w:bookmarkEnd w:id="29"/>
    <w:bookmarkStart w:id="30"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30"/>
    <w:bookmarkStart w:id="31"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31"/>
    <w:bookmarkStart w:id="32"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by</w:t>
      </w:r>
      <w:r>
        <w:t xml:space="preserve"> </w:t>
      </w:r>
      <w:r>
        <w:rPr>
          <w:rStyle w:val="VerbatimChar"/>
        </w:rPr>
        <w:t xml:space="preserve">julia --project=paper paper/run_all.jl</w:t>
      </w:r>
      <w:r>
        <w:t xml:space="preserve"> </w:t>
      </w:r>
      <w:r>
        <w:t xml:space="preserve">followed by</w:t>
      </w:r>
      <w:r>
        <w:t xml:space="preserve"> </w:t>
      </w:r>
      <w:r>
        <w:rPr>
          <w:rStyle w:val="VerbatimChar"/>
        </w:rPr>
        <w:t xml:space="preserve">python paper/plot_all.py</w:t>
      </w:r>
      <w:r>
        <w:t xml:space="preserve">.</w:t>
      </w:r>
    </w:p>
    <w:bookmarkEnd w:id="32"/>
    <w:bookmarkStart w:id="33"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48</w:t>
      </w:r>
      <w:r>
        <w:t xml:space="preserve">, MAGIC</w:t>
      </w:r>
      <w:r>
        <w:rPr>
          <w:vertAlign w:val="superscript"/>
        </w:rPr>
        <w:t xml:space="preserve">49</w:t>
      </w:r>
      <w:r>
        <w:t xml:space="preserve"> </w:t>
      </w:r>
      <w:r>
        <w:t xml:space="preserve">and kNN-smoothing</w:t>
      </w:r>
      <w:r>
        <w:rPr>
          <w:vertAlign w:val="superscript"/>
        </w:rPr>
        <w:t xml:space="preserve">50</w:t>
      </w:r>
      <w:r>
        <w:t xml:space="preserve">. The test suite (Aqua quality checks and statistical tests) runs under GitHub Actions on Julia 1.10 and the latest release.</w:t>
      </w:r>
    </w:p>
    <w:bookmarkEnd w:id="33"/>
    <w:bookmarkEnd w:id="34"/>
    <w:bookmarkStart w:id="59" w:name="figure-legends"/>
    <w:p>
      <w:pPr>
        <w:pStyle w:val="Heading1"/>
      </w:pPr>
      <w:r>
        <w:t xml:space="preserve">Figure legends</w:t>
      </w:r>
    </w:p>
    <w:p>
      <w:pPr>
        <w:pStyle w:val="FirstParagraph"/>
      </w:pPr>
      <w:r>
        <w:drawing>
          <wp:inline>
            <wp:extent cx="5334000" cy="3452283"/>
            <wp:effectExtent b="0" l="0" r="0" t="0"/>
            <wp:docPr descr="" title="" id="36" name="Picture"/>
            <a:graphic>
              <a:graphicData uri="http://schemas.openxmlformats.org/drawingml/2006/picture">
                <pic:pic>
                  <pic:nvPicPr>
                    <pic:cNvPr descr="fig1_framework.png" id="37" name="Picture"/>
                    <pic:cNvPicPr>
                      <a:picLocks noChangeArrowheads="1" noChangeAspect="1"/>
                    </pic:cNvPicPr>
                  </pic:nvPicPr>
                  <pic:blipFill>
                    <a:blip r:embed="rId35"/>
                    <a:stretch>
                      <a:fillRect/>
                    </a:stretch>
                  </pic:blipFill>
                  <pic:spPr bwMode="auto">
                    <a:xfrm>
                      <a:off x="0" y="0"/>
                      <a:ext cx="5334000" cy="3452283"/>
                    </a:xfrm>
                    <a:prstGeom prst="rect">
                      <a:avLst/>
                    </a:prstGeom>
                    <a:noFill/>
                    <a:ln w="9525">
                      <a:noFill/>
                      <a:headEnd/>
                      <a:tailEnd/>
                    </a:ln>
                  </pic:spPr>
                </pic:pic>
              </a:graphicData>
            </a:graphic>
          </wp:inline>
        </w:drawing>
      </w:r>
    </w:p>
    <w:p>
      <w:pPr>
        <w:pStyle w:val="BodyText"/>
      </w:pPr>
      <w:r>
        <w:rPr>
          <w:b/>
          <w:bCs/>
        </w:rPr>
        <w:t xml:space="preserve">Fig. 1 | The Biomodelling.jl 2.0 framework.</w:t>
      </w:r>
      <w:r>
        <w:t xml:space="preserve"> </w:t>
      </w:r>
      <w:r>
        <w:rPr>
          <w:b/>
          <w:bCs/>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
          <w:bCs/>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
          <w:bCs/>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
          <w:bCs/>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
          <w:bCs/>
        </w:rPr>
        <w:t xml:space="preserve">e</w:t>
      </w:r>
      <w:r>
        <w:t xml:space="preserve">, A complete experiment in twelve lines of code.</w:t>
      </w:r>
    </w:p>
    <w:p>
      <w:pPr>
        <w:pStyle w:val="BodyText"/>
      </w:pPr>
      <w:r>
        <w:drawing>
          <wp:inline>
            <wp:extent cx="5334000" cy="3314828"/>
            <wp:effectExtent b="0" l="0" r="0" t="0"/>
            <wp:docPr descr="" title="" id="39" name="Picture"/>
            <a:graphic>
              <a:graphicData uri="http://schemas.openxmlformats.org/drawingml/2006/picture">
                <pic:pic>
                  <pic:nvPicPr>
                    <pic:cNvPr descr="fig2_engine.png" id="40" name="Picture"/>
                    <pic:cNvPicPr>
                      <a:picLocks noChangeArrowheads="1" noChangeAspect="1"/>
                    </pic:cNvPicPr>
                  </pic:nvPicPr>
                  <pic:blipFill>
                    <a:blip r:embed="rId38"/>
                    <a:stretch>
                      <a:fillRect/>
                    </a:stretch>
                  </pic:blipFill>
                  <pic:spPr bwMode="auto">
                    <a:xfrm>
                      <a:off x="0" y="0"/>
                      <a:ext cx="5334000" cy="3314828"/>
                    </a:xfrm>
                    <a:prstGeom prst="rect">
                      <a:avLst/>
                    </a:prstGeom>
                    <a:noFill/>
                    <a:ln w="9525">
                      <a:noFill/>
                      <a:headEnd/>
                      <a:tailEnd/>
                    </a:ln>
                  </pic:spPr>
                </pic:pic>
              </a:graphicData>
            </a:graphic>
          </wp:inline>
        </w:drawing>
      </w:r>
    </w:p>
    <w:p>
      <w:pPr>
        <w:pStyle w:val="BodyText"/>
      </w:pPr>
      <w:r>
        <w:rPr>
          <w:b/>
          <w:bCs/>
        </w:rPr>
        <w:t xml:space="preserve">Fig. 2 | The engine is exact and agrees with an independent implementation.</w:t>
      </w:r>
      <w:r>
        <w:t xml:space="preserve"> </w:t>
      </w:r>
      <w:r>
        <w:rPr>
          <w:b/>
          <w:bCs/>
        </w:rPr>
        <w:t xml:space="preserve">a</w:t>
      </w:r>
      <w:r>
        <w:t xml:space="preserve">, Stationary distribution of a birth-death process (bars, 50,000 simulated cells; line, Poisson law).</w:t>
      </w:r>
      <w:r>
        <w:t xml:space="preserve"> </w:t>
      </w:r>
      <w:r>
        <w:rPr>
          <w:b/>
          <w:bCs/>
        </w:rPr>
        <w:t xml:space="preserve">b</w:t>
      </w:r>
      <w:r>
        <w:t xml:space="preserve">, Telegraph model in an intermediate and a bursty regime against the Beta-Poisson law.</w:t>
      </w:r>
      <w:r>
        <w:t xml:space="preserve"> </w:t>
      </w:r>
      <w:r>
        <w:rPr>
          <w:b/>
          <w:bCs/>
        </w:rPr>
        <w:t xml:space="preserve">c</w:t>
      </w:r>
      <w:r>
        <w:t xml:space="preserve">, Bursty protein production against the negative binomial.</w:t>
      </w:r>
      <w:r>
        <w:t xml:space="preserve"> </w:t>
      </w:r>
      <w:r>
        <w:rPr>
          <w:b/>
          <w:bCs/>
        </w:rPr>
        <w:t xml:space="preserve">d</w:t>
      </w:r>
      <w:r>
        <w:t xml:space="preserve">, Kolmogorov-Smirnov distance to the exact law for every kernel (n = 20,000; dotted line, 99% critical value) with wall-clock time per 10⁴ cells.</w:t>
      </w:r>
      <w:r>
        <w:t xml:space="preserve"> </w:t>
      </w:r>
      <w:r>
        <w:rPr>
          <w:b/>
          <w:bCs/>
        </w:rPr>
        <w:t xml:space="preserve">e</w:t>
      </w:r>
      <w:r>
        <w:t xml:space="preserve">, Telegraph model simulated with Biomodelling.jl and with JumpProcesses.jl on the same model; the two-sample Kolmogorov-Smirnov statistic lies below its 99% critical value.</w:t>
      </w:r>
      <w:r>
        <w:t xml:space="preserve"> </w:t>
      </w:r>
      <w:r>
        <w:rPr>
          <w:b/>
          <w:bCs/>
        </w:rPr>
        <w:t xml:space="preserve">f</w:t>
      </w:r>
      <w:r>
        <w:t xml:space="preserve">, Runtime of population simulations against the number of cells (10 genes) and genes (1,000 cells) for the exact and hybrid kernels.</w:t>
      </w:r>
    </w:p>
    <w:p>
      <w:pPr>
        <w:pStyle w:val="BodyText"/>
      </w:pPr>
      <w:r>
        <w:drawing>
          <wp:inline>
            <wp:extent cx="5334000" cy="3956192"/>
            <wp:effectExtent b="0" l="0" r="0" t="0"/>
            <wp:docPr descr="" title="" id="42" name="Picture"/>
            <a:graphic>
              <a:graphicData uri="http://schemas.openxmlformats.org/drawingml/2006/picture">
                <pic:pic>
                  <pic:nvPicPr>
                    <pic:cNvPr descr="fig3_growth.png" id="43" name="Picture"/>
                    <pic:cNvPicPr>
                      <a:picLocks noChangeArrowheads="1" noChangeAspect="1"/>
                    </pic:cNvPicPr>
                  </pic:nvPicPr>
                  <pic:blipFill>
                    <a:blip r:embed="rId41"/>
                    <a:stretch>
                      <a:fillRect/>
                    </a:stretch>
                  </pic:blipFill>
                  <pic:spPr bwMode="auto">
                    <a:xfrm>
                      <a:off x="0" y="0"/>
                      <a:ext cx="5334000" cy="3956192"/>
                    </a:xfrm>
                    <a:prstGeom prst="rect">
                      <a:avLst/>
                    </a:prstGeom>
                    <a:noFill/>
                    <a:ln w="9525">
                      <a:noFill/>
                      <a:headEnd/>
                      <a:tailEnd/>
                    </a:ln>
                  </pic:spPr>
                </pic:pic>
              </a:graphicData>
            </a:graphic>
          </wp:inline>
        </w:drawing>
      </w:r>
    </w:p>
    <w:p>
      <w:pPr>
        <w:pStyle w:val="BodyText"/>
      </w:pPr>
      <w:r>
        <w:rPr>
          <w:b/>
          <w:bCs/>
        </w:rPr>
        <w:t xml:space="preserve">Fig. 3 | Growth, division and partitioning generate memory, size scaling and cell-cycle effects.</w:t>
      </w:r>
      <w:r>
        <w:t xml:space="preserve"> </w:t>
      </w:r>
      <w:r>
        <w:rPr>
          <w:b/>
          <w:bCs/>
        </w:rPr>
        <w:t xml:space="preserve">a</w:t>
      </w:r>
      <w:r>
        <w:t xml:space="preserve">, A single lineage: volume, mRNA and protein of a slowly switching gene, with the promoter-on state shaded.</w:t>
      </w:r>
      <w:r>
        <w:t xml:space="preserve"> </w:t>
      </w:r>
      <w:r>
        <w:rPr>
          <w:b/>
          <w:bCs/>
        </w:rPr>
        <w:t xml:space="preserve">b</w:t>
      </w:r>
      <w:r>
        <w:t xml:space="preserve">, mRNA count against cell volume for a fast-switching gene without replication (points; line, mean concentration × V) and with gene replication at mid-cycle (binned means).</w:t>
      </w:r>
      <w:r>
        <w:t xml:space="preserve"> </w:t>
      </w:r>
      <w:r>
        <w:rPr>
          <w:b/>
          <w:bCs/>
        </w:rPr>
        <w:t xml:space="preserve">c</w:t>
      </w:r>
      <w:r>
        <w:t xml:space="preserve">, Correlation of protein concentration at division between mothers and daughters, sisters and cousins as a function of the promoter switching rate; dotted line, inverse cell-cycle time.</w:t>
      </w:r>
      <w:r>
        <w:t xml:space="preserve"> </w:t>
      </w:r>
      <w:r>
        <w:rPr>
          <w:b/>
          <w:bCs/>
        </w:rPr>
        <w:t xml:space="preserve">d</w:t>
      </w:r>
      <w:r>
        <w:t xml:space="preserve">, Memory timescale against the measured cell-cycle time for two switching rates; dotted lines, 1/(k_on + k_off).</w:t>
      </w:r>
      <w:r>
        <w:t xml:space="preserve"> </w:t>
      </w:r>
      <w:r>
        <w:rPr>
          <w:b/>
          <w:bCs/>
        </w:rPr>
        <w:t xml:space="preserve">e</w:t>
      </w:r>
      <w:r>
        <w:t xml:space="preserve">, Squared coefficient of variation of a stable protein’s concentration across the population and along single lineages, for increasing partitioning noise and cell-cycle-time noise.</w:t>
      </w:r>
      <w:r>
        <w:t xml:space="preserve"> </w:t>
      </w:r>
      <w:r>
        <w:rPr>
          <w:b/>
          <w:bCs/>
        </w:rPr>
        <w:t xml:space="preserve">f</w:t>
      </w:r>
      <w:r>
        <w:t xml:space="preserve">, Telegraph parameters fitted to cells before replication (one gene copy), after replication (two copies) and pooled; dotted lines, per-allele values.</w:t>
      </w:r>
    </w:p>
    <w:p>
      <w:pPr>
        <w:pStyle w:val="BodyText"/>
      </w:pPr>
      <w:r>
        <w:drawing>
          <wp:inline>
            <wp:extent cx="5334000" cy="4868794"/>
            <wp:effectExtent b="0" l="0" r="0" t="0"/>
            <wp:docPr descr="" title="" id="45" name="Picture"/>
            <a:graphic>
              <a:graphicData uri="http://schemas.openxmlformats.org/drawingml/2006/picture">
                <pic:pic>
                  <pic:nvPicPr>
                    <pic:cNvPr descr="fig4_persisters.png" id="46" name="Picture"/>
                    <pic:cNvPicPr>
                      <a:picLocks noChangeArrowheads="1" noChangeAspect="1"/>
                    </pic:cNvPicPr>
                  </pic:nvPicPr>
                  <pic:blipFill>
                    <a:blip r:embed="rId44"/>
                    <a:stretch>
                      <a:fillRect/>
                    </a:stretch>
                  </pic:blipFill>
                  <pic:spPr bwMode="auto">
                    <a:xfrm>
                      <a:off x="0" y="0"/>
                      <a:ext cx="5334000" cy="4868794"/>
                    </a:xfrm>
                    <a:prstGeom prst="rect">
                      <a:avLst/>
                    </a:prstGeom>
                    <a:noFill/>
                    <a:ln w="9525">
                      <a:noFill/>
                      <a:headEnd/>
                      <a:tailEnd/>
                    </a:ln>
                  </pic:spPr>
                </pic:pic>
              </a:graphicData>
            </a:graphic>
          </wp:inline>
        </w:drawing>
      </w:r>
    </w:p>
    <w:p>
      <w:pPr>
        <w:pStyle w:val="BodyText"/>
      </w:pPr>
      <w:r>
        <w:rPr>
          <w:b/>
          <w:bCs/>
        </w:rPr>
        <w:t xml:space="preserve">Fig. 4 | A single resistance gene with slow promoter switching reproduces persister biology.</w:t>
      </w:r>
      <w:r>
        <w:t xml:space="preserve"> </w:t>
      </w:r>
      <w:r>
        <w:rPr>
          <w:b/>
          <w:bCs/>
        </w:rPr>
        <w:t xml:space="preserve">a</w:t>
      </w:r>
      <w:r>
        <w:t xml:space="preserve">, Population size under continuous, pulsed and reduced-dose schedules (shading, drug present).</w:t>
      </w:r>
      <w:r>
        <w:t xml:space="preserve"> </w:t>
      </w:r>
      <w:r>
        <w:rPr>
          <w:b/>
          <w:bCs/>
        </w:rPr>
        <w:t xml:space="preserve">b</w:t>
      </w:r>
      <w:r>
        <w:t xml:space="preserve">, Kill curves at increasing dose.</w:t>
      </w:r>
      <w:r>
        <w:t xml:space="preserve"> </w:t>
      </w:r>
      <w:r>
        <w:rPr>
          <w:b/>
          <w:bCs/>
        </w:rPr>
        <w:t xml:space="preserve">c</w:t>
      </w:r>
      <w:r>
        <w:t xml:space="preserve">, Net population decay rate over the first 30 time units of treatment against dose, with the mean division time of cells born under drug (inset), which is unchanged.</w:t>
      </w:r>
      <w:r>
        <w:t xml:space="preserve"> </w:t>
      </w:r>
      <w:r>
        <w:rPr>
          <w:b/>
          <w:bCs/>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
          <w:bCs/>
        </w:rPr>
        <w:t xml:space="preserve">e</w:t>
      </w:r>
      <w:r>
        <w:t xml:space="preserve">, Effective number of clones (barcodes) before and after drug for pre-existing and drug-induced tolerance (mean ± s.d. of three seeds).</w:t>
      </w:r>
      <w:r>
        <w:t xml:space="preserve"> </w:t>
      </w:r>
      <w:r>
        <w:rPr>
          <w:b/>
          <w:bCs/>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
          <w:bCs/>
        </w:rPr>
        <w:t xml:space="preserve">g</w:t>
      </w:r>
      <w:r>
        <w:t xml:space="preserve">, Fraction of high-expressing cells before, during and after a drug pulse for slow and fast switching.</w:t>
      </w:r>
      <w:r>
        <w:t xml:space="preserve"> </w:t>
      </w:r>
      <w:r>
        <w:rPr>
          <w:b/>
          <w:bCs/>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the box marks the most effective schedule.</w:t>
      </w:r>
    </w:p>
    <w:p>
      <w:pPr>
        <w:pStyle w:val="BodyText"/>
      </w:pPr>
      <w:r>
        <w:drawing>
          <wp:inline>
            <wp:extent cx="5334000" cy="3805927"/>
            <wp:effectExtent b="0" l="0" r="0" t="0"/>
            <wp:docPr descr="" title="" id="48" name="Picture"/>
            <a:graphic>
              <a:graphicData uri="http://schemas.openxmlformats.org/drawingml/2006/picture">
                <pic:pic>
                  <pic:nvPicPr>
                    <pic:cNvPr descr="fig5_benchmarks.png" id="49" name="Picture"/>
                    <pic:cNvPicPr>
                      <a:picLocks noChangeArrowheads="1" noChangeAspect="1"/>
                    </pic:cNvPicPr>
                  </pic:nvPicPr>
                  <pic:blipFill>
                    <a:blip r:embed="rId47"/>
                    <a:stretch>
                      <a:fillRect/>
                    </a:stretch>
                  </pic:blipFill>
                  <pic:spPr bwMode="auto">
                    <a:xfrm>
                      <a:off x="0" y="0"/>
                      <a:ext cx="5334000" cy="3805927"/>
                    </a:xfrm>
                    <a:prstGeom prst="rect">
                      <a:avLst/>
                    </a:prstGeom>
                    <a:noFill/>
                    <a:ln w="9525">
                      <a:noFill/>
                      <a:headEnd/>
                      <a:tailEnd/>
                    </a:ln>
                  </pic:spPr>
                </pic:pic>
              </a:graphicData>
            </a:graphic>
          </wp:inline>
        </w:drawing>
      </w:r>
    </w:p>
    <w:p>
      <w:pPr>
        <w:pStyle w:val="BodyText"/>
      </w:pPr>
      <w:r>
        <w:rPr>
          <w:b/>
          <w:bCs/>
        </w:rPr>
        <w:t xml:space="preserve">Fig. 5 | Ground-truth benchmarks.</w:t>
      </w:r>
      <w:r>
        <w:t xml:space="preserve"> </w:t>
      </w:r>
      <w:r>
        <w:rPr>
          <w:b/>
          <w:bCs/>
        </w:rPr>
        <w:t xml:space="preserve">a</w:t>
      </w:r>
      <w:r>
        <w:t xml:space="preserve">, Clonal variance score against the known memory time of 40 independent genes, from true concentrations and from sequenced counts; dotted line, cell-cycle time.</w:t>
      </w:r>
      <w:r>
        <w:t xml:space="preserve"> </w:t>
      </w:r>
      <w:r>
        <w:rPr>
          <w:b/>
          <w:bCs/>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
          <w:bCs/>
        </w:rPr>
        <w:t xml:space="preserve">c</w:t>
      </w:r>
      <w:r>
        <w:t xml:space="preserve">, Effect of kNN-smoothing and MAGIC imputation before inference.</w:t>
      </w:r>
      <w:r>
        <w:t xml:space="preserve"> </w:t>
      </w:r>
      <w:r>
        <w:rPr>
          <w:b/>
          <w:bCs/>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3406844"/>
            <wp:effectExtent b="0" l="0" r="0" t="0"/>
            <wp:docPr descr="" title="" id="51" name="Picture"/>
            <a:graphic>
              <a:graphicData uri="http://schemas.openxmlformats.org/drawingml/2006/picture">
                <pic:pic>
                  <pic:nvPicPr>
                    <pic:cNvPr descr="fig6_inference.png" id="52" name="Picture"/>
                    <pic:cNvPicPr>
                      <a:picLocks noChangeArrowheads="1" noChangeAspect="1"/>
                    </pic:cNvPicPr>
                  </pic:nvPicPr>
                  <pic:blipFill>
                    <a:blip r:embed="rId50"/>
                    <a:stretch>
                      <a:fillRect/>
                    </a:stretch>
                  </pic:blipFill>
                  <pic:spPr bwMode="auto">
                    <a:xfrm>
                      <a:off x="0" y="0"/>
                      <a:ext cx="5334000" cy="3406844"/>
                    </a:xfrm>
                    <a:prstGeom prst="rect">
                      <a:avLst/>
                    </a:prstGeom>
                    <a:noFill/>
                    <a:ln w="9525">
                      <a:noFill/>
                      <a:headEnd/>
                      <a:tailEnd/>
                    </a:ln>
                  </pic:spPr>
                </pic:pic>
              </a:graphicData>
            </a:graphic>
          </wp:inline>
        </w:drawing>
      </w:r>
    </w:p>
    <w:p>
      <w:pPr>
        <w:pStyle w:val="BodyText"/>
      </w:pPr>
      <w:r>
        <w:rPr>
          <w:b/>
          <w:bCs/>
        </w:rPr>
        <w:t xml:space="preserve">Fig. 6 | Inference with the forward model.</w:t>
      </w:r>
      <w:r>
        <w:t xml:space="preserve"> </w:t>
      </w:r>
      <w:r>
        <w:rPr>
          <w:b/>
          <w:bCs/>
        </w:rPr>
        <w:t xml:space="preserve">a</w:t>
      </w:r>
      <w:r>
        <w:t xml:space="preserve">, Posterior distributions of telegraph parameters from ABC-SMC on a snapshot of non-dividing cells, with the truth and the exact maximum-likelihood estimate.</w:t>
      </w:r>
      <w:r>
        <w:t xml:space="preserve"> </w:t>
      </w:r>
      <w:r>
        <w:rPr>
          <w:b/>
          <w:bCs/>
        </w:rPr>
        <w:t xml:space="preserve">b</w:t>
      </w:r>
      <w:r>
        <w:t xml:space="preserve">, The same for a snapshot of a growing and dividing population: the naive telegraph fit is biased while division-aware ABC recovers the truth.</w:t>
      </w:r>
      <w:r>
        <w:t xml:space="preserve"> </w:t>
      </w:r>
      <w:r>
        <w:rPr>
          <w:b/>
          <w:bCs/>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
          <w:bCs/>
        </w:rPr>
        <w:t xml:space="preserve">d</w:t>
      </w:r>
      <w:r>
        <w:t xml:space="preserve">, Posterior predictive kill curves simulated at the posterior median against the observed curve.</w:t>
      </w:r>
    </w:p>
    <w:p>
      <w:pPr>
        <w:pStyle w:val="BodyText"/>
      </w:pPr>
      <w:r>
        <w:drawing>
          <wp:inline>
            <wp:extent cx="5334000" cy="3715109"/>
            <wp:effectExtent b="0" l="0" r="0" t="0"/>
            <wp:docPr descr="" title="" id="54" name="Picture"/>
            <a:graphic>
              <a:graphicData uri="http://schemas.openxmlformats.org/drawingml/2006/picture">
                <pic:pic>
                  <pic:nvPicPr>
                    <pic:cNvPr descr="fig7_calibration.png" id="55" name="Picture"/>
                    <pic:cNvPicPr>
                      <a:picLocks noChangeArrowheads="1" noChangeAspect="1"/>
                    </pic:cNvPicPr>
                  </pic:nvPicPr>
                  <pic:blipFill>
                    <a:blip r:embed="rId53"/>
                    <a:stretch>
                      <a:fillRect/>
                    </a:stretch>
                  </pic:blipFill>
                  <pic:spPr bwMode="auto">
                    <a:xfrm>
                      <a:off x="0" y="0"/>
                      <a:ext cx="5334000" cy="3715109"/>
                    </a:xfrm>
                    <a:prstGeom prst="rect">
                      <a:avLst/>
                    </a:prstGeom>
                    <a:noFill/>
                    <a:ln w="9525">
                      <a:noFill/>
                      <a:headEnd/>
                      <a:tailEnd/>
                    </a:ln>
                  </pic:spPr>
                </pic:pic>
              </a:graphicData>
            </a:graphic>
          </wp:inline>
        </w:drawing>
      </w:r>
    </w:p>
    <w:p>
      <w:pPr>
        <w:pStyle w:val="BodyText"/>
      </w:pPr>
      <w:r>
        <w:rPr>
          <w:b/>
          <w:bCs/>
        </w:rPr>
        <w:t xml:space="preserve">Fig. 7 | Calibration to laboratory time-lapse data and validation on held-out conditions.</w:t>
      </w:r>
      <w:r>
        <w:t xml:space="preserve"> </w:t>
      </w:r>
      <w:r>
        <w:rPr>
          <w:b/>
          <w:bCs/>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
          <w:bCs/>
        </w:rPr>
        <w:t xml:space="preserve">b</w:t>
      </w:r>
      <w:r>
        <w:t xml:space="preserve">, Predicted population size at the three concentrations and at 11.5 µM, from two days before the drug to seven days of exposure.</w:t>
      </w:r>
      <w:r>
        <w:t xml:space="preserve"> </w:t>
      </w:r>
      <w:r>
        <w:rPr>
          <w:b/>
          <w:bCs/>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w:t>
      </w:r>
      <w:r>
        <w:t xml:space="preserve"> </w:t>
      </w:r>
      <w:r>
        <w:rPr>
          <w:b/>
          <w:bCs/>
        </w:rPr>
        <w:t xml:space="preserve">d</w:t>
      </w:r>
      <w:r>
        <w:t xml:space="preserve">, Mean time to death of cells present at drug addition, and mean division time where at least 20 cells born under drug divided, against concentration (mean ± s.d. of four seeds).</w:t>
      </w:r>
      <w:r>
        <w:t xml:space="preserve"> </w:t>
      </w:r>
      <w:r>
        <w:rPr>
          <w:b/>
          <w:bCs/>
        </w:rPr>
        <w:t xml:space="preserve">e</w:t>
      </w:r>
      <w:r>
        <w:t xml:space="preserve">, Calibration landscape: every parameter set evaluated by the optimiser, coloured by its distance to the training data.</w:t>
      </w:r>
      <w:r>
        <w:t xml:space="preserve"> </w:t>
      </w:r>
      <w:r>
        <w:rPr>
          <w:b/>
          <w:bCs/>
        </w:rPr>
        <w:t xml:space="preserve">f</w:t>
      </w:r>
      <w:r>
        <w:t xml:space="preserve">, Calibrated parameters.</w:t>
      </w:r>
    </w:p>
    <w:p>
      <w:pPr>
        <w:pStyle w:val="BodyText"/>
      </w:pPr>
      <w:r>
        <w:drawing>
          <wp:inline>
            <wp:extent cx="5334000" cy="5481448"/>
            <wp:effectExtent b="0" l="0" r="0" t="0"/>
            <wp:docPr descr="" title="" id="57" name="Picture"/>
            <a:graphic>
              <a:graphicData uri="http://schemas.openxmlformats.org/drawingml/2006/picture">
                <pic:pic>
                  <pic:nvPicPr>
                    <pic:cNvPr descr="fig8_schedules.png" id="58" name="Picture"/>
                    <pic:cNvPicPr>
                      <a:picLocks noChangeArrowheads="1" noChangeAspect="1"/>
                    </pic:cNvPicPr>
                  </pic:nvPicPr>
                  <pic:blipFill>
                    <a:blip r:embed="rId56"/>
                    <a:stretch>
                      <a:fillRect/>
                    </a:stretch>
                  </pic:blipFill>
                  <pic:spPr bwMode="auto">
                    <a:xfrm>
                      <a:off x="0" y="0"/>
                      <a:ext cx="5334000" cy="5481448"/>
                    </a:xfrm>
                    <a:prstGeom prst="rect">
                      <a:avLst/>
                    </a:prstGeom>
                    <a:noFill/>
                    <a:ln w="9525">
                      <a:noFill/>
                      <a:headEnd/>
                      <a:tailEnd/>
                    </a:ln>
                  </pic:spPr>
                </pic:pic>
              </a:graphicData>
            </a:graphic>
          </wp:inline>
        </w:drawing>
      </w:r>
    </w:p>
    <w:p>
      <w:pPr>
        <w:pStyle w:val="BodyText"/>
      </w:pPr>
      <w:r>
        <w:rPr>
          <w:b/>
          <w:bCs/>
        </w:rPr>
        <w:t xml:space="preserve">Fig. 8 | Dose and schedule optimisation against clinical regimens.</w:t>
      </w:r>
      <w:r>
        <w:t xml:space="preserve"> </w:t>
      </w:r>
      <w:r>
        <w:rPr>
          <w:b/>
          <w:bCs/>
        </w:rPr>
        <w:t xml:space="preserve">a</w:t>
      </w:r>
      <w:r>
        <w:t xml:space="preserve">–</w:t>
      </w:r>
      <w:r>
        <w:rPr>
          <w:b/>
          <w:bCs/>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
          <w:bCs/>
        </w:rPr>
        <w:t xml:space="preserve">a</w:t>
      </w:r>
      <w:r>
        <w:t xml:space="preserve">), when resistant cells grow 50% slower in the absence of drug (</w:t>
      </w:r>
      <w:r>
        <w:rPr>
          <w:b/>
          <w:bCs/>
        </w:rPr>
        <w:t xml:space="preserve">b</w:t>
      </w:r>
      <w:r>
        <w:t xml:space="preserve">), and when resistant cells are only partly protected and grow at half speed under drug (</w:t>
      </w:r>
      <w:r>
        <w:rPr>
          <w:b/>
          <w:bCs/>
        </w:rPr>
        <w:t xml:space="preserve">c</w:t>
      </w:r>
      <w:r>
        <w:t xml:space="preserve">); dotted line, 120% of the initial size.</w:t>
      </w:r>
      <w:r>
        <w:t xml:space="preserve"> </w:t>
      </w:r>
      <w:r>
        <w:rPr>
          <w:b/>
          <w:bCs/>
        </w:rPr>
        <w:t xml:space="preserve">d</w:t>
      </w:r>
      <w:r>
        <w:t xml:space="preserve">, Weeks after randomisation until the population exceeds 120% of its pre-treatment size (loss of control; mean ± s.d. of four seeds, censored at 52 weeks).</w:t>
      </w:r>
      <w:r>
        <w:t xml:space="preserve"> </w:t>
      </w:r>
      <w:r>
        <w:rPr>
          <w:b/>
          <w:bCs/>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
          <w:bCs/>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and consumption of MGMT by the drug, for populations in which 1% (methylated promoter, solid) or 30% (unmethylated, dashed) of cells express MGMT.</w:t>
      </w:r>
      <w:r>
        <w:t xml:space="preserve"> </w:t>
      </w:r>
      <w:r>
        <w:rPr>
          <w:b/>
          <w:bCs/>
        </w:rPr>
        <w:t xml:space="preserve">g</w:t>
      </w:r>
      <w:r>
        <w:t xml:space="preserve">, Depth of response over six cycles for the three regimens, the two populations and MGMT either stable or consumed by the drug (mean ± s.d. of two seeds).</w:t>
      </w:r>
      <w:r>
        <w:t xml:space="preserve"> </w:t>
      </w:r>
      <w:r>
        <w:rPr>
          <w:b/>
          <w:bCs/>
        </w:rPr>
        <w:t xml:space="preserve">h</w:t>
      </w:r>
      <w:r>
        <w:t xml:space="preserve">, Final population size against the number of dosing days per 28-day cycle at the standard cumulative dose.</w:t>
      </w:r>
    </w:p>
    <w:bookmarkEnd w:id="59"/>
    <w:bookmarkStart w:id="60"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25</w:t>
      </w:r>
      <w:r>
        <w:t xml:space="preserve">. This Article and version 2.0 of the software were authored with Claude (Anthropic), an AI assistant, under the direction and supervision of the author, who verified every result and takes full responsibility for the content.</w:t>
      </w:r>
    </w:p>
    <w:bookmarkEnd w:id="60"/>
    <w:bookmarkStart w:id="61"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results and wrote the final version of the manuscript. The implementation of the software, the simulations, the analyses, the figures and the first draft of the manuscript were produced with Claude (Anthropic) under the author’s direction.</w:t>
      </w:r>
    </w:p>
    <w:bookmarkEnd w:id="61"/>
    <w:bookmarkStart w:id="62" w:name="competing-interests"/>
    <w:p>
      <w:pPr>
        <w:pStyle w:val="Heading1"/>
      </w:pPr>
      <w:r>
        <w:t xml:space="preserve">Competing interests</w:t>
      </w:r>
    </w:p>
    <w:p>
      <w:pPr>
        <w:pStyle w:val="FirstParagraph"/>
      </w:pPr>
      <w:r>
        <w:t xml:space="preserve">The author declares no competing interests.</w:t>
      </w:r>
    </w:p>
    <w:bookmarkEnd w:id="62"/>
    <w:bookmarkStart w:id="63" w:name="additional-information"/>
    <w:p>
      <w:pPr>
        <w:pStyle w:val="Heading1"/>
      </w:pPr>
      <w:r>
        <w:t xml:space="preserve">Additional information</w:t>
      </w:r>
    </w:p>
    <w:p>
      <w:pPr>
        <w:pStyle w:val="FirstParagraph"/>
      </w:pPr>
      <w:r>
        <w:rPr>
          <w:b/>
          <w:bCs/>
        </w:rPr>
        <w:t xml:space="preserve">Supplementary information</w:t>
      </w:r>
      <w:r>
        <w:t xml:space="preserve"> </w:t>
      </w:r>
      <w:r>
        <w:t xml:space="preserve">accompanies this Article. Correspondence and requests for materials should be addressed to A.L.</w:t>
      </w:r>
    </w:p>
    <w:bookmarkEnd w:id="63"/>
    <w:bookmarkStart w:id="165" w:name="references"/>
    <w:p>
      <w:pPr>
        <w:pStyle w:val="Heading1"/>
      </w:pPr>
      <w:r>
        <w:t xml:space="preserve">References</w:t>
      </w:r>
    </w:p>
    <w:bookmarkStart w:id="164" w:name="refs"/>
    <w:bookmarkStart w:id="65" w:name="ref-sharma2010"/>
    <w:p>
      <w:pPr>
        <w:pStyle w:val="Bibliography"/>
      </w:pPr>
      <w:r>
        <w:t xml:space="preserve">1.</w:t>
      </w:r>
      <w:r>
        <w:t xml:space="preserve"> </w:t>
      </w:r>
      <w:r>
        <w:t xml:space="preserve">	</w:t>
      </w:r>
      <w:r>
        <w:t xml:space="preserve">Sharma, S. V.</w:t>
      </w:r>
      <w:r>
        <w:t xml:space="preserve"> </w:t>
      </w:r>
      <w:r>
        <w:rPr>
          <w:i/>
          <w:iCs/>
        </w:rPr>
        <w:t xml:space="preserve">et al.</w:t>
      </w:r>
      <w:r>
        <w:t xml:space="preserve"> </w:t>
      </w:r>
      <w:hyperlink r:id="rId64">
        <w:r>
          <w:rPr>
            <w:rStyle w:val="Hyperlink"/>
          </w:rPr>
          <w:t xml:space="preserve">A chromatin-mediated reversible drug-tolerant state in cancer cell subpopulations</w:t>
        </w:r>
      </w:hyperlink>
      <w:r>
        <w:t xml:space="preserve">.</w:t>
      </w:r>
      <w:r>
        <w:t xml:space="preserve"> </w:t>
      </w:r>
      <w:r>
        <w:rPr>
          <w:i/>
          <w:iCs/>
        </w:rPr>
        <w:t xml:space="preserve">Cell</w:t>
      </w:r>
      <w:r>
        <w:t xml:space="preserve"> </w:t>
      </w:r>
      <w:r>
        <w:rPr>
          <w:b/>
          <w:bCs/>
        </w:rPr>
        <w:t xml:space="preserve">141</w:t>
      </w:r>
      <w:r>
        <w:t xml:space="preserve">, 69–80 (2010).</w:t>
      </w:r>
    </w:p>
    <w:bookmarkEnd w:id="65"/>
    <w:bookmarkStart w:id="67" w:name="ref-shaffer2017"/>
    <w:p>
      <w:pPr>
        <w:pStyle w:val="Bibliography"/>
      </w:pPr>
      <w:r>
        <w:t xml:space="preserve">2.</w:t>
      </w:r>
      <w:r>
        <w:t xml:space="preserve"> </w:t>
      </w:r>
      <w:r>
        <w:t xml:space="preserve">	</w:t>
      </w:r>
      <w:r>
        <w:t xml:space="preserve">Shaffer, S. M.</w:t>
      </w:r>
      <w:r>
        <w:t xml:space="preserve"> </w:t>
      </w:r>
      <w:r>
        <w:rPr>
          <w:i/>
          <w:iCs/>
        </w:rPr>
        <w:t xml:space="preserve">et al.</w:t>
      </w:r>
      <w:r>
        <w:t xml:space="preserve"> </w:t>
      </w:r>
      <w:hyperlink r:id="rId66">
        <w:r>
          <w:rPr>
            <w:rStyle w:val="Hyperlink"/>
          </w:rPr>
          <w:t xml:space="preserve">Rare cell variability and drug-induced reprogramming as a mode of cancer drug resistance</w:t>
        </w:r>
      </w:hyperlink>
      <w:r>
        <w:t xml:space="preserve">.</w:t>
      </w:r>
      <w:r>
        <w:t xml:space="preserve"> </w:t>
      </w:r>
      <w:r>
        <w:rPr>
          <w:i/>
          <w:iCs/>
        </w:rPr>
        <w:t xml:space="preserve">Nature</w:t>
      </w:r>
      <w:r>
        <w:t xml:space="preserve"> </w:t>
      </w:r>
      <w:r>
        <w:rPr>
          <w:b/>
          <w:bCs/>
        </w:rPr>
        <w:t xml:space="preserve">546</w:t>
      </w:r>
      <w:r>
        <w:t xml:space="preserve">, 431–435 (2017).</w:t>
      </w:r>
    </w:p>
    <w:bookmarkEnd w:id="67"/>
    <w:bookmarkStart w:id="69" w:name="ref-hata2016"/>
    <w:p>
      <w:pPr>
        <w:pStyle w:val="Bibliography"/>
      </w:pPr>
      <w:r>
        <w:t xml:space="preserve">3.</w:t>
      </w:r>
      <w:r>
        <w:t xml:space="preserve"> </w:t>
      </w:r>
      <w:r>
        <w:t xml:space="preserve">	</w:t>
      </w:r>
      <w:r>
        <w:t xml:space="preserve">Hata, A. N.</w:t>
      </w:r>
      <w:r>
        <w:t xml:space="preserve"> </w:t>
      </w:r>
      <w:r>
        <w:rPr>
          <w:i/>
          <w:iCs/>
        </w:rPr>
        <w:t xml:space="preserve">et al.</w:t>
      </w:r>
      <w:r>
        <w:t xml:space="preserve"> </w:t>
      </w:r>
      <w:hyperlink r:id="rId68">
        <w:r>
          <w:rPr>
            <w:rStyle w:val="Hyperlink"/>
          </w:rPr>
          <w:t xml:space="preserve">Tumor cells can follow distinct evolutionary paths to become resistant to epidermal growth factor receptor inhibition</w:t>
        </w:r>
      </w:hyperlink>
      <w:r>
        <w:t xml:space="preserve">.</w:t>
      </w:r>
      <w:r>
        <w:t xml:space="preserve"> </w:t>
      </w:r>
      <w:r>
        <w:rPr>
          <w:i/>
          <w:iCs/>
        </w:rPr>
        <w:t xml:space="preserve">Nature Medicine</w:t>
      </w:r>
      <w:r>
        <w:t xml:space="preserve"> </w:t>
      </w:r>
      <w:r>
        <w:rPr>
          <w:b/>
          <w:bCs/>
        </w:rPr>
        <w:t xml:space="preserve">22</w:t>
      </w:r>
      <w:r>
        <w:t xml:space="preserve">, 262–269 (2016).</w:t>
      </w:r>
    </w:p>
    <w:bookmarkEnd w:id="69"/>
    <w:bookmarkStart w:id="71" w:name="ref-oren2021"/>
    <w:p>
      <w:pPr>
        <w:pStyle w:val="Bibliography"/>
      </w:pPr>
      <w:r>
        <w:t xml:space="preserve">4.</w:t>
      </w:r>
      <w:r>
        <w:t xml:space="preserve"> </w:t>
      </w:r>
      <w:r>
        <w:t xml:space="preserve">	</w:t>
      </w:r>
      <w:r>
        <w:t xml:space="preserve">Oren, Y.</w:t>
      </w:r>
      <w:r>
        <w:t xml:space="preserve"> </w:t>
      </w:r>
      <w:r>
        <w:rPr>
          <w:i/>
          <w:iCs/>
        </w:rPr>
        <w:t xml:space="preserve">et al.</w:t>
      </w:r>
      <w:r>
        <w:t xml:space="preserve"> </w:t>
      </w:r>
      <w:hyperlink r:id="rId70">
        <w:r>
          <w:rPr>
            <w:rStyle w:val="Hyperlink"/>
          </w:rPr>
          <w:t xml:space="preserve">Cycling cancer persister cells arise from lineages with distinct programs</w:t>
        </w:r>
      </w:hyperlink>
      <w:r>
        <w:t xml:space="preserve">.</w:t>
      </w:r>
      <w:r>
        <w:t xml:space="preserve"> </w:t>
      </w:r>
      <w:r>
        <w:rPr>
          <w:i/>
          <w:iCs/>
        </w:rPr>
        <w:t xml:space="preserve">Nature</w:t>
      </w:r>
      <w:r>
        <w:t xml:space="preserve"> </w:t>
      </w:r>
      <w:r>
        <w:rPr>
          <w:b/>
          <w:bCs/>
        </w:rPr>
        <w:t xml:space="preserve">596</w:t>
      </w:r>
      <w:r>
        <w:t xml:space="preserve">, 576–582 (2021).</w:t>
      </w:r>
    </w:p>
    <w:bookmarkEnd w:id="71"/>
    <w:bookmarkStart w:id="73" w:name="ref-franca2024"/>
    <w:p>
      <w:pPr>
        <w:pStyle w:val="Bibliography"/>
      </w:pPr>
      <w:r>
        <w:t xml:space="preserve">5.</w:t>
      </w:r>
      <w:r>
        <w:t xml:space="preserve"> </w:t>
      </w:r>
      <w:r>
        <w:t xml:space="preserve">	</w:t>
      </w:r>
      <w:r>
        <w:t xml:space="preserve">França, G. S.</w:t>
      </w:r>
      <w:r>
        <w:t xml:space="preserve"> </w:t>
      </w:r>
      <w:r>
        <w:rPr>
          <w:i/>
          <w:iCs/>
        </w:rPr>
        <w:t xml:space="preserve">et al.</w:t>
      </w:r>
      <w:r>
        <w:t xml:space="preserve"> </w:t>
      </w:r>
      <w:hyperlink r:id="rId72">
        <w:r>
          <w:rPr>
            <w:rStyle w:val="Hyperlink"/>
          </w:rPr>
          <w:t xml:space="preserve">Cellular adaptation to cancer therapy along a resistance continuum</w:t>
        </w:r>
      </w:hyperlink>
      <w:r>
        <w:t xml:space="preserve">.</w:t>
      </w:r>
      <w:r>
        <w:t xml:space="preserve"> </w:t>
      </w:r>
      <w:r>
        <w:rPr>
          <w:i/>
          <w:iCs/>
        </w:rPr>
        <w:t xml:space="preserve">Nature</w:t>
      </w:r>
      <w:r>
        <w:t xml:space="preserve"> </w:t>
      </w:r>
      <w:r>
        <w:rPr>
          <w:b/>
          <w:bCs/>
        </w:rPr>
        <w:t xml:space="preserve">631</w:t>
      </w:r>
      <w:r>
        <w:t xml:space="preserve">, 876–883 (2024).</w:t>
      </w:r>
    </w:p>
    <w:bookmarkEnd w:id="73"/>
    <w:bookmarkStart w:id="75" w:name="ref-iyer2025"/>
    <w:p>
      <w:pPr>
        <w:pStyle w:val="Bibliography"/>
      </w:pPr>
      <w:r>
        <w:t xml:space="preserve">6.</w:t>
      </w:r>
      <w:r>
        <w:t xml:space="preserve"> </w:t>
      </w:r>
      <w:r>
        <w:t xml:space="preserve">	</w:t>
      </w:r>
      <w:r>
        <w:t xml:space="preserve">Iyer, A., Alva, A., Granada, A. E. &amp; Chakrabarti, S.</w:t>
      </w:r>
      <w:r>
        <w:t xml:space="preserve"> </w:t>
      </w:r>
      <w:hyperlink r:id="rId74">
        <w:r>
          <w:rPr>
            <w:rStyle w:val="Hyperlink"/>
          </w:rPr>
          <w:t xml:space="preserve">Inheritable cell-states shape drug-persister correlations and population dynamics in cancer cells</w:t>
        </w:r>
      </w:hyperlink>
      <w:r>
        <w:t xml:space="preserve">.</w:t>
      </w:r>
      <w:r>
        <w:t xml:space="preserve"> </w:t>
      </w:r>
      <w:r>
        <w:rPr>
          <w:i/>
          <w:iCs/>
        </w:rPr>
        <w:t xml:space="preserve">PLoS Computational Biology</w:t>
      </w:r>
      <w:r>
        <w:t xml:space="preserve"> </w:t>
      </w:r>
      <w:r>
        <w:rPr>
          <w:b/>
          <w:bCs/>
        </w:rPr>
        <w:t xml:space="preserve">21</w:t>
      </w:r>
      <w:r>
        <w:t xml:space="preserve">, e1013446 (2025).</w:t>
      </w:r>
    </w:p>
    <w:bookmarkEnd w:id="75"/>
    <w:bookmarkStart w:id="77" w:name="ref-lin2025memory"/>
    <w:p>
      <w:pPr>
        <w:pStyle w:val="Bibliography"/>
      </w:pPr>
      <w:r>
        <w:t xml:space="preserve">7.</w:t>
      </w:r>
      <w:r>
        <w:t xml:space="preserve"> </w:t>
      </w:r>
      <w:r>
        <w:t xml:space="preserve">	</w:t>
      </w:r>
      <w:r>
        <w:t xml:space="preserve">Lin, Y., Chen, X., Wu, L., Zhou, Y. &amp; Lin, Y.</w:t>
      </w:r>
      <w:r>
        <w:t xml:space="preserve"> </w:t>
      </w:r>
      <w:hyperlink r:id="rId76">
        <w:r>
          <w:rPr>
            <w:rStyle w:val="Hyperlink"/>
          </w:rPr>
          <w:t xml:space="preserve">Widespread transcriptional memory shapes heritable states and functional heterogeneity in cancer and stem cells</w:t>
        </w:r>
      </w:hyperlink>
      <w:r>
        <w:t xml:space="preserve">.</w:t>
      </w:r>
      <w:r>
        <w:t xml:space="preserve"> </w:t>
      </w:r>
      <w:r>
        <w:rPr>
          <w:i/>
          <w:iCs/>
        </w:rPr>
        <w:t xml:space="preserve">Cell Systems</w:t>
      </w:r>
      <w:r>
        <w:t xml:space="preserve"> </w:t>
      </w:r>
      <w:r>
        <w:rPr>
          <w:b/>
          <w:bCs/>
        </w:rPr>
        <w:t xml:space="preserve">17</w:t>
      </w:r>
      <w:r>
        <w:t xml:space="preserve">, 101621 (2026).</w:t>
      </w:r>
    </w:p>
    <w:bookmarkEnd w:id="77"/>
    <w:bookmarkStart w:id="79"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w:t>
      </w:r>
      <w:hyperlink r:id="rId78">
        <w:r>
          <w:rPr>
            <w:rStyle w:val="Hyperlink"/>
          </w:rPr>
          <w:t xml:space="preserve">https://doi.org/10.1101/2025.01.15.633183</w:t>
        </w:r>
      </w:hyperlink>
      <w:r>
        <w:t xml:space="preserve"> </w:t>
      </w:r>
      <w:r>
        <w:t xml:space="preserve">(2025) doi:</w:t>
      </w:r>
      <w:hyperlink r:id="rId78">
        <w:r>
          <w:rPr>
            <w:rStyle w:val="Hyperlink"/>
          </w:rPr>
          <w:t xml:space="preserve">10.1101/2025.01.15.633183</w:t>
        </w:r>
      </w:hyperlink>
      <w:r>
        <w:t xml:space="preserve">.</w:t>
      </w:r>
    </w:p>
    <w:bookmarkEnd w:id="79"/>
    <w:bookmarkStart w:id="81" w:name="ref-harmange2023"/>
    <w:p>
      <w:pPr>
        <w:pStyle w:val="Bibliography"/>
      </w:pPr>
      <w:r>
        <w:t xml:space="preserve">9.</w:t>
      </w:r>
      <w:r>
        <w:t xml:space="preserve"> </w:t>
      </w:r>
      <w:r>
        <w:t xml:space="preserve">	</w:t>
      </w:r>
      <w:r>
        <w:t xml:space="preserve">Harmange, G.</w:t>
      </w:r>
      <w:r>
        <w:t xml:space="preserve"> </w:t>
      </w:r>
      <w:r>
        <w:rPr>
          <w:i/>
          <w:iCs/>
        </w:rPr>
        <w:t xml:space="preserve">et al.</w:t>
      </w:r>
      <w:r>
        <w:t xml:space="preserve"> </w:t>
      </w:r>
      <w:hyperlink r:id="rId80">
        <w:r>
          <w:rPr>
            <w:rStyle w:val="Hyperlink"/>
          </w:rPr>
          <w:t xml:space="preserve">Disrupting cellular memory to overcome drug resistance</w:t>
        </w:r>
      </w:hyperlink>
      <w:r>
        <w:t xml:space="preserve">.</w:t>
      </w:r>
      <w:r>
        <w:t xml:space="preserve"> </w:t>
      </w:r>
      <w:r>
        <w:rPr>
          <w:i/>
          <w:iCs/>
        </w:rPr>
        <w:t xml:space="preserve">Nature Communications</w:t>
      </w:r>
      <w:r>
        <w:t xml:space="preserve"> </w:t>
      </w:r>
      <w:r>
        <w:rPr>
          <w:b/>
          <w:bCs/>
        </w:rPr>
        <w:t xml:space="preserve">14</w:t>
      </w:r>
      <w:r>
        <w:t xml:space="preserve">, 7130 (2023).</w:t>
      </w:r>
    </w:p>
    <w:bookmarkEnd w:id="81"/>
    <w:bookmarkStart w:id="83" w:name="ref-sukys2025"/>
    <w:p>
      <w:pPr>
        <w:pStyle w:val="Bibliography"/>
      </w:pPr>
      <w:r>
        <w:t xml:space="preserve">10.</w:t>
      </w:r>
      <w:r>
        <w:t xml:space="preserve"> </w:t>
      </w:r>
      <w:r>
        <w:t xml:space="preserve">	</w:t>
      </w:r>
      <w:r>
        <w:t xml:space="preserve">Sukys, A. &amp; Grima, R.</w:t>
      </w:r>
      <w:r>
        <w:t xml:space="preserve"> </w:t>
      </w:r>
      <w:hyperlink r:id="rId82">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
          <w:iCs/>
        </w:rPr>
        <w:t xml:space="preserve">Nucleic Acids Research</w:t>
      </w:r>
      <w:r>
        <w:t xml:space="preserve"> </w:t>
      </w:r>
      <w:r>
        <w:rPr>
          <w:b/>
          <w:bCs/>
        </w:rPr>
        <w:t xml:space="preserve">53</w:t>
      </w:r>
      <w:r>
        <w:t xml:space="preserve">, gkaf295 (2025).</w:t>
      </w:r>
    </w:p>
    <w:bookmarkEnd w:id="83"/>
    <w:bookmarkStart w:id="85" w:name="ref-zhang2025"/>
    <w:p>
      <w:pPr>
        <w:pStyle w:val="Bibliography"/>
      </w:pPr>
      <w:r>
        <w:t xml:space="preserve">11.</w:t>
      </w:r>
      <w:r>
        <w:t xml:space="preserve"> </w:t>
      </w:r>
      <w:r>
        <w:t xml:space="preserve">	</w:t>
      </w:r>
      <w:r>
        <w:t xml:space="preserve">Zhang, Z.</w:t>
      </w:r>
      <w:r>
        <w:t xml:space="preserve"> </w:t>
      </w:r>
      <w:r>
        <w:rPr>
          <w:i/>
          <w:iCs/>
        </w:rPr>
        <w:t xml:space="preserve">et al.</w:t>
      </w:r>
      <w:r>
        <w:t xml:space="preserve"> </w:t>
      </w:r>
      <w:hyperlink r:id="rId84">
        <w:r>
          <w:rPr>
            <w:rStyle w:val="Hyperlink"/>
          </w:rPr>
          <w:t xml:space="preserve">Stochastic gene expression in proliferating cells: Differing noise intensity in single-cell and population perspectives</w:t>
        </w:r>
      </w:hyperlink>
      <w:r>
        <w:t xml:space="preserve">.</w:t>
      </w:r>
      <w:r>
        <w:t xml:space="preserve"> </w:t>
      </w:r>
      <w:r>
        <w:rPr>
          <w:i/>
          <w:iCs/>
        </w:rPr>
        <w:t xml:space="preserve">PLoS Computational Biology</w:t>
      </w:r>
      <w:r>
        <w:t xml:space="preserve"> </w:t>
      </w:r>
      <w:r>
        <w:rPr>
          <w:b/>
          <w:bCs/>
        </w:rPr>
        <w:t xml:space="preserve">21</w:t>
      </w:r>
      <w:r>
        <w:t xml:space="preserve">, e1013014 (2025).</w:t>
      </w:r>
    </w:p>
    <w:bookmarkEnd w:id="85"/>
    <w:bookmarkStart w:id="87"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
          <w:iCs/>
        </w:rPr>
        <w:t xml:space="preserve">bioRxiv</w:t>
      </w:r>
      <w:r>
        <w:t xml:space="preserve"> </w:t>
      </w:r>
      <w:hyperlink r:id="rId86">
        <w:r>
          <w:rPr>
            <w:rStyle w:val="Hyperlink"/>
          </w:rPr>
          <w:t xml:space="preserve">https://doi.org/10.64898/2026.04.14.718485</w:t>
        </w:r>
      </w:hyperlink>
      <w:r>
        <w:t xml:space="preserve"> </w:t>
      </w:r>
      <w:r>
        <w:t xml:space="preserve">(2026) doi:</w:t>
      </w:r>
      <w:hyperlink r:id="rId86">
        <w:r>
          <w:rPr>
            <w:rStyle w:val="Hyperlink"/>
          </w:rPr>
          <w:t xml:space="preserve">10.64898/2026.04.14.718485</w:t>
        </w:r>
      </w:hyperlink>
      <w:r>
        <w:t xml:space="preserve">.</w:t>
      </w:r>
    </w:p>
    <w:bookmarkEnd w:id="87"/>
    <w:bookmarkStart w:id="89" w:name="ref-ahlmanneltze2025"/>
    <w:p>
      <w:pPr>
        <w:pStyle w:val="Bibliography"/>
      </w:pPr>
      <w:r>
        <w:t xml:space="preserve">13.</w:t>
      </w:r>
      <w:r>
        <w:t xml:space="preserve"> </w:t>
      </w:r>
      <w:r>
        <w:t xml:space="preserve">	</w:t>
      </w:r>
      <w:r>
        <w:t xml:space="preserve">Ahlmann-Eltze, C., Huber, W. &amp; Anders, S.</w:t>
      </w:r>
      <w:r>
        <w:t xml:space="preserve"> </w:t>
      </w:r>
      <w:hyperlink r:id="rId88">
        <w:r>
          <w:rPr>
            <w:rStyle w:val="Hyperlink"/>
          </w:rPr>
          <w:t xml:space="preserve">Deep-learning-based gene perturbation effect prediction does not yet outperform simple linear baselines</w:t>
        </w:r>
      </w:hyperlink>
      <w:r>
        <w:t xml:space="preserve">.</w:t>
      </w:r>
      <w:r>
        <w:t xml:space="preserve"> </w:t>
      </w:r>
      <w:r>
        <w:rPr>
          <w:i/>
          <w:iCs/>
        </w:rPr>
        <w:t xml:space="preserve">Nature Methods</w:t>
      </w:r>
      <w:r>
        <w:t xml:space="preserve"> </w:t>
      </w:r>
      <w:r>
        <w:rPr>
          <w:b/>
          <w:bCs/>
        </w:rPr>
        <w:t xml:space="preserve">22</w:t>
      </w:r>
      <w:r>
        <w:t xml:space="preserve">, (2025).</w:t>
      </w:r>
    </w:p>
    <w:bookmarkEnd w:id="89"/>
    <w:bookmarkStart w:id="91"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
          <w:iCs/>
        </w:rPr>
        <w:t xml:space="preserve">bioRxiv</w:t>
      </w:r>
      <w:r>
        <w:t xml:space="preserve"> </w:t>
      </w:r>
      <w:hyperlink r:id="rId90">
        <w:r>
          <w:rPr>
            <w:rStyle w:val="Hyperlink"/>
          </w:rPr>
          <w:t xml:space="preserve">https://doi.org/10.64898/2026.04.20.719650</w:t>
        </w:r>
      </w:hyperlink>
      <w:r>
        <w:t xml:space="preserve"> </w:t>
      </w:r>
      <w:r>
        <w:t xml:space="preserve">(2026) doi:</w:t>
      </w:r>
      <w:hyperlink r:id="rId90">
        <w:r>
          <w:rPr>
            <w:rStyle w:val="Hyperlink"/>
          </w:rPr>
          <w:t xml:space="preserve">10.64898/2026.04.20.719650</w:t>
        </w:r>
      </w:hyperlink>
      <w:r>
        <w:t xml:space="preserve">.</w:t>
      </w:r>
    </w:p>
    <w:bookmarkEnd w:id="91"/>
    <w:bookmarkStart w:id="93" w:name="ref-dibaeinia2026context"/>
    <w:p>
      <w:pPr>
        <w:pStyle w:val="Bibliography"/>
      </w:pPr>
      <w:r>
        <w:t xml:space="preserve">15.</w:t>
      </w:r>
      <w:r>
        <w:t xml:space="preserve"> </w:t>
      </w:r>
      <w:r>
        <w:t xml:space="preserve">	</w:t>
      </w:r>
      <w:r>
        <w:t xml:space="preserve">Dibaeinia, P.</w:t>
      </w:r>
      <w:r>
        <w:t xml:space="preserve"> </w:t>
      </w:r>
      <w:r>
        <w:rPr>
          <w:i/>
          <w:iCs/>
        </w:rPr>
        <w:t xml:space="preserve">et al.</w:t>
      </w:r>
      <w:r>
        <w:t xml:space="preserve"> Virtual cells need context, not just scale.</w:t>
      </w:r>
      <w:r>
        <w:t xml:space="preserve"> </w:t>
      </w:r>
      <w:r>
        <w:rPr>
          <w:i/>
          <w:iCs/>
        </w:rPr>
        <w:t xml:space="preserve">bioRxiv</w:t>
      </w:r>
      <w:r>
        <w:t xml:space="preserve"> </w:t>
      </w:r>
      <w:hyperlink r:id="rId92">
        <w:r>
          <w:rPr>
            <w:rStyle w:val="Hyperlink"/>
          </w:rPr>
          <w:t xml:space="preserve">https://doi.org/10.64898/2026.02.04.703804</w:t>
        </w:r>
      </w:hyperlink>
      <w:r>
        <w:t xml:space="preserve"> </w:t>
      </w:r>
      <w:r>
        <w:t xml:space="preserve">(2026) doi:</w:t>
      </w:r>
      <w:hyperlink r:id="rId92">
        <w:r>
          <w:rPr>
            <w:rStyle w:val="Hyperlink"/>
          </w:rPr>
          <w:t xml:space="preserve">10.64898/2026.02.04.703804</w:t>
        </w:r>
      </w:hyperlink>
      <w:r>
        <w:t xml:space="preserve">.</w:t>
      </w:r>
    </w:p>
    <w:bookmarkEnd w:id="93"/>
    <w:bookmarkStart w:id="95" w:name="ref-bunne2024"/>
    <w:p>
      <w:pPr>
        <w:pStyle w:val="Bibliography"/>
      </w:pPr>
      <w:r>
        <w:t xml:space="preserve">16.</w:t>
      </w:r>
      <w:r>
        <w:t xml:space="preserve"> </w:t>
      </w:r>
      <w:r>
        <w:t xml:space="preserve">	</w:t>
      </w:r>
      <w:r>
        <w:t xml:space="preserve">Bunne, C.</w:t>
      </w:r>
      <w:r>
        <w:t xml:space="preserve"> </w:t>
      </w:r>
      <w:r>
        <w:rPr>
          <w:i/>
          <w:iCs/>
        </w:rPr>
        <w:t xml:space="preserve">et al.</w:t>
      </w:r>
      <w:r>
        <w:t xml:space="preserve"> </w:t>
      </w:r>
      <w:hyperlink r:id="rId94">
        <w:r>
          <w:rPr>
            <w:rStyle w:val="Hyperlink"/>
          </w:rPr>
          <w:t xml:space="preserve">How to build the virtual cell with artificial intelligence: Priorities and opportunities</w:t>
        </w:r>
      </w:hyperlink>
      <w:r>
        <w:t xml:space="preserve">.</w:t>
      </w:r>
      <w:r>
        <w:t xml:space="preserve"> </w:t>
      </w:r>
      <w:r>
        <w:rPr>
          <w:i/>
          <w:iCs/>
        </w:rPr>
        <w:t xml:space="preserve">Cell</w:t>
      </w:r>
      <w:r>
        <w:t xml:space="preserve"> </w:t>
      </w:r>
      <w:r>
        <w:rPr>
          <w:b/>
          <w:bCs/>
        </w:rPr>
        <w:t xml:space="preserve">187</w:t>
      </w:r>
      <w:r>
        <w:t xml:space="preserve">, 7045–7063 (2024).</w:t>
      </w:r>
    </w:p>
    <w:bookmarkEnd w:id="95"/>
    <w:bookmarkStart w:id="97" w:name="ref-dibaeinia2020"/>
    <w:p>
      <w:pPr>
        <w:pStyle w:val="Bibliography"/>
      </w:pPr>
      <w:r>
        <w:t xml:space="preserve">17.</w:t>
      </w:r>
      <w:r>
        <w:t xml:space="preserve"> </w:t>
      </w:r>
      <w:r>
        <w:t xml:space="preserve">	</w:t>
      </w:r>
      <w:r>
        <w:t xml:space="preserve">Dibaeinia, P. &amp; Sinha, S.</w:t>
      </w:r>
      <w:r>
        <w:t xml:space="preserve"> </w:t>
      </w:r>
      <w:hyperlink r:id="rId96">
        <w:r>
          <w:rPr>
            <w:rStyle w:val="Hyperlink"/>
          </w:rPr>
          <w:t xml:space="preserve">SERGIO</w:t>
        </w:r>
        <w:r>
          <w:rPr>
            <w:rStyle w:val="Hyperlink"/>
          </w:rPr>
          <w:t xml:space="preserve">: A single-cell expression simulator guided by gene regulatory networks</w:t>
        </w:r>
      </w:hyperlink>
      <w:r>
        <w:t xml:space="preserve">.</w:t>
      </w:r>
      <w:r>
        <w:t xml:space="preserve"> </w:t>
      </w:r>
      <w:r>
        <w:rPr>
          <w:i/>
          <w:iCs/>
        </w:rPr>
        <w:t xml:space="preserve">Cell Systems</w:t>
      </w:r>
      <w:r>
        <w:t xml:space="preserve"> </w:t>
      </w:r>
      <w:r>
        <w:rPr>
          <w:b/>
          <w:bCs/>
        </w:rPr>
        <w:t xml:space="preserve">11</w:t>
      </w:r>
      <w:r>
        <w:t xml:space="preserve">, 252–271 (2020).</w:t>
      </w:r>
    </w:p>
    <w:bookmarkEnd w:id="97"/>
    <w:bookmarkStart w:id="99" w:name="ref-cannoodt2021"/>
    <w:p>
      <w:pPr>
        <w:pStyle w:val="Bibliography"/>
      </w:pPr>
      <w:r>
        <w:t xml:space="preserve">18.</w:t>
      </w:r>
      <w:r>
        <w:t xml:space="preserve"> </w:t>
      </w:r>
      <w:r>
        <w:t xml:space="preserve">	</w:t>
      </w:r>
      <w:r>
        <w:t xml:space="preserve">Cannoodt, R., Saelens, W., Deconinck, L. &amp; Saeys, Y.</w:t>
      </w:r>
      <w:r>
        <w:t xml:space="preserve"> </w:t>
      </w:r>
      <w:hyperlink r:id="rId98">
        <w:r>
          <w:rPr>
            <w:rStyle w:val="Hyperlink"/>
          </w:rPr>
          <w:t xml:space="preserve">Spearheading future omics analyses using dyngen, a multi-modal simulator of single cells</w:t>
        </w:r>
      </w:hyperlink>
      <w:r>
        <w:t xml:space="preserve">.</w:t>
      </w:r>
      <w:r>
        <w:t xml:space="preserve"> </w:t>
      </w:r>
      <w:r>
        <w:rPr>
          <w:i/>
          <w:iCs/>
        </w:rPr>
        <w:t xml:space="preserve">Nature Communications</w:t>
      </w:r>
      <w:r>
        <w:t xml:space="preserve"> </w:t>
      </w:r>
      <w:r>
        <w:rPr>
          <w:b/>
          <w:bCs/>
        </w:rPr>
        <w:t xml:space="preserve">12</w:t>
      </w:r>
      <w:r>
        <w:t xml:space="preserve">, 3942 (2021).</w:t>
      </w:r>
    </w:p>
    <w:bookmarkEnd w:id="99"/>
    <w:bookmarkStart w:id="101" w:name="ref-li2025scmultisim"/>
    <w:p>
      <w:pPr>
        <w:pStyle w:val="Bibliography"/>
      </w:pPr>
      <w:r>
        <w:t xml:space="preserve">19.</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w:t>
      </w:r>
      <w:hyperlink r:id="rId100">
        <w:r>
          <w:rPr>
            <w:rStyle w:val="Hyperlink"/>
          </w:rPr>
          <w:t xml:space="preserve">https://doi.org/10.1038/s41592-025-02651-0</w:t>
        </w:r>
      </w:hyperlink>
      <w:r>
        <w:t xml:space="preserve"> </w:t>
      </w:r>
      <w:r>
        <w:t xml:space="preserve">(2025) doi:</w:t>
      </w:r>
      <w:hyperlink r:id="rId100">
        <w:r>
          <w:rPr>
            <w:rStyle w:val="Hyperlink"/>
          </w:rPr>
          <w:t xml:space="preserve">10.1038/s41592-025-02651-0</w:t>
        </w:r>
      </w:hyperlink>
      <w:r>
        <w:t xml:space="preserve">.</w:t>
      </w:r>
    </w:p>
    <w:bookmarkEnd w:id="101"/>
    <w:bookmarkStart w:id="103" w:name="ref-zinati2024groundgan"/>
    <w:p>
      <w:pPr>
        <w:pStyle w:val="Bibliography"/>
      </w:pPr>
      <w:r>
        <w:t xml:space="preserve">20.</w:t>
      </w:r>
      <w:r>
        <w:t xml:space="preserve"> </w:t>
      </w:r>
      <w:r>
        <w:t xml:space="preserve">	</w:t>
      </w:r>
      <w:r>
        <w:t xml:space="preserve">Zinati, Y., Takiddeen, A. &amp; Emad, A.</w:t>
      </w:r>
      <w:r>
        <w:t xml:space="preserve"> </w:t>
      </w:r>
      <w:hyperlink r:id="rId102">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
          <w:iCs/>
        </w:rPr>
        <w:t xml:space="preserve">Nature Communications</w:t>
      </w:r>
      <w:r>
        <w:t xml:space="preserve"> </w:t>
      </w:r>
      <w:r>
        <w:rPr>
          <w:b/>
          <w:bCs/>
        </w:rPr>
        <w:t xml:space="preserve">15</w:t>
      </w:r>
      <w:r>
        <w:t xml:space="preserve">, 4055 (2024).</w:t>
      </w:r>
    </w:p>
    <w:bookmarkEnd w:id="103"/>
    <w:bookmarkStart w:id="105" w:name="ref-pan2022tedsim"/>
    <w:p>
      <w:pPr>
        <w:pStyle w:val="Bibliography"/>
      </w:pPr>
      <w:r>
        <w:t xml:space="preserve">21.</w:t>
      </w:r>
      <w:r>
        <w:t xml:space="preserve"> </w:t>
      </w:r>
      <w:r>
        <w:t xml:space="preserve">	</w:t>
      </w:r>
      <w:r>
        <w:t xml:space="preserve">Pan, X., Li, H. &amp; Zhang, X.</w:t>
      </w:r>
      <w:r>
        <w:t xml:space="preserve"> </w:t>
      </w:r>
      <w:hyperlink r:id="rId104">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
          <w:iCs/>
        </w:rPr>
        <w:t xml:space="preserve">Nucleic Acids Research</w:t>
      </w:r>
      <w:r>
        <w:t xml:space="preserve"> </w:t>
      </w:r>
      <w:r>
        <w:rPr>
          <w:b/>
          <w:bCs/>
        </w:rPr>
        <w:t xml:space="preserve">50</w:t>
      </w:r>
      <w:r>
        <w:t xml:space="preserve">, 4272–4288 (2022).</w:t>
      </w:r>
    </w:p>
    <w:bookmarkEnd w:id="105"/>
    <w:bookmarkStart w:id="107" w:name="ref-pratapa2020"/>
    <w:p>
      <w:pPr>
        <w:pStyle w:val="Bibliography"/>
      </w:pPr>
      <w:r>
        <w:t xml:space="preserve">22.</w:t>
      </w:r>
      <w:r>
        <w:t xml:space="preserve"> </w:t>
      </w:r>
      <w:r>
        <w:t xml:space="preserve">	</w:t>
      </w:r>
      <w:r>
        <w:t xml:space="preserve">Pratapa, A., Jalihal, A. P., Law, J. N., Bharadwaj, A. &amp; Murali, T. M.</w:t>
      </w:r>
      <w:r>
        <w:t xml:space="preserve"> </w:t>
      </w:r>
      <w:hyperlink r:id="rId106">
        <w:r>
          <w:rPr>
            <w:rStyle w:val="Hyperlink"/>
          </w:rPr>
          <w:t xml:space="preserve">Benchmarking algorithms for gene regulatory network inference from single-cell transcriptomic data</w:t>
        </w:r>
      </w:hyperlink>
      <w:r>
        <w:t xml:space="preserve">.</w:t>
      </w:r>
      <w:r>
        <w:t xml:space="preserve"> </w:t>
      </w:r>
      <w:r>
        <w:rPr>
          <w:i/>
          <w:iCs/>
        </w:rPr>
        <w:t xml:space="preserve">Nature Methods</w:t>
      </w:r>
      <w:r>
        <w:t xml:space="preserve"> </w:t>
      </w:r>
      <w:r>
        <w:rPr>
          <w:b/>
          <w:bCs/>
        </w:rPr>
        <w:t xml:space="preserve">17</w:t>
      </w:r>
      <w:r>
        <w:t xml:space="preserve">, 147–154 (2020).</w:t>
      </w:r>
    </w:p>
    <w:bookmarkEnd w:id="107"/>
    <w:bookmarkStart w:id="109" w:name="ref-bertaux2018"/>
    <w:p>
      <w:pPr>
        <w:pStyle w:val="Bibliography"/>
      </w:pPr>
      <w:r>
        <w:t xml:space="preserve">23.</w:t>
      </w:r>
      <w:r>
        <w:t xml:space="preserve"> </w:t>
      </w:r>
      <w:r>
        <w:t xml:space="preserve">	</w:t>
      </w:r>
      <w:r>
        <w:t xml:space="preserve">Bertaux, F., Marguerat, S. &amp; Shahrezaei, V.</w:t>
      </w:r>
      <w:r>
        <w:t xml:space="preserve"> </w:t>
      </w:r>
      <w:hyperlink r:id="rId108">
        <w:r>
          <w:rPr>
            <w:rStyle w:val="Hyperlink"/>
          </w:rPr>
          <w:t xml:space="preserve">Division rate, cell size and proteome allocation: Impact on gene expression noise and implications for the dynamics of genetic circuits</w:t>
        </w:r>
      </w:hyperlink>
      <w:r>
        <w:t xml:space="preserve">.</w:t>
      </w:r>
      <w:r>
        <w:t xml:space="preserve"> </w:t>
      </w:r>
      <w:r>
        <w:rPr>
          <w:i/>
          <w:iCs/>
        </w:rPr>
        <w:t xml:space="preserve">Royal Society Open Science</w:t>
      </w:r>
      <w:r>
        <w:t xml:space="preserve"> </w:t>
      </w:r>
      <w:r>
        <w:rPr>
          <w:b/>
          <w:bCs/>
        </w:rPr>
        <w:t xml:space="preserve">5</w:t>
      </w:r>
      <w:r>
        <w:t xml:space="preserve">, 172234 (2018).</w:t>
      </w:r>
    </w:p>
    <w:bookmarkEnd w:id="109"/>
    <w:bookmarkStart w:id="111" w:name="ref-piho2025abm"/>
    <w:p>
      <w:pPr>
        <w:pStyle w:val="Bibliography"/>
      </w:pPr>
      <w:r>
        <w:t xml:space="preserve">24.</w:t>
      </w:r>
      <w:r>
        <w:t xml:space="preserve"> </w:t>
      </w:r>
      <w:r>
        <w:t xml:space="preserve">	</w:t>
      </w:r>
      <w:r>
        <w:t xml:space="preserve">Piho, P. &amp; Thomas, P.</w:t>
      </w:r>
      <w:r>
        <w:t xml:space="preserve"> </w:t>
      </w:r>
      <w:hyperlink r:id="rId110">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
          <w:iCs/>
        </w:rPr>
        <w:t xml:space="preserve">PLoS Computational Biology</w:t>
      </w:r>
      <w:r>
        <w:t xml:space="preserve"> </w:t>
      </w:r>
      <w:r>
        <w:rPr>
          <w:b/>
          <w:bCs/>
        </w:rPr>
        <w:t xml:space="preserve">22</w:t>
      </w:r>
      <w:r>
        <w:t xml:space="preserve">, e1014366 (2026).</w:t>
      </w:r>
    </w:p>
    <w:bookmarkEnd w:id="111"/>
    <w:bookmarkStart w:id="113" w:name="ref-lasri2022"/>
    <w:p>
      <w:pPr>
        <w:pStyle w:val="Bibliography"/>
      </w:pPr>
      <w:r>
        <w:t xml:space="preserve">25.</w:t>
      </w:r>
      <w:r>
        <w:t xml:space="preserve"> </w:t>
      </w:r>
      <w:r>
        <w:t xml:space="preserve">	</w:t>
      </w:r>
      <w:r>
        <w:t xml:space="preserve">Lasri, A., Shahrezaei, V. &amp; Sturrock, M.</w:t>
      </w:r>
      <w:r>
        <w:t xml:space="preserve"> </w:t>
      </w:r>
      <w:hyperlink r:id="rId112">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
          <w:iCs/>
        </w:rPr>
        <w:t xml:space="preserve">BMC Bioinformatics</w:t>
      </w:r>
      <w:r>
        <w:t xml:space="preserve"> </w:t>
      </w:r>
      <w:r>
        <w:rPr>
          <w:b/>
          <w:bCs/>
        </w:rPr>
        <w:t xml:space="preserve">23</w:t>
      </w:r>
      <w:r>
        <w:t xml:space="preserve">, 236 (2022).</w:t>
      </w:r>
    </w:p>
    <w:bookmarkEnd w:id="113"/>
    <w:bookmarkStart w:id="115" w:name="ref-jones2020cassiopeia"/>
    <w:p>
      <w:pPr>
        <w:pStyle w:val="Bibliography"/>
      </w:pPr>
      <w:r>
        <w:t xml:space="preserve">26.</w:t>
      </w:r>
      <w:r>
        <w:t xml:space="preserve"> </w:t>
      </w:r>
      <w:r>
        <w:t xml:space="preserve">	</w:t>
      </w:r>
      <w:r>
        <w:t xml:space="preserve">Jones, M. G.</w:t>
      </w:r>
      <w:r>
        <w:t xml:space="preserve"> </w:t>
      </w:r>
      <w:r>
        <w:rPr>
          <w:i/>
          <w:iCs/>
        </w:rPr>
        <w:t xml:space="preserve">et al.</w:t>
      </w:r>
      <w:r>
        <w:t xml:space="preserve"> </w:t>
      </w:r>
      <w:hyperlink r:id="rId114">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
          <w:iCs/>
        </w:rPr>
        <w:t xml:space="preserve">Genome Biology</w:t>
      </w:r>
      <w:r>
        <w:t xml:space="preserve"> </w:t>
      </w:r>
      <w:r>
        <w:rPr>
          <w:b/>
          <w:bCs/>
        </w:rPr>
        <w:t xml:space="preserve">21</w:t>
      </w:r>
      <w:r>
        <w:t xml:space="preserve">, 92 (2020).</w:t>
      </w:r>
    </w:p>
    <w:bookmarkEnd w:id="115"/>
    <w:bookmarkStart w:id="117" w:name="ref-peccoud1995"/>
    <w:p>
      <w:pPr>
        <w:pStyle w:val="Bibliography"/>
      </w:pPr>
      <w:r>
        <w:t xml:space="preserve">27.</w:t>
      </w:r>
      <w:r>
        <w:t xml:space="preserve"> </w:t>
      </w:r>
      <w:r>
        <w:t xml:space="preserve">	</w:t>
      </w:r>
      <w:r>
        <w:t xml:space="preserve">Peccoud, J. &amp; Ycart, B.</w:t>
      </w:r>
      <w:r>
        <w:t xml:space="preserve"> </w:t>
      </w:r>
      <w:hyperlink r:id="rId116">
        <w:r>
          <w:rPr>
            <w:rStyle w:val="Hyperlink"/>
          </w:rPr>
          <w:t xml:space="preserve">Markovian modeling of gene-product synthesis</w:t>
        </w:r>
      </w:hyperlink>
      <w:r>
        <w:t xml:space="preserve">.</w:t>
      </w:r>
      <w:r>
        <w:t xml:space="preserve"> </w:t>
      </w:r>
      <w:r>
        <w:rPr>
          <w:i/>
          <w:iCs/>
        </w:rPr>
        <w:t xml:space="preserve">Theoretical Population Biology</w:t>
      </w:r>
      <w:r>
        <w:t xml:space="preserve"> </w:t>
      </w:r>
      <w:r>
        <w:rPr>
          <w:b/>
          <w:bCs/>
        </w:rPr>
        <w:t xml:space="preserve">48</w:t>
      </w:r>
      <w:r>
        <w:t xml:space="preserve">, 222–234 (1995).</w:t>
      </w:r>
    </w:p>
    <w:bookmarkEnd w:id="117"/>
    <w:bookmarkStart w:id="119" w:name="ref-gunnarsson2020"/>
    <w:p>
      <w:pPr>
        <w:pStyle w:val="Bibliography"/>
      </w:pPr>
      <w:r>
        <w:t xml:space="preserve">28.</w:t>
      </w:r>
      <w:r>
        <w:t xml:space="preserve"> </w:t>
      </w:r>
      <w:r>
        <w:t xml:space="preserve">	</w:t>
      </w:r>
      <w:r>
        <w:t xml:space="preserve">Gunnarsson, E. B., De, S., Leder, K. &amp; Foo, J.</w:t>
      </w:r>
      <w:r>
        <w:t xml:space="preserve"> </w:t>
      </w:r>
      <w:hyperlink r:id="rId118">
        <w:r>
          <w:rPr>
            <w:rStyle w:val="Hyperlink"/>
          </w:rPr>
          <w:t xml:space="preserve">Understanding the role of phenotypic switching in cancer drug resistance</w:t>
        </w:r>
      </w:hyperlink>
      <w:r>
        <w:t xml:space="preserve">.</w:t>
      </w:r>
      <w:r>
        <w:t xml:space="preserve"> </w:t>
      </w:r>
      <w:r>
        <w:rPr>
          <w:i/>
          <w:iCs/>
        </w:rPr>
        <w:t xml:space="preserve">Journal of Theoretical Biology</w:t>
      </w:r>
      <w:r>
        <w:t xml:space="preserve"> </w:t>
      </w:r>
      <w:r>
        <w:rPr>
          <w:b/>
          <w:bCs/>
        </w:rPr>
        <w:t xml:space="preserve">490</w:t>
      </w:r>
      <w:r>
        <w:t xml:space="preserve">, 110162 (2020).</w:t>
      </w:r>
    </w:p>
    <w:bookmarkEnd w:id="119"/>
    <w:bookmarkStart w:id="121" w:name="ref-lasri2020"/>
    <w:p>
      <w:pPr>
        <w:pStyle w:val="Bibliography"/>
      </w:pPr>
      <w:r>
        <w:t xml:space="preserve">29.</w:t>
      </w:r>
      <w:r>
        <w:t xml:space="preserve"> </w:t>
      </w:r>
      <w:r>
        <w:t xml:space="preserve">	</w:t>
      </w:r>
      <w:r>
        <w:t xml:space="preserve">Lasri, A.</w:t>
      </w:r>
      <w:r>
        <w:t xml:space="preserve"> </w:t>
      </w:r>
      <w:r>
        <w:rPr>
          <w:i/>
          <w:iCs/>
        </w:rPr>
        <w:t xml:space="preserve">et al.</w:t>
      </w:r>
      <w:r>
        <w:t xml:space="preserve"> </w:t>
      </w:r>
      <w:hyperlink r:id="rId120">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
          <w:iCs/>
        </w:rPr>
        <w:t xml:space="preserve">Royal Society Open Science</w:t>
      </w:r>
      <w:r>
        <w:t xml:space="preserve"> </w:t>
      </w:r>
      <w:r>
        <w:rPr>
          <w:b/>
          <w:bCs/>
        </w:rPr>
        <w:t xml:space="preserve">7</w:t>
      </w:r>
      <w:r>
        <w:t xml:space="preserve">, 191243 (2020).</w:t>
      </w:r>
    </w:p>
    <w:bookmarkEnd w:id="121"/>
    <w:bookmarkStart w:id="123" w:name="ref-corigliano2025"/>
    <w:p>
      <w:pPr>
        <w:pStyle w:val="Bibliography"/>
      </w:pPr>
      <w:r>
        <w:t xml:space="preserve">30.</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
          <w:iCs/>
        </w:rPr>
        <w:t xml:space="preserve">PRX Life</w:t>
      </w:r>
      <w:r>
        <w:t xml:space="preserve"> </w:t>
      </w:r>
      <w:hyperlink r:id="rId122">
        <w:r>
          <w:rPr>
            <w:rStyle w:val="Hyperlink"/>
          </w:rPr>
          <w:t xml:space="preserve">https://doi.org/10.1103/mh5v-lcyw</w:t>
        </w:r>
      </w:hyperlink>
      <w:r>
        <w:t xml:space="preserve"> </w:t>
      </w:r>
      <w:r>
        <w:t xml:space="preserve">(2025) doi:</w:t>
      </w:r>
      <w:hyperlink r:id="rId122">
        <w:r>
          <w:rPr>
            <w:rStyle w:val="Hyperlink"/>
          </w:rPr>
          <w:t xml:space="preserve">10.1103/mh5v-lcyw</w:t>
        </w:r>
      </w:hyperlink>
      <w:r>
        <w:t xml:space="preserve">.</w:t>
      </w:r>
    </w:p>
    <w:bookmarkEnd w:id="123"/>
    <w:bookmarkStart w:id="125" w:name="ref-bernton2019"/>
    <w:p>
      <w:pPr>
        <w:pStyle w:val="Bibliography"/>
      </w:pPr>
      <w:r>
        <w:t xml:space="preserve">31.</w:t>
      </w:r>
      <w:r>
        <w:t xml:space="preserve"> </w:t>
      </w:r>
      <w:r>
        <w:t xml:space="preserve">	</w:t>
      </w:r>
      <w:r>
        <w:t xml:space="preserve">Bernton, E., Jacob, P. E., Gerber, M. &amp; Robert, C. P.</w:t>
      </w:r>
      <w:r>
        <w:t xml:space="preserve"> </w:t>
      </w:r>
      <w:hyperlink r:id="rId124">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
          <w:iCs/>
        </w:rPr>
        <w:t xml:space="preserve">Journal of the Royal Statistical Society: Series B</w:t>
      </w:r>
      <w:r>
        <w:t xml:space="preserve"> </w:t>
      </w:r>
      <w:r>
        <w:rPr>
          <w:b/>
          <w:bCs/>
        </w:rPr>
        <w:t xml:space="preserve">81</w:t>
      </w:r>
      <w:r>
        <w:t xml:space="preserve">, 235–269 (2019).</w:t>
      </w:r>
    </w:p>
    <w:bookmarkEnd w:id="125"/>
    <w:bookmarkStart w:id="127" w:name="ref-algazi2020"/>
    <w:p>
      <w:pPr>
        <w:pStyle w:val="Bibliography"/>
      </w:pPr>
      <w:r>
        <w:t xml:space="preserve">32.</w:t>
      </w:r>
      <w:r>
        <w:t xml:space="preserve"> </w:t>
      </w:r>
      <w:r>
        <w:t xml:space="preserve">	</w:t>
      </w:r>
      <w:r>
        <w:t xml:space="preserve">Algazi, A. P.</w:t>
      </w:r>
      <w:r>
        <w:t xml:space="preserve"> </w:t>
      </w:r>
      <w:r>
        <w:rPr>
          <w:i/>
          <w:iCs/>
        </w:rPr>
        <w:t xml:space="preserve">et al.</w:t>
      </w:r>
      <w:r>
        <w:t xml:space="preserve"> </w:t>
      </w:r>
      <w:hyperlink r:id="rId126">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
          <w:iCs/>
        </w:rPr>
        <w:t xml:space="preserve">Nature Medicine</w:t>
      </w:r>
      <w:r>
        <w:t xml:space="preserve"> </w:t>
      </w:r>
      <w:r>
        <w:rPr>
          <w:b/>
          <w:bCs/>
        </w:rPr>
        <w:t xml:space="preserve">26</w:t>
      </w:r>
      <w:r>
        <w:t xml:space="preserve">, 1564–1568 (2020).</w:t>
      </w:r>
    </w:p>
    <w:bookmarkEnd w:id="127"/>
    <w:bookmarkStart w:id="129" w:name="ref-zhang2017adaptive"/>
    <w:p>
      <w:pPr>
        <w:pStyle w:val="Bibliography"/>
      </w:pPr>
      <w:r>
        <w:t xml:space="preserve">33.</w:t>
      </w:r>
      <w:r>
        <w:t xml:space="preserve"> </w:t>
      </w:r>
      <w:r>
        <w:t xml:space="preserve">	</w:t>
      </w:r>
      <w:r>
        <w:t xml:space="preserve">Zhang, J., Cunningham, J. J., Brown, J. S. &amp; Gatenby, R. A.</w:t>
      </w:r>
      <w:r>
        <w:t xml:space="preserve"> </w:t>
      </w:r>
      <w:hyperlink r:id="rId128">
        <w:r>
          <w:rPr>
            <w:rStyle w:val="Hyperlink"/>
          </w:rPr>
          <w:t xml:space="preserve">Integrating evolutionary dynamics into treatment of metastatic castrate-resistant prostate cancer</w:t>
        </w:r>
      </w:hyperlink>
      <w:r>
        <w:t xml:space="preserve">.</w:t>
      </w:r>
      <w:r>
        <w:t xml:space="preserve"> </w:t>
      </w:r>
      <w:r>
        <w:rPr>
          <w:i/>
          <w:iCs/>
        </w:rPr>
        <w:t xml:space="preserve">Nature Communications</w:t>
      </w:r>
      <w:r>
        <w:t xml:space="preserve"> </w:t>
      </w:r>
      <w:r>
        <w:rPr>
          <w:b/>
          <w:bCs/>
        </w:rPr>
        <w:t xml:space="preserve">8</w:t>
      </w:r>
      <w:r>
        <w:t xml:space="preserve">, 1816 (2017).</w:t>
      </w:r>
    </w:p>
    <w:bookmarkEnd w:id="129"/>
    <w:bookmarkStart w:id="131" w:name="ref-dasthakur2013"/>
    <w:p>
      <w:pPr>
        <w:pStyle w:val="Bibliography"/>
      </w:pPr>
      <w:r>
        <w:t xml:space="preserve">34.</w:t>
      </w:r>
      <w:r>
        <w:t xml:space="preserve"> </w:t>
      </w:r>
      <w:r>
        <w:t xml:space="preserve">	</w:t>
      </w:r>
      <w:r>
        <w:t xml:space="preserve">Das Thakur, M. &amp; Stuart, D. D.</w:t>
      </w:r>
      <w:r>
        <w:t xml:space="preserve"> </w:t>
      </w:r>
      <w:hyperlink r:id="rId130">
        <w:r>
          <w:rPr>
            <w:rStyle w:val="Hyperlink"/>
          </w:rPr>
          <w:t xml:space="preserve">The evolution of melanoma resistance reveals therapeutic opportunities</w:t>
        </w:r>
      </w:hyperlink>
      <w:r>
        <w:t xml:space="preserve">.</w:t>
      </w:r>
      <w:r>
        <w:t xml:space="preserve"> </w:t>
      </w:r>
      <w:r>
        <w:rPr>
          <w:i/>
          <w:iCs/>
        </w:rPr>
        <w:t xml:space="preserve">Cancer Research</w:t>
      </w:r>
      <w:r>
        <w:t xml:space="preserve"> </w:t>
      </w:r>
      <w:r>
        <w:rPr>
          <w:b/>
          <w:bCs/>
        </w:rPr>
        <w:t xml:space="preserve">73</w:t>
      </w:r>
      <w:r>
        <w:t xml:space="preserve">, 6106–6110 (2013).</w:t>
      </w:r>
    </w:p>
    <w:bookmarkEnd w:id="131"/>
    <w:bookmarkStart w:id="133" w:name="ref-strobl2021"/>
    <w:p>
      <w:pPr>
        <w:pStyle w:val="Bibliography"/>
      </w:pPr>
      <w:r>
        <w:t xml:space="preserve">35.</w:t>
      </w:r>
      <w:r>
        <w:t xml:space="preserve"> </w:t>
      </w:r>
      <w:r>
        <w:t xml:space="preserve">	</w:t>
      </w:r>
      <w:r>
        <w:t xml:space="preserve">Strobl, M. A. R.</w:t>
      </w:r>
      <w:r>
        <w:t xml:space="preserve"> </w:t>
      </w:r>
      <w:r>
        <w:rPr>
          <w:i/>
          <w:iCs/>
        </w:rPr>
        <w:t xml:space="preserve">et al.</w:t>
      </w:r>
      <w:r>
        <w:t xml:space="preserve"> </w:t>
      </w:r>
      <w:hyperlink r:id="rId132">
        <w:r>
          <w:rPr>
            <w:rStyle w:val="Hyperlink"/>
          </w:rPr>
          <w:t xml:space="preserve">Turnover modulates the need for a cost of resistance in adaptive therapy</w:t>
        </w:r>
      </w:hyperlink>
      <w:r>
        <w:t xml:space="preserve">.</w:t>
      </w:r>
      <w:r>
        <w:t xml:space="preserve"> </w:t>
      </w:r>
      <w:r>
        <w:rPr>
          <w:i/>
          <w:iCs/>
        </w:rPr>
        <w:t xml:space="preserve">Cancer Research</w:t>
      </w:r>
      <w:r>
        <w:t xml:space="preserve"> </w:t>
      </w:r>
      <w:r>
        <w:rPr>
          <w:b/>
          <w:bCs/>
        </w:rPr>
        <w:t xml:space="preserve">81</w:t>
      </w:r>
      <w:r>
        <w:t xml:space="preserve">, 1135–1147 (2021).</w:t>
      </w:r>
    </w:p>
    <w:bookmarkEnd w:id="133"/>
    <w:bookmarkStart w:id="135" w:name="ref-gilbert2013"/>
    <w:p>
      <w:pPr>
        <w:pStyle w:val="Bibliography"/>
      </w:pPr>
      <w:r>
        <w:t xml:space="preserve">36.</w:t>
      </w:r>
      <w:r>
        <w:t xml:space="preserve"> </w:t>
      </w:r>
      <w:r>
        <w:t xml:space="preserve">	</w:t>
      </w:r>
      <w:r>
        <w:t xml:space="preserve">Gilbert, M. R.</w:t>
      </w:r>
      <w:r>
        <w:t xml:space="preserve"> </w:t>
      </w:r>
      <w:r>
        <w:rPr>
          <w:i/>
          <w:iCs/>
        </w:rPr>
        <w:t xml:space="preserve">et al.</w:t>
      </w:r>
      <w:r>
        <w:t xml:space="preserve"> </w:t>
      </w:r>
      <w:hyperlink r:id="rId134">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
          <w:iCs/>
        </w:rPr>
        <w:t xml:space="preserve">Journal of Clinical Oncology</w:t>
      </w:r>
      <w:r>
        <w:t xml:space="preserve"> </w:t>
      </w:r>
      <w:r>
        <w:rPr>
          <w:b/>
          <w:bCs/>
        </w:rPr>
        <w:t xml:space="preserve">31</w:t>
      </w:r>
      <w:r>
        <w:t xml:space="preserve">, 4085–4091 (2013).</w:t>
      </w:r>
    </w:p>
    <w:bookmarkEnd w:id="135"/>
    <w:bookmarkStart w:id="137" w:name="ref-ostermann2004"/>
    <w:p>
      <w:pPr>
        <w:pStyle w:val="Bibliography"/>
      </w:pPr>
      <w:r>
        <w:t xml:space="preserve">37.</w:t>
      </w:r>
      <w:r>
        <w:t xml:space="preserve"> </w:t>
      </w:r>
      <w:r>
        <w:t xml:space="preserve">	</w:t>
      </w:r>
      <w:r>
        <w:t xml:space="preserve">Ostermann, S.</w:t>
      </w:r>
      <w:r>
        <w:t xml:space="preserve"> </w:t>
      </w:r>
      <w:r>
        <w:rPr>
          <w:i/>
          <w:iCs/>
        </w:rPr>
        <w:t xml:space="preserve">et al.</w:t>
      </w:r>
      <w:r>
        <w:t xml:space="preserve"> </w:t>
      </w:r>
      <w:hyperlink r:id="rId136">
        <w:r>
          <w:rPr>
            <w:rStyle w:val="Hyperlink"/>
          </w:rPr>
          <w:t xml:space="preserve">Plasma and cerebrospinal fluid population pharmacokinetics of temozolomide in malignant glioma patients</w:t>
        </w:r>
      </w:hyperlink>
      <w:r>
        <w:t xml:space="preserve">.</w:t>
      </w:r>
      <w:r>
        <w:t xml:space="preserve"> </w:t>
      </w:r>
      <w:r>
        <w:rPr>
          <w:i/>
          <w:iCs/>
        </w:rPr>
        <w:t xml:space="preserve">Clinical Cancer Research</w:t>
      </w:r>
      <w:r>
        <w:t xml:space="preserve"> </w:t>
      </w:r>
      <w:r>
        <w:rPr>
          <w:b/>
          <w:bCs/>
        </w:rPr>
        <w:t xml:space="preserve">10</w:t>
      </w:r>
      <w:r>
        <w:t xml:space="preserve">, 3728–3736 (2004).</w:t>
      </w:r>
    </w:p>
    <w:bookmarkEnd w:id="137"/>
    <w:bookmarkStart w:id="139" w:name="ref-gillespie1977"/>
    <w:p>
      <w:pPr>
        <w:pStyle w:val="Bibliography"/>
      </w:pPr>
      <w:r>
        <w:t xml:space="preserve">38.</w:t>
      </w:r>
      <w:r>
        <w:t xml:space="preserve"> </w:t>
      </w:r>
      <w:r>
        <w:t xml:space="preserve">	</w:t>
      </w:r>
      <w:r>
        <w:t xml:space="preserve">Gillespie, D. T.</w:t>
      </w:r>
      <w:r>
        <w:t xml:space="preserve"> </w:t>
      </w:r>
      <w:hyperlink r:id="rId138">
        <w:r>
          <w:rPr>
            <w:rStyle w:val="Hyperlink"/>
          </w:rPr>
          <w:t xml:space="preserve">Exact stochastic simulation of coupled chemical reactions</w:t>
        </w:r>
      </w:hyperlink>
      <w:r>
        <w:t xml:space="preserve">.</w:t>
      </w:r>
      <w:r>
        <w:t xml:space="preserve"> </w:t>
      </w:r>
      <w:r>
        <w:rPr>
          <w:i/>
          <w:iCs/>
        </w:rPr>
        <w:t xml:space="preserve">The Journal of Physical Chemistry</w:t>
      </w:r>
      <w:r>
        <w:t xml:space="preserve"> </w:t>
      </w:r>
      <w:r>
        <w:rPr>
          <w:b/>
          <w:bCs/>
        </w:rPr>
        <w:t xml:space="preserve">81</w:t>
      </w:r>
      <w:r>
        <w:t xml:space="preserve">, 2340–2361 (1977).</w:t>
      </w:r>
    </w:p>
    <w:bookmarkEnd w:id="139"/>
    <w:bookmarkStart w:id="141" w:name="ref-gillespie2001"/>
    <w:p>
      <w:pPr>
        <w:pStyle w:val="Bibliography"/>
      </w:pPr>
      <w:r>
        <w:t xml:space="preserve">39.</w:t>
      </w:r>
      <w:r>
        <w:t xml:space="preserve"> </w:t>
      </w:r>
      <w:r>
        <w:t xml:space="preserve">	</w:t>
      </w:r>
      <w:r>
        <w:t xml:space="preserve">Gillespie, D. T.</w:t>
      </w:r>
      <w:r>
        <w:t xml:space="preserve"> </w:t>
      </w:r>
      <w:hyperlink r:id="rId140">
        <w:r>
          <w:rPr>
            <w:rStyle w:val="Hyperlink"/>
          </w:rPr>
          <w:t xml:space="preserve">Approximate accelerated stochastic simulation of chemically reacting systems</w:t>
        </w:r>
      </w:hyperlink>
      <w:r>
        <w:t xml:space="preserve">.</w:t>
      </w:r>
      <w:r>
        <w:t xml:space="preserve"> </w:t>
      </w:r>
      <w:r>
        <w:rPr>
          <w:i/>
          <w:iCs/>
        </w:rPr>
        <w:t xml:space="preserve">The Journal of Chemical Physics</w:t>
      </w:r>
      <w:r>
        <w:t xml:space="preserve"> </w:t>
      </w:r>
      <w:r>
        <w:rPr>
          <w:b/>
          <w:bCs/>
        </w:rPr>
        <w:t xml:space="preserve">115</w:t>
      </w:r>
      <w:r>
        <w:t xml:space="preserve">, 1716–1733 (2001).</w:t>
      </w:r>
    </w:p>
    <w:bookmarkEnd w:id="141"/>
    <w:bookmarkStart w:id="143" w:name="ref-cao2006"/>
    <w:p>
      <w:pPr>
        <w:pStyle w:val="Bibliography"/>
      </w:pPr>
      <w:r>
        <w:t xml:space="preserve">40.</w:t>
      </w:r>
      <w:r>
        <w:t xml:space="preserve"> </w:t>
      </w:r>
      <w:r>
        <w:t xml:space="preserve">	</w:t>
      </w:r>
      <w:r>
        <w:t xml:space="preserve">Cao, Y., Gillespie, D. T. &amp; Petzold, L. R.</w:t>
      </w:r>
      <w:r>
        <w:t xml:space="preserve"> </w:t>
      </w:r>
      <w:hyperlink r:id="rId142">
        <w:r>
          <w:rPr>
            <w:rStyle w:val="Hyperlink"/>
          </w:rPr>
          <w:t xml:space="preserve">Efficient step size selection for the tau-leaping simulation method</w:t>
        </w:r>
      </w:hyperlink>
      <w:r>
        <w:t xml:space="preserve">.</w:t>
      </w:r>
      <w:r>
        <w:t xml:space="preserve"> </w:t>
      </w:r>
      <w:r>
        <w:rPr>
          <w:i/>
          <w:iCs/>
        </w:rPr>
        <w:t xml:space="preserve">The Journal of Chemical Physics</w:t>
      </w:r>
      <w:r>
        <w:t xml:space="preserve"> </w:t>
      </w:r>
      <w:r>
        <w:rPr>
          <w:b/>
          <w:bCs/>
        </w:rPr>
        <w:t xml:space="preserve">124</w:t>
      </w:r>
      <w:r>
        <w:t xml:space="preserve">, 044109 (2006).</w:t>
      </w:r>
    </w:p>
    <w:bookmarkEnd w:id="143"/>
    <w:bookmarkStart w:id="145" w:name="ref-cao2005"/>
    <w:p>
      <w:pPr>
        <w:pStyle w:val="Bibliography"/>
      </w:pPr>
      <w:r>
        <w:t xml:space="preserve">41.</w:t>
      </w:r>
      <w:r>
        <w:t xml:space="preserve"> </w:t>
      </w:r>
      <w:r>
        <w:t xml:space="preserve">	</w:t>
      </w:r>
      <w:r>
        <w:t xml:space="preserve">Cao, Y., Gillespie, D. T. &amp; Petzold, L. R.</w:t>
      </w:r>
      <w:r>
        <w:t xml:space="preserve"> </w:t>
      </w:r>
      <w:hyperlink r:id="rId144">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
          <w:iCs/>
        </w:rPr>
        <w:t xml:space="preserve">The Journal of Chemical Physics</w:t>
      </w:r>
      <w:r>
        <w:t xml:space="preserve"> </w:t>
      </w:r>
      <w:r>
        <w:rPr>
          <w:b/>
          <w:bCs/>
        </w:rPr>
        <w:t xml:space="preserve">123</w:t>
      </w:r>
      <w:r>
        <w:t xml:space="preserve">, 054104 (2005).</w:t>
      </w:r>
    </w:p>
    <w:bookmarkEnd w:id="145"/>
    <w:bookmarkStart w:id="147" w:name="ref-shaffer2020"/>
    <w:p>
      <w:pPr>
        <w:pStyle w:val="Bibliography"/>
      </w:pPr>
      <w:r>
        <w:t xml:space="preserve">42.</w:t>
      </w:r>
      <w:r>
        <w:t xml:space="preserve"> </w:t>
      </w:r>
      <w:r>
        <w:t xml:space="preserve">	</w:t>
      </w:r>
      <w:r>
        <w:t xml:space="preserve">Shaffer, S. M.</w:t>
      </w:r>
      <w:r>
        <w:t xml:space="preserve"> </w:t>
      </w:r>
      <w:r>
        <w:rPr>
          <w:i/>
          <w:iCs/>
        </w:rPr>
        <w:t xml:space="preserve">et al.</w:t>
      </w:r>
      <w:r>
        <w:t xml:space="preserve"> </w:t>
      </w:r>
      <w:hyperlink r:id="rId146">
        <w:r>
          <w:rPr>
            <w:rStyle w:val="Hyperlink"/>
          </w:rPr>
          <w:t xml:space="preserve">Memory sequencing reveals heritable single-cell gene expression programs associated with distinct cellular behaviors</w:t>
        </w:r>
      </w:hyperlink>
      <w:r>
        <w:t xml:space="preserve">.</w:t>
      </w:r>
      <w:r>
        <w:t xml:space="preserve"> </w:t>
      </w:r>
      <w:r>
        <w:rPr>
          <w:i/>
          <w:iCs/>
        </w:rPr>
        <w:t xml:space="preserve">Cell</w:t>
      </w:r>
      <w:r>
        <w:t xml:space="preserve"> </w:t>
      </w:r>
      <w:r>
        <w:rPr>
          <w:b/>
          <w:bCs/>
        </w:rPr>
        <w:t xml:space="preserve">182</w:t>
      </w:r>
      <w:r>
        <w:t xml:space="preserve">, 947–959 (2020).</w:t>
      </w:r>
    </w:p>
    <w:bookmarkEnd w:id="147"/>
    <w:bookmarkStart w:id="149" w:name="ref-toni2009"/>
    <w:p>
      <w:pPr>
        <w:pStyle w:val="Bibliography"/>
      </w:pPr>
      <w:r>
        <w:t xml:space="preserve">43.</w:t>
      </w:r>
      <w:r>
        <w:t xml:space="preserve"> </w:t>
      </w:r>
      <w:r>
        <w:t xml:space="preserve">	</w:t>
      </w:r>
      <w:r>
        <w:t xml:space="preserve">Toni, T., Welch, D., Strelkowa, N., Ipsen, A. &amp; Stumpf, M. P. H.</w:t>
      </w:r>
      <w:r>
        <w:t xml:space="preserve"> </w:t>
      </w:r>
      <w:hyperlink r:id="rId148">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
          <w:iCs/>
        </w:rPr>
        <w:t xml:space="preserve">Journal of the Royal Society Interface</w:t>
      </w:r>
      <w:r>
        <w:t xml:space="preserve"> </w:t>
      </w:r>
      <w:r>
        <w:rPr>
          <w:b/>
          <w:bCs/>
        </w:rPr>
        <w:t xml:space="preserve">6</w:t>
      </w:r>
      <w:r>
        <w:t xml:space="preserve">, 187–202 (2009).</w:t>
      </w:r>
    </w:p>
    <w:bookmarkEnd w:id="149"/>
    <w:bookmarkStart w:id="151" w:name="ref-friedman2006"/>
    <w:p>
      <w:pPr>
        <w:pStyle w:val="Bibliography"/>
      </w:pPr>
      <w:r>
        <w:t xml:space="preserve">44.</w:t>
      </w:r>
      <w:r>
        <w:t xml:space="preserve"> </w:t>
      </w:r>
      <w:r>
        <w:t xml:space="preserve">	</w:t>
      </w:r>
      <w:r>
        <w:t xml:space="preserve">Friedman, N., Cai, L. &amp; Xie, X. S.</w:t>
      </w:r>
      <w:r>
        <w:t xml:space="preserve"> </w:t>
      </w:r>
      <w:hyperlink r:id="rId150">
        <w:r>
          <w:rPr>
            <w:rStyle w:val="Hyperlink"/>
          </w:rPr>
          <w:t xml:space="preserve">Linking stochastic dynamics to population distribution: An analytical framework of gene expression</w:t>
        </w:r>
      </w:hyperlink>
      <w:r>
        <w:t xml:space="preserve">.</w:t>
      </w:r>
      <w:r>
        <w:t xml:space="preserve"> </w:t>
      </w:r>
      <w:r>
        <w:rPr>
          <w:i/>
          <w:iCs/>
        </w:rPr>
        <w:t xml:space="preserve">Physical Review Letters</w:t>
      </w:r>
      <w:r>
        <w:t xml:space="preserve"> </w:t>
      </w:r>
      <w:r>
        <w:rPr>
          <w:b/>
          <w:bCs/>
        </w:rPr>
        <w:t xml:space="preserve">97</w:t>
      </w:r>
      <w:r>
        <w:t xml:space="preserve">, 168302 (2006).</w:t>
      </w:r>
    </w:p>
    <w:bookmarkEnd w:id="151"/>
    <w:bookmarkStart w:id="153" w:name="ref-shahrezaei2008"/>
    <w:p>
      <w:pPr>
        <w:pStyle w:val="Bibliography"/>
      </w:pPr>
      <w:r>
        <w:t xml:space="preserve">45.</w:t>
      </w:r>
      <w:r>
        <w:t xml:space="preserve"> </w:t>
      </w:r>
      <w:r>
        <w:t xml:space="preserve">	</w:t>
      </w:r>
      <w:r>
        <w:t xml:space="preserve">Shahrezaei, V. &amp; Swain, P. S.</w:t>
      </w:r>
      <w:r>
        <w:t xml:space="preserve"> </w:t>
      </w:r>
      <w:hyperlink r:id="rId152">
        <w:r>
          <w:rPr>
            <w:rStyle w:val="Hyperlink"/>
          </w:rPr>
          <w:t xml:space="preserve">Analytical distributions for stochastic gene expression</w:t>
        </w:r>
      </w:hyperlink>
      <w:r>
        <w:t xml:space="preserve">.</w:t>
      </w:r>
      <w:r>
        <w:t xml:space="preserve"> </w:t>
      </w:r>
      <w:r>
        <w:rPr>
          <w:i/>
          <w:iCs/>
        </w:rPr>
        <w:t xml:space="preserve">Proceedings of the National Academy of Sciences</w:t>
      </w:r>
      <w:r>
        <w:t xml:space="preserve"> </w:t>
      </w:r>
      <w:r>
        <w:rPr>
          <w:b/>
          <w:bCs/>
        </w:rPr>
        <w:t xml:space="preserve">105</w:t>
      </w:r>
      <w:r>
        <w:t xml:space="preserve">, 17256–17261 (2008).</w:t>
      </w:r>
    </w:p>
    <w:bookmarkEnd w:id="153"/>
    <w:bookmarkStart w:id="155" w:name="ref-sciml"/>
    <w:p>
      <w:pPr>
        <w:pStyle w:val="Bibliography"/>
      </w:pPr>
      <w:r>
        <w:t xml:space="preserve">46.</w:t>
      </w:r>
      <w:r>
        <w:t xml:space="preserve"> </w:t>
      </w:r>
      <w:r>
        <w:t xml:space="preserve">	</w:t>
      </w:r>
      <w:r>
        <w:t xml:space="preserve">Rackauckas, C. &amp; Nie, Q.</w:t>
      </w:r>
      <w:r>
        <w:t xml:space="preserve"> </w:t>
      </w:r>
      <w:hyperlink r:id="rId154">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
          <w:iCs/>
        </w:rPr>
        <w:t xml:space="preserve">Journal of Open Research Software</w:t>
      </w:r>
      <w:r>
        <w:t xml:space="preserve"> </w:t>
      </w:r>
      <w:r>
        <w:t xml:space="preserve">vol. 5 15 (2017).</w:t>
      </w:r>
    </w:p>
    <w:bookmarkEnd w:id="155"/>
    <w:bookmarkStart w:id="157" w:name="ref-huh2011"/>
    <w:p>
      <w:pPr>
        <w:pStyle w:val="Bibliography"/>
      </w:pPr>
      <w:r>
        <w:t xml:space="preserve">47.</w:t>
      </w:r>
      <w:r>
        <w:t xml:space="preserve"> </w:t>
      </w:r>
      <w:r>
        <w:t xml:space="preserve">	</w:t>
      </w:r>
      <w:r>
        <w:t xml:space="preserve">Huh, D. &amp; Paulsson, J.</w:t>
      </w:r>
      <w:r>
        <w:t xml:space="preserve"> </w:t>
      </w:r>
      <w:hyperlink r:id="rId156">
        <w:r>
          <w:rPr>
            <w:rStyle w:val="Hyperlink"/>
          </w:rPr>
          <w:t xml:space="preserve">Non-genetic heterogeneity from stochastic partitioning at cell division</w:t>
        </w:r>
      </w:hyperlink>
      <w:r>
        <w:t xml:space="preserve">.</w:t>
      </w:r>
      <w:r>
        <w:t xml:space="preserve"> </w:t>
      </w:r>
      <w:r>
        <w:rPr>
          <w:i/>
          <w:iCs/>
        </w:rPr>
        <w:t xml:space="preserve">Nature Genetics</w:t>
      </w:r>
      <w:r>
        <w:t xml:space="preserve"> </w:t>
      </w:r>
      <w:r>
        <w:rPr>
          <w:b/>
          <w:bCs/>
        </w:rPr>
        <w:t xml:space="preserve">43</w:t>
      </w:r>
      <w:r>
        <w:t xml:space="preserve">, 95–100 (2011).</w:t>
      </w:r>
    </w:p>
    <w:bookmarkEnd w:id="157"/>
    <w:bookmarkStart w:id="159" w:name="ref-huynhthu2010"/>
    <w:p>
      <w:pPr>
        <w:pStyle w:val="Bibliography"/>
      </w:pPr>
      <w:r>
        <w:t xml:space="preserve">48.</w:t>
      </w:r>
      <w:r>
        <w:t xml:space="preserve"> </w:t>
      </w:r>
      <w:r>
        <w:t xml:space="preserve">	</w:t>
      </w:r>
      <w:r>
        <w:t xml:space="preserve">Huynh-Thu, V. A., Irrthum, A., Wehenkel, L. &amp; Geurts, P.</w:t>
      </w:r>
      <w:r>
        <w:t xml:space="preserve"> </w:t>
      </w:r>
      <w:hyperlink r:id="rId158">
        <w:r>
          <w:rPr>
            <w:rStyle w:val="Hyperlink"/>
          </w:rPr>
          <w:t xml:space="preserve">Inferring regulatory networks from expression data using tree-based methods</w:t>
        </w:r>
      </w:hyperlink>
      <w:r>
        <w:t xml:space="preserve">.</w:t>
      </w:r>
      <w:r>
        <w:t xml:space="preserve"> </w:t>
      </w:r>
      <w:r>
        <w:rPr>
          <w:i/>
          <w:iCs/>
        </w:rPr>
        <w:t xml:space="preserve">PLoS ONE</w:t>
      </w:r>
      <w:r>
        <w:t xml:space="preserve"> </w:t>
      </w:r>
      <w:r>
        <w:rPr>
          <w:b/>
          <w:bCs/>
        </w:rPr>
        <w:t xml:space="preserve">5</w:t>
      </w:r>
      <w:r>
        <w:t xml:space="preserve">, e12776 (2010).</w:t>
      </w:r>
    </w:p>
    <w:bookmarkEnd w:id="159"/>
    <w:bookmarkStart w:id="161" w:name="ref-vandijk2018"/>
    <w:p>
      <w:pPr>
        <w:pStyle w:val="Bibliography"/>
      </w:pPr>
      <w:r>
        <w:t xml:space="preserve">49.</w:t>
      </w:r>
      <w:r>
        <w:t xml:space="preserve"> </w:t>
      </w:r>
      <w:r>
        <w:t xml:space="preserve">	</w:t>
      </w:r>
      <w:r>
        <w:t xml:space="preserve">Dijk, D. van</w:t>
      </w:r>
      <w:r>
        <w:t xml:space="preserve"> </w:t>
      </w:r>
      <w:r>
        <w:rPr>
          <w:i/>
          <w:iCs/>
        </w:rPr>
        <w:t xml:space="preserve">et al.</w:t>
      </w:r>
      <w:r>
        <w:t xml:space="preserve"> </w:t>
      </w:r>
      <w:hyperlink r:id="rId160">
        <w:r>
          <w:rPr>
            <w:rStyle w:val="Hyperlink"/>
          </w:rPr>
          <w:t xml:space="preserve">Recovering gene interactions from single-cell data using data diffusion</w:t>
        </w:r>
      </w:hyperlink>
      <w:r>
        <w:t xml:space="preserve">.</w:t>
      </w:r>
      <w:r>
        <w:t xml:space="preserve"> </w:t>
      </w:r>
      <w:r>
        <w:rPr>
          <w:i/>
          <w:iCs/>
        </w:rPr>
        <w:t xml:space="preserve">Cell</w:t>
      </w:r>
      <w:r>
        <w:t xml:space="preserve"> </w:t>
      </w:r>
      <w:r>
        <w:rPr>
          <w:b/>
          <w:bCs/>
        </w:rPr>
        <w:t xml:space="preserve">174</w:t>
      </w:r>
      <w:r>
        <w:t xml:space="preserve">, 716–729 (2018).</w:t>
      </w:r>
    </w:p>
    <w:bookmarkEnd w:id="161"/>
    <w:bookmarkStart w:id="163" w:name="ref-wagner2018"/>
    <w:p>
      <w:pPr>
        <w:pStyle w:val="Bibliography"/>
      </w:pPr>
      <w:r>
        <w:t xml:space="preserve">50.</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w:t>
      </w:r>
      <w:hyperlink r:id="rId162">
        <w:r>
          <w:rPr>
            <w:rStyle w:val="Hyperlink"/>
          </w:rPr>
          <w:t xml:space="preserve">https://doi.org/10.1101/217737</w:t>
        </w:r>
      </w:hyperlink>
      <w:r>
        <w:t xml:space="preserve"> </w:t>
      </w:r>
      <w:r>
        <w:t xml:space="preserve">(2018) doi:</w:t>
      </w:r>
      <w:hyperlink r:id="rId162">
        <w:r>
          <w:rPr>
            <w:rStyle w:val="Hyperlink"/>
          </w:rPr>
          <w:t xml:space="preserve">10.1101/217737</w:t>
        </w:r>
      </w:hyperlink>
      <w:r>
        <w:t xml:space="preserve">.</w:t>
      </w:r>
    </w:p>
    <w:bookmarkEnd w:id="163"/>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hyperlink" Id="rId116" Target="https://doi.org/10.1006/tpbi.1995.1027" TargetMode="External" /><Relationship Type="http://schemas.openxmlformats.org/officeDocument/2006/relationships/hyperlink" Id="rId64" Target="https://doi.org/10.1016/j.cell.2010.02.027" TargetMode="External" /><Relationship Type="http://schemas.openxmlformats.org/officeDocument/2006/relationships/hyperlink" Id="rId160" Target="https://doi.org/10.1016/j.cell.2018.05.061" TargetMode="External" /><Relationship Type="http://schemas.openxmlformats.org/officeDocument/2006/relationships/hyperlink" Id="rId146" Target="https://doi.org/10.1016/j.cell.2020.07.003" TargetMode="External" /><Relationship Type="http://schemas.openxmlformats.org/officeDocument/2006/relationships/hyperlink" Id="rId94" Target="https://doi.org/10.1016/j.cell.2024.11.015" TargetMode="External" /><Relationship Type="http://schemas.openxmlformats.org/officeDocument/2006/relationships/hyperlink" Id="rId96" Target="https://doi.org/10.1016/j.cels.2020.08.003" TargetMode="External" /><Relationship Type="http://schemas.openxmlformats.org/officeDocument/2006/relationships/hyperlink" Id="rId76" Target="https://doi.org/10.1016/j.cels.2026.101621" TargetMode="External" /><Relationship Type="http://schemas.openxmlformats.org/officeDocument/2006/relationships/hyperlink" Id="rId118" Target="https://doi.org/10.1016/j.jtbi.2020.110162" TargetMode="External" /><Relationship Type="http://schemas.openxmlformats.org/officeDocument/2006/relationships/hyperlink" Id="rId138" Target="https://doi.org/10.1021/j100540a008" TargetMode="External" /><Relationship Type="http://schemas.openxmlformats.org/officeDocument/2006/relationships/hyperlink" Id="rId66" Target="https://doi.org/10.1038/nature22794" TargetMode="External" /><Relationship Type="http://schemas.openxmlformats.org/officeDocument/2006/relationships/hyperlink" Id="rId156" Target="https://doi.org/10.1038/ng.729" TargetMode="External" /><Relationship Type="http://schemas.openxmlformats.org/officeDocument/2006/relationships/hyperlink" Id="rId68" Target="https://doi.org/10.1038/nm.4040" TargetMode="External" /><Relationship Type="http://schemas.openxmlformats.org/officeDocument/2006/relationships/hyperlink" Id="rId128" Target="https://doi.org/10.1038/s41467-017-01968-5" TargetMode="External" /><Relationship Type="http://schemas.openxmlformats.org/officeDocument/2006/relationships/hyperlink" Id="rId98" Target="https://doi.org/10.1038/s41467-021-24152-2" TargetMode="External" /><Relationship Type="http://schemas.openxmlformats.org/officeDocument/2006/relationships/hyperlink" Id="rId80" Target="https://doi.org/10.1038/s41467-023-41811-8" TargetMode="External" /><Relationship Type="http://schemas.openxmlformats.org/officeDocument/2006/relationships/hyperlink" Id="rId102" Target="https://doi.org/10.1038/s41467-024-48516-6" TargetMode="External" /><Relationship Type="http://schemas.openxmlformats.org/officeDocument/2006/relationships/hyperlink" Id="rId70" Target="https://doi.org/10.1038/s41586-021-03796-6" TargetMode="External" /><Relationship Type="http://schemas.openxmlformats.org/officeDocument/2006/relationships/hyperlink" Id="rId72" Target="https://doi.org/10.1038/s41586-024-07690-9" TargetMode="External" /><Relationship Type="http://schemas.openxmlformats.org/officeDocument/2006/relationships/hyperlink" Id="rId126" Target="https://doi.org/10.1038/s41591-020-1060-8" TargetMode="External" /><Relationship Type="http://schemas.openxmlformats.org/officeDocument/2006/relationships/hyperlink" Id="rId106" Target="https://doi.org/10.1038/s41592-019-0690-6" TargetMode="External" /><Relationship Type="http://schemas.openxmlformats.org/officeDocument/2006/relationships/hyperlink" Id="rId100" Target="https://doi.org/10.1038/s41592-025-02651-0" TargetMode="External" /><Relationship Type="http://schemas.openxmlformats.org/officeDocument/2006/relationships/hyperlink" Id="rId88" Target="https://doi.org/10.1038/s41592-025-02772-6" TargetMode="External" /><Relationship Type="http://schemas.openxmlformats.org/officeDocument/2006/relationships/hyperlink" Id="rId140" Target="https://doi.org/10.1063/1.1378322" TargetMode="External" /><Relationship Type="http://schemas.openxmlformats.org/officeDocument/2006/relationships/hyperlink" Id="rId144" Target="https://doi.org/10.1063/1.1992473" TargetMode="External" /><Relationship Type="http://schemas.openxmlformats.org/officeDocument/2006/relationships/hyperlink" Id="rId142" Target="https://doi.org/10.1063/1.2159468" TargetMode="External" /><Relationship Type="http://schemas.openxmlformats.org/officeDocument/2006/relationships/hyperlink" Id="rId152" Target="https://doi.org/10.1073/pnas.0803850105" TargetMode="External" /><Relationship Type="http://schemas.openxmlformats.org/officeDocument/2006/relationships/hyperlink" Id="rId104" Target="https://doi.org/10.1093/nar/gkac235" TargetMode="External" /><Relationship Type="http://schemas.openxmlformats.org/officeDocument/2006/relationships/hyperlink" Id="rId82" Target="https://doi.org/10.1093/nar/gkaf295" TargetMode="External" /><Relationship Type="http://schemas.openxmlformats.org/officeDocument/2006/relationships/hyperlink" Id="rId148" Target="https://doi.org/10.1098/rsif.2008.0172" TargetMode="External" /><Relationship Type="http://schemas.openxmlformats.org/officeDocument/2006/relationships/hyperlink" Id="rId108" Target="https://doi.org/10.1098/rsos.172234" TargetMode="External" /><Relationship Type="http://schemas.openxmlformats.org/officeDocument/2006/relationships/hyperlink" Id="rId120" Target="https://doi.org/10.1098/rsos.191243" TargetMode="External" /><Relationship Type="http://schemas.openxmlformats.org/officeDocument/2006/relationships/hyperlink" Id="rId78" Target="https://doi.org/10.1101/2025.01.15.633183" TargetMode="External" /><Relationship Type="http://schemas.openxmlformats.org/officeDocument/2006/relationships/hyperlink" Id="rId162" Target="https://doi.org/10.1101/217737" TargetMode="External" /><Relationship Type="http://schemas.openxmlformats.org/officeDocument/2006/relationships/hyperlink" Id="rId150" Target="https://doi.org/10.1103/PhysRevLett.97.168302" TargetMode="External" /><Relationship Type="http://schemas.openxmlformats.org/officeDocument/2006/relationships/hyperlink" Id="rId122" Target="https://doi.org/10.1103/mh5v-lcyw" TargetMode="External" /><Relationship Type="http://schemas.openxmlformats.org/officeDocument/2006/relationships/hyperlink" Id="rId124" Target="https://doi.org/10.1111/rssb.12312" TargetMode="External" /><Relationship Type="http://schemas.openxmlformats.org/officeDocument/2006/relationships/hyperlink" Id="rId130" Target="https://doi.org/10.1158/0008-5472.CAN-13-1633" TargetMode="External" /><Relationship Type="http://schemas.openxmlformats.org/officeDocument/2006/relationships/hyperlink" Id="rId132" Target="https://doi.org/10.1158/0008-5472.CAN-20-0806" TargetMode="External" /><Relationship Type="http://schemas.openxmlformats.org/officeDocument/2006/relationships/hyperlink" Id="rId136" Target="https://doi.org/10.1158/1078-0432.CCR-03-0807" TargetMode="External" /><Relationship Type="http://schemas.openxmlformats.org/officeDocument/2006/relationships/hyperlink" Id="rId112" Target="https://doi.org/10.1186/s12859-022-04778-9" TargetMode="External" /><Relationship Type="http://schemas.openxmlformats.org/officeDocument/2006/relationships/hyperlink" Id="rId114" Target="https://doi.org/10.1186/s13059-020-02000-8" TargetMode="External" /><Relationship Type="http://schemas.openxmlformats.org/officeDocument/2006/relationships/hyperlink" Id="rId134" Target="https://doi.org/10.1200/JCO.2013.49.6968" TargetMode="External" /><Relationship Type="http://schemas.openxmlformats.org/officeDocument/2006/relationships/hyperlink" Id="rId84" Target="https://doi.org/10.1371/journal.pcbi.1013014" TargetMode="External" /><Relationship Type="http://schemas.openxmlformats.org/officeDocument/2006/relationships/hyperlink" Id="rId74" Target="https://doi.org/10.1371/journal.pcbi.1013446" TargetMode="External" /><Relationship Type="http://schemas.openxmlformats.org/officeDocument/2006/relationships/hyperlink" Id="rId110" Target="https://doi.org/10.1371/journal.pcbi.1014366" TargetMode="External" /><Relationship Type="http://schemas.openxmlformats.org/officeDocument/2006/relationships/hyperlink" Id="rId158" Target="https://doi.org/10.1371/journal.pone.0012776" TargetMode="External" /><Relationship Type="http://schemas.openxmlformats.org/officeDocument/2006/relationships/hyperlink" Id="rId154" Target="https://doi.org/10.5334/jors.151" TargetMode="External" /><Relationship Type="http://schemas.openxmlformats.org/officeDocument/2006/relationships/hyperlink" Id="rId92" Target="https://doi.org/10.64898/2026.02.04.703804" TargetMode="External" /><Relationship Type="http://schemas.openxmlformats.org/officeDocument/2006/relationships/hyperlink" Id="rId86" Target="https://doi.org/10.64898/2026.04.14.718485" TargetMode="External" /><Relationship Type="http://schemas.openxmlformats.org/officeDocument/2006/relationships/hyperlink" Id="rId90" Target="https://doi.org/10.64898/2026.04.20.719650"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1006/tpbi.1995.1027" TargetMode="External" /><Relationship Type="http://schemas.openxmlformats.org/officeDocument/2006/relationships/hyperlink" Id="rId64" Target="https://doi.org/10.1016/j.cell.2010.02.027" TargetMode="External" /><Relationship Type="http://schemas.openxmlformats.org/officeDocument/2006/relationships/hyperlink" Id="rId160" Target="https://doi.org/10.1016/j.cell.2018.05.061" TargetMode="External" /><Relationship Type="http://schemas.openxmlformats.org/officeDocument/2006/relationships/hyperlink" Id="rId146" Target="https://doi.org/10.1016/j.cell.2020.07.003" TargetMode="External" /><Relationship Type="http://schemas.openxmlformats.org/officeDocument/2006/relationships/hyperlink" Id="rId94" Target="https://doi.org/10.1016/j.cell.2024.11.015" TargetMode="External" /><Relationship Type="http://schemas.openxmlformats.org/officeDocument/2006/relationships/hyperlink" Id="rId96" Target="https://doi.org/10.1016/j.cels.2020.08.003" TargetMode="External" /><Relationship Type="http://schemas.openxmlformats.org/officeDocument/2006/relationships/hyperlink" Id="rId76" Target="https://doi.org/10.1016/j.cels.2026.101621" TargetMode="External" /><Relationship Type="http://schemas.openxmlformats.org/officeDocument/2006/relationships/hyperlink" Id="rId118" Target="https://doi.org/10.1016/j.jtbi.2020.110162" TargetMode="External" /><Relationship Type="http://schemas.openxmlformats.org/officeDocument/2006/relationships/hyperlink" Id="rId138" Target="https://doi.org/10.1021/j100540a008" TargetMode="External" /><Relationship Type="http://schemas.openxmlformats.org/officeDocument/2006/relationships/hyperlink" Id="rId66" Target="https://doi.org/10.1038/nature22794" TargetMode="External" /><Relationship Type="http://schemas.openxmlformats.org/officeDocument/2006/relationships/hyperlink" Id="rId156" Target="https://doi.org/10.1038/ng.729" TargetMode="External" /><Relationship Type="http://schemas.openxmlformats.org/officeDocument/2006/relationships/hyperlink" Id="rId68" Target="https://doi.org/10.1038/nm.4040" TargetMode="External" /><Relationship Type="http://schemas.openxmlformats.org/officeDocument/2006/relationships/hyperlink" Id="rId128" Target="https://doi.org/10.1038/s41467-017-01968-5" TargetMode="External" /><Relationship Type="http://schemas.openxmlformats.org/officeDocument/2006/relationships/hyperlink" Id="rId98" Target="https://doi.org/10.1038/s41467-021-24152-2" TargetMode="External" /><Relationship Type="http://schemas.openxmlformats.org/officeDocument/2006/relationships/hyperlink" Id="rId80" Target="https://doi.org/10.1038/s41467-023-41811-8" TargetMode="External" /><Relationship Type="http://schemas.openxmlformats.org/officeDocument/2006/relationships/hyperlink" Id="rId102" Target="https://doi.org/10.1038/s41467-024-48516-6" TargetMode="External" /><Relationship Type="http://schemas.openxmlformats.org/officeDocument/2006/relationships/hyperlink" Id="rId70" Target="https://doi.org/10.1038/s41586-021-03796-6" TargetMode="External" /><Relationship Type="http://schemas.openxmlformats.org/officeDocument/2006/relationships/hyperlink" Id="rId72" Target="https://doi.org/10.1038/s41586-024-07690-9" TargetMode="External" /><Relationship Type="http://schemas.openxmlformats.org/officeDocument/2006/relationships/hyperlink" Id="rId126" Target="https://doi.org/10.1038/s41591-020-1060-8" TargetMode="External" /><Relationship Type="http://schemas.openxmlformats.org/officeDocument/2006/relationships/hyperlink" Id="rId106" Target="https://doi.org/10.1038/s41592-019-0690-6" TargetMode="External" /><Relationship Type="http://schemas.openxmlformats.org/officeDocument/2006/relationships/hyperlink" Id="rId100" Target="https://doi.org/10.1038/s41592-025-02651-0" TargetMode="External" /><Relationship Type="http://schemas.openxmlformats.org/officeDocument/2006/relationships/hyperlink" Id="rId88" Target="https://doi.org/10.1038/s41592-025-02772-6" TargetMode="External" /><Relationship Type="http://schemas.openxmlformats.org/officeDocument/2006/relationships/hyperlink" Id="rId140" Target="https://doi.org/10.1063/1.1378322" TargetMode="External" /><Relationship Type="http://schemas.openxmlformats.org/officeDocument/2006/relationships/hyperlink" Id="rId144" Target="https://doi.org/10.1063/1.1992473" TargetMode="External" /><Relationship Type="http://schemas.openxmlformats.org/officeDocument/2006/relationships/hyperlink" Id="rId142" Target="https://doi.org/10.1063/1.2159468" TargetMode="External" /><Relationship Type="http://schemas.openxmlformats.org/officeDocument/2006/relationships/hyperlink" Id="rId152" Target="https://doi.org/10.1073/pnas.0803850105" TargetMode="External" /><Relationship Type="http://schemas.openxmlformats.org/officeDocument/2006/relationships/hyperlink" Id="rId104" Target="https://doi.org/10.1093/nar/gkac235" TargetMode="External" /><Relationship Type="http://schemas.openxmlformats.org/officeDocument/2006/relationships/hyperlink" Id="rId82" Target="https://doi.org/10.1093/nar/gkaf295" TargetMode="External" /><Relationship Type="http://schemas.openxmlformats.org/officeDocument/2006/relationships/hyperlink" Id="rId148" Target="https://doi.org/10.1098/rsif.2008.0172" TargetMode="External" /><Relationship Type="http://schemas.openxmlformats.org/officeDocument/2006/relationships/hyperlink" Id="rId108" Target="https://doi.org/10.1098/rsos.172234" TargetMode="External" /><Relationship Type="http://schemas.openxmlformats.org/officeDocument/2006/relationships/hyperlink" Id="rId120" Target="https://doi.org/10.1098/rsos.191243" TargetMode="External" /><Relationship Type="http://schemas.openxmlformats.org/officeDocument/2006/relationships/hyperlink" Id="rId78" Target="https://doi.org/10.1101/2025.01.15.633183" TargetMode="External" /><Relationship Type="http://schemas.openxmlformats.org/officeDocument/2006/relationships/hyperlink" Id="rId162" Target="https://doi.org/10.1101/217737" TargetMode="External" /><Relationship Type="http://schemas.openxmlformats.org/officeDocument/2006/relationships/hyperlink" Id="rId150" Target="https://doi.org/10.1103/PhysRevLett.97.168302" TargetMode="External" /><Relationship Type="http://schemas.openxmlformats.org/officeDocument/2006/relationships/hyperlink" Id="rId122" Target="https://doi.org/10.1103/mh5v-lcyw" TargetMode="External" /><Relationship Type="http://schemas.openxmlformats.org/officeDocument/2006/relationships/hyperlink" Id="rId124" Target="https://doi.org/10.1111/rssb.12312" TargetMode="External" /><Relationship Type="http://schemas.openxmlformats.org/officeDocument/2006/relationships/hyperlink" Id="rId130" Target="https://doi.org/10.1158/0008-5472.CAN-13-1633" TargetMode="External" /><Relationship Type="http://schemas.openxmlformats.org/officeDocument/2006/relationships/hyperlink" Id="rId132" Target="https://doi.org/10.1158/0008-5472.CAN-20-0806" TargetMode="External" /><Relationship Type="http://schemas.openxmlformats.org/officeDocument/2006/relationships/hyperlink" Id="rId136" Target="https://doi.org/10.1158/1078-0432.CCR-03-0807" TargetMode="External" /><Relationship Type="http://schemas.openxmlformats.org/officeDocument/2006/relationships/hyperlink" Id="rId112" Target="https://doi.org/10.1186/s12859-022-04778-9" TargetMode="External" /><Relationship Type="http://schemas.openxmlformats.org/officeDocument/2006/relationships/hyperlink" Id="rId114" Target="https://doi.org/10.1186/s13059-020-02000-8" TargetMode="External" /><Relationship Type="http://schemas.openxmlformats.org/officeDocument/2006/relationships/hyperlink" Id="rId134" Target="https://doi.org/10.1200/JCO.2013.49.6968" TargetMode="External" /><Relationship Type="http://schemas.openxmlformats.org/officeDocument/2006/relationships/hyperlink" Id="rId84" Target="https://doi.org/10.1371/journal.pcbi.1013014" TargetMode="External" /><Relationship Type="http://schemas.openxmlformats.org/officeDocument/2006/relationships/hyperlink" Id="rId74" Target="https://doi.org/10.1371/journal.pcbi.1013446" TargetMode="External" /><Relationship Type="http://schemas.openxmlformats.org/officeDocument/2006/relationships/hyperlink" Id="rId110" Target="https://doi.org/10.1371/journal.pcbi.1014366" TargetMode="External" /><Relationship Type="http://schemas.openxmlformats.org/officeDocument/2006/relationships/hyperlink" Id="rId158" Target="https://doi.org/10.1371/journal.pone.0012776" TargetMode="External" /><Relationship Type="http://schemas.openxmlformats.org/officeDocument/2006/relationships/hyperlink" Id="rId154" Target="https://doi.org/10.5334/jors.151" TargetMode="External" /><Relationship Type="http://schemas.openxmlformats.org/officeDocument/2006/relationships/hyperlink" Id="rId92" Target="https://doi.org/10.64898/2026.02.04.703804" TargetMode="External" /><Relationship Type="http://schemas.openxmlformats.org/officeDocument/2006/relationships/hyperlink" Id="rId86" Target="https://doi.org/10.64898/2026.04.14.718485" TargetMode="External" /><Relationship Type="http://schemas.openxmlformats.org/officeDocument/2006/relationships/hyperlink" Id="rId90" Target="https://doi.org/10.64898/2026.04.20.7196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Lasri1</dc:creator>
  <cp:keywords/>
  <dcterms:created xsi:type="dcterms:W3CDTF">2026-09-19T18:13:55Z</dcterms:created>
  <dcterms:modified xsi:type="dcterms:W3CDTF">2026-09-19T18:13:55Z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non-genetic differences in gene expression decide which cancer cells survive a drug, yet the simulators used to benchmark single-cell methods model neither cell growth nor division, and therefore cannot generate such states from first principles. Here we present Biomodelling.jl 2.0, a framework in which stochastic reaction kinetics run inside growing, dividing and drug-treated cells. Exact, hybrid and adaptive kernels are coupled to exponential growth, volume-scaled transcription, gene replication and division with binomial partitioning and promoter inheritance, to dose schedules and state-dependent killing, to a complete lineage record, to single-cell observation models and to likelihood-free inference. Expression memory, cell-size scaling and cell-cycle-dependent bursting emerge from this physiology rather than being imposed. A single resistance gene with slow promoter switching reproduces the reported signatures of drug-tolerant persisters, and the framework supplies the ground truth that benchmarks of memory-gene detection, network inference and perturbation prediction lack. Calibrated to time-lapse measurements of cisplatin-treated cells, the model predicts held-out concentrations, lineage correlations and single-cell timing. Used with a built-in optimiser, it recovers the opposite rankings of intermittent dosing reported in a melanoma trial and in xenografts, attributes the difference to the fitness of resistant cells without drug, and searches for better schedules.</vt:lpwstr>
  </property>
  <property fmtid="{D5CDD505-2E9C-101B-9397-08002B2CF9AE}" pid="3" name="bibliography">
    <vt:lpwstr/>
  </property>
  <property fmtid="{D5CDD505-2E9C-101B-9397-08002B2CF9AE}" pid="4" name="csl">
    <vt:lpwstr>nature.csl</vt:lpwstr>
  </property>
  <property fmtid="{D5CDD505-2E9C-101B-9397-08002B2CF9AE}" pid="5" name="date">
    <vt:lpwstr>1 Department of Physiology and Medical Physics, Royal College of Surgeons in Ireland, Dublin, Ireland. Correspondence: alasri@berache.com</vt:lpwstr>
  </property>
</Properties>
</file>