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 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SERGIO, dyngen, scMultiSim and GRouNdGAN</w:t>
      </w:r>
      <w:r>
        <w:rPr>
          <w:vertAlign w:val="superscript"/>
        </w:rPr>
        <w:t xml:space="preserve">17–20</w:t>
      </w:r>
      <w:r>
        <w:t xml:space="preserve">, model regulation and technical noise but not cell growth, volume-dependent transcription, gene replication or the partitioning of molecules at division; lineage simulators such as TedSim</w:t>
      </w:r>
      <w:r>
        <w:rPr>
          <w:vertAlign w:val="superscript"/>
        </w:rPr>
        <w:t xml:space="preserve">21</w:t>
      </w:r>
      <w:r>
        <w:t xml:space="preserve"> </w:t>
      </w:r>
      <w:r>
        <w:t xml:space="preserve">generate division trees but attach phenomenological, largely Markovian expression to them. None of them can therefore produce expression memory, cell-size scaling, cell-cycle-dependent bursting or persister dynamics from first principles, and none provides the ground truth that the methods now being developed for exactly those phenomena require</w:t>
      </w:r>
      <w:r>
        <w:rPr>
          <w:vertAlign w:val="superscript"/>
        </w:rPr>
        <w:t xml:space="preserve">22</w:t>
      </w:r>
      <w:r>
        <w:t xml:space="preserve">. Stochastic simulators of growing and dividing cells exist</w:t>
      </w:r>
      <w:r>
        <w:rPr>
          <w:vertAlign w:val="superscript"/>
        </w:rPr>
        <w:t xml:space="preserve">23,24</w:t>
      </w:r>
      <w:r>
        <w:t xml:space="preserve"> </w:t>
      </w:r>
      <w:r>
        <w:t xml:space="preserve">but stop at the single-cell state: they offer no drug response, no lineage statistics, no observation models, no inference and no benchmark generation.</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25</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17</w:t>
      </w:r>
      <w:r>
        <w:t xml:space="preserve">, dyngen</w:t>
      </w:r>
      <w:r>
        <w:rPr>
          <w:vertAlign w:val="superscript"/>
        </w:rPr>
        <w:t xml:space="preserve">18</w:t>
      </w:r>
      <w:r>
        <w:t xml:space="preserve">, scMultiSim</w:t>
      </w:r>
      <w:r>
        <w:rPr>
          <w:vertAlign w:val="superscript"/>
        </w:rPr>
        <w:t xml:space="preserve">19</w:t>
      </w:r>
      <w:r>
        <w:t xml:space="preserve">, GRouNdGAN</w:t>
      </w:r>
      <w:r>
        <w:rPr>
          <w:vertAlign w:val="superscript"/>
        </w:rPr>
        <w:t xml:space="preserve">20</w:t>
      </w:r>
      <w:r>
        <w:t xml:space="preserve">, TedSim</w:t>
      </w:r>
      <w:r>
        <w:rPr>
          <w:vertAlign w:val="superscript"/>
        </w:rPr>
        <w:t xml:space="preserve">21</w:t>
      </w:r>
      <w:r>
        <w:t xml:space="preserve">, Cassiopeia</w:t>
      </w:r>
      <w:r>
        <w:rPr>
          <w:vertAlign w:val="superscript"/>
        </w:rPr>
        <w:t xml:space="preserve">26</w:t>
      </w:r>
      <w:r>
        <w:t xml:space="preserve">, ABM.jl (AgentBasedModeling.jl)</w:t>
      </w:r>
      <w:r>
        <w:rPr>
          <w:vertAlign w:val="superscript"/>
        </w:rPr>
        <w:t xml:space="preserve">24</w:t>
      </w:r>
      <w:r>
        <w:t xml:space="preserve">, Biomodelling.jl v1.x</w:t>
      </w:r>
      <w:r>
        <w:rPr>
          <w:vertAlign w:val="superscript"/>
        </w:rPr>
        <w:t xml:space="preserve">25</w:t>
      </w:r>
      <w:r>
        <w:t xml:space="preserve"> </w:t>
      </w:r>
      <w:r>
        <w:t xml:space="preserve">and v2.0 (this work). Cassiopeia simulates division topologies with heritable fitness and CRISPR barcodes rather than molecular content, and its inference recovers phylogenies rather than kinetic parameters; entries were read from each tool’s publication and documentation.</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27</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 2f and Supplementary Table 3).</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differ by the expected factor of two in burst frequency, and a fit that ignores the cell cycle returns intermediate values (Fig. 3f).</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as memory-disrupting epigenetic compounds do</w:t>
      </w:r>
      <w:r>
        <w:rPr>
          <w:vertAlign w:val="superscript"/>
        </w:rPr>
        <w:t xml:space="preserve">9</w:t>
      </w:r>
      <w:r>
        <w:t xml:space="preserve">,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 Compartment theory for phenotypic switching already predicts that an agent which perturbs the retention of the resistant state can turn treatment failure into success</w:t>
      </w:r>
      <w:r>
        <w:rPr>
          <w:vertAlign w:val="superscript"/>
        </w:rPr>
        <w:t xml:space="preserve">28</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29</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30</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29.6 for the slowest genes,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25</w:t>
      </w:r>
      <w:r>
        <w:t xml:space="preserve">. Knocking down the five most connected regulators of a 20-gene network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31</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0.071 (memory 2.8 generations, resistant fraction 15.2%, EC</w:t>
      </w:r>
      <m:oMath>
        <m:sSub>
          <m:e>
            <m:r>
              <m:t>​</m:t>
            </m:r>
          </m:e>
          <m:sub>
            <m:r>
              <m:t>50</m:t>
            </m:r>
          </m:sub>
        </m:sSub>
      </m:oMath>
      <w:r>
        <w:t xml:space="preserve"> </w:t>
      </w:r>
      <w:r>
        <w:t xml:space="preserve">16.7 µM; Fig. 7a,f). That error should be read against the precision of the measurement: the observed fractions carry a mean binomial standard error of 0.028 and repeated simulations differ by 0.015, so the fit is about 2.2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and 0.00 for unrelated cells (Fig. 7c), the pattern reported for HCT116 lineages.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32</w:t>
      </w:r>
      <w:r>
        <w:t xml:space="preserve">, and adaptive therapy, in which the drug is withdrawn when the population has halved and resumed when it regrows to its initial size</w:t>
      </w:r>
      <w:r>
        <w:rPr>
          <w:vertAlign w:val="superscript"/>
        </w:rPr>
        <w:t xml:space="preserve">33</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holidays only let sensitive cells regrow and be killed again, and the three schedules lose control after 23, 26 and 27 weeks, the intermittent schedule delivering 65% of the cumulative dose.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34</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(Supplementary Note 13 and Supplementary Fig. 5): the best schedule is unchanged in 3 of 3 mechanisms and the model still favours continuous dosing under partial protection (52 against 43 weeks, from 52 and 49). That the benefit of holidays should depend on a cost of resistance is established by compartment models of adaptive therapy, which also show that tumour turnover modulates how large that cost must be</w:t>
      </w:r>
      <w:r>
        <w:rPr>
          <w:vertAlign w:val="superscript"/>
        </w:rPr>
        <w:t xml:space="preserve">35</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36</w:t>
      </w:r>
      <w:r>
        <w:t xml:space="preserve">. We simulated both regimens with one-compartment pharmacokinetics (elimination half-life 2.1 h; ref.</w:t>
      </w:r>
      <w:r>
        <w:rPr>
          <w:vertAlign w:val="superscript"/>
        </w:rPr>
        <w:t xml:space="preserve">37</w:t>
      </w:r>
      <w:r>
        <w:t xml:space="preserve">) on populations in which 1% (methylated) or 30% (unmethylated) of cells express MGMT, with MGMT protein protecting cells from the drug</w:t>
      </w:r>
      <w:r>
        <w:rPr>
          <w:vertAlign w:val="superscript"/>
        </w:rPr>
        <w:t xml:space="preserve">29</w:t>
      </w:r>
      <w:r>
        <w:t xml:space="preserve"> </w:t>
      </w:r>
      <w:r>
        <w:t xml:space="preserve">and either stable or consumed by it stoichiometrically, one molecule per lesion repaired, as a suicide enzyme is, so that the pool follows the cumulative exposure rather than the peak concentration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so the rate at which temozolomide consumes MGMT in the tumour is both the quantity the argument rests on and the one that has not been measured.</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The individual ingredients are not new: stochastic kinetics in growing and dividing cells have been simulated before</w:t>
      </w:r>
      <w:r>
        <w:rPr>
          <w:vertAlign w:val="superscript"/>
        </w:rPr>
        <w:t xml:space="preserve">23–25</w:t>
      </w:r>
      <w:r>
        <w:t xml:space="preserve">, lineage-tracing data have their own simulators</w:t>
      </w:r>
      <w:r>
        <w:rPr>
          <w:vertAlign w:val="superscript"/>
        </w:rPr>
        <w:t xml:space="preserve">21,26</w:t>
      </w:r>
      <w:r>
        <w:t xml:space="preserve">, compartment models of adaptive therapy established that the benefit of treatment holidays depends on a cost of resistance and on turnover</w:t>
      </w:r>
      <w:r>
        <w:rPr>
          <w:vertAlign w:val="superscript"/>
        </w:rPr>
        <w:t xml:space="preserve">33,35</w:t>
      </w:r>
      <w:r>
        <w:t xml:space="preserve">, and phenotypic-switching theory established that perturbing the retention of a resistant state can decide a treatment outcome</w:t>
      </w:r>
      <w:r>
        <w:rPr>
          <w:vertAlign w:val="superscript"/>
        </w:rPr>
        <w:t xml:space="preserve">28</w:t>
      </w:r>
      <w:r>
        <w:t xml:space="preserve">. Three things are new. First, the combination itself: molecular kinetics, volume-scaled transcription, gene replication, partitioning and promoter inheritance, drug schedules with state-dependent killing, a complete lineage record, observation models and inference in one forward model, which is what allows a resistance phenotype to be a heritable expression state with measurable kinetics rather than a compartment with an assumed rate. Second, the ground truth this makes available: the same simulation supplies known memory genes, known networks, known perturbation effects and the true lineage tree, which is what the quantification of how growth and sequencing destroy network inference, and of how far cell-cycle regression recovers it, depends on. Third, the calibrate-then-predict protocol applied to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 set in each case rather than inferred from the outcomes, so the case studies show that the ranking follows from cell properties, not that any particular tumour has them.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what remains unmeasured is the rate constant of that consumption, which is why we name it as the quantity that separates the regimens. MGMT is in any case only one determinant of a temozolomide response that is also mismatch-repair-dependent, and the methylated and unmethylated MGMT fractions are illustrative values that bracket low and high expression rather than measured quantities.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5"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38</w:t>
      </w:r>
      <w:r>
        <w:t xml:space="preserve"> </w:t>
      </w:r>
      <w:r>
        <w:t xml:space="preserve">with propensities updated through a species-reaction dependency graph; fixed-step Poisson tau-leaping</w:t>
      </w:r>
      <w:r>
        <w:rPr>
          <w:vertAlign w:val="superscript"/>
        </w:rPr>
        <w:t xml:space="preserve">39</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40</w:t>
      </w:r>
      <w:r>
        <w:t xml:space="preserve"> </w:t>
      </w:r>
      <w:r>
        <w:t xml:space="preserve">and the critical-reaction partition of</w:t>
      </w:r>
      <w:r>
        <w:rPr>
          <w:vertAlign w:val="superscript"/>
        </w:rPr>
        <w:t xml:space="preserve">41</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42</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27</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43</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31</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33</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44,45</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45</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42</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34</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37</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36</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46,47</w:t>
      </w:r>
      <w:r>
        <w:t xml:space="preserve">), by agreement between kernels, and by a two-sample comparison against JumpProcesses.jl</w:t>
      </w:r>
      <w:r>
        <w:rPr>
          <w:vertAlign w:val="superscript"/>
        </w:rPr>
        <w:t xml:space="preserve">48</w:t>
      </w:r>
      <w:r>
        <w:t xml:space="preserve"> </w:t>
      </w:r>
      <w:r>
        <w:t xml:space="preserve">on the same model. Population-level properties were compared with the analytic expectations for cell-size scaling and concentration homeostasis</w:t>
      </w:r>
      <w:r>
        <w:rPr>
          <w:vertAlign w:val="superscript"/>
        </w:rPr>
        <w:t xml:space="preserve">23</w:t>
      </w:r>
      <w:r>
        <w:t xml:space="preserve">, partitioning noise</w:t>
      </w:r>
      <w:r>
        <w:rPr>
          <w:vertAlign w:val="superscript"/>
        </w:rPr>
        <w:t xml:space="preserve">49</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30</w:t>
      </w:r>
      <w:r>
        <w:t xml:space="preserve"> </w:t>
      </w:r>
      <w:r>
        <w:t xml:space="preserve">and</w:t>
      </w:r>
      <w:r>
        <w:rPr>
          <w:vertAlign w:val="superscript"/>
        </w:rPr>
        <w:t xml:space="preserve">9</w:t>
      </w:r>
      <w:r>
        <w:t xml:space="preserve">, and with the phenotypic-selection model of</w:t>
      </w:r>
      <w:r>
        <w:rPr>
          <w:vertAlign w:val="superscript"/>
        </w:rPr>
        <w:t xml:space="preserve">29</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2"/>
    <w:bookmarkStart w:id="33"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3"/>
    <w:bookmarkStart w:id="34"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50</w:t>
      </w:r>
      <w:r>
        <w:t xml:space="preserve">, MAGIC</w:t>
      </w:r>
      <w:r>
        <w:rPr>
          <w:vertAlign w:val="superscript"/>
        </w:rPr>
        <w:t xml:space="preserve">51</w:t>
      </w:r>
      <w:r>
        <w:t xml:space="preserve"> </w:t>
      </w:r>
      <w:r>
        <w:t xml:space="preserve">and kNN-smoothing</w:t>
      </w:r>
      <w:r>
        <w:rPr>
          <w:vertAlign w:val="superscript"/>
        </w:rPr>
        <w:t xml:space="preserve">52</w:t>
      </w:r>
      <w:r>
        <w:t xml:space="preserve">. The test suite (Aqua quality checks and statistical tests) runs under GitHub Actions on Julia 1.10 and the latest release.</w:t>
      </w:r>
    </w:p>
    <w:bookmarkEnd w:id="34"/>
    <w:bookmarkEnd w:id="35"/>
    <w:bookmarkStart w:id="60" w:name="figure-legends"/>
    <w:p>
      <w:pPr>
        <w:pStyle w:val="Heading1"/>
      </w:pPr>
      <w:r>
        <w:t xml:space="preserve">Figure legends</w:t>
      </w:r>
    </w:p>
    <w:p>
      <w:pPr>
        <w:pStyle w:val="FirstParagraph"/>
      </w:pPr>
      <w:r>
        <w:drawing>
          <wp:inline>
            <wp:extent cx="5334000" cy="3630083"/>
            <wp:effectExtent b="0" l="0" r="0" t="0"/>
            <wp:docPr descr="" title="" id="37" name="Picture"/>
            <a:graphic>
              <a:graphicData uri="http://schemas.openxmlformats.org/drawingml/2006/picture">
                <pic:pic>
                  <pic:nvPicPr>
                    <pic:cNvPr descr="fig1_framework.png" id="38" name="Picture"/>
                    <pic:cNvPicPr>
                      <a:picLocks noChangeArrowheads="1" noChangeAspect="1"/>
                    </pic:cNvPicPr>
                  </pic:nvPicPr>
                  <pic:blipFill>
                    <a:blip r:embed="rId36"/>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0" name="Picture"/>
            <a:graphic>
              <a:graphicData uri="http://schemas.openxmlformats.org/drawingml/2006/picture">
                <pic:pic>
                  <pic:nvPicPr>
                    <pic:cNvPr descr="fig2_engine.png" id="41" name="Picture"/>
                    <pic:cNvPicPr>
                      <a:picLocks noChangeArrowheads="1" noChangeAspect="1"/>
                    </pic:cNvPicPr>
                  </pic:nvPicPr>
                  <pic:blipFill>
                    <a:blip r:embed="rId39"/>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3" name="Picture"/>
            <a:graphic>
              <a:graphicData uri="http://schemas.openxmlformats.org/drawingml/2006/picture">
                <pic:pic>
                  <pic:nvPicPr>
                    <pic:cNvPr descr="fig3_growth.png" id="44" name="Picture"/>
                    <pic:cNvPicPr>
                      <a:picLocks noChangeArrowheads="1" noChangeAspect="1"/>
                    </pic:cNvPicPr>
                  </pic:nvPicPr>
                  <pic:blipFill>
                    <a:blip r:embed="rId42"/>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dotted lines, per-allele values.</w:t>
      </w:r>
    </w:p>
    <w:p>
      <w:pPr>
        <w:pStyle w:val="BodyText"/>
      </w:pPr>
      <w:r>
        <w:drawing>
          <wp:inline>
            <wp:extent cx="5334000" cy="4917531"/>
            <wp:effectExtent b="0" l="0" r="0" t="0"/>
            <wp:docPr descr="" title="" id="46" name="Picture"/>
            <a:graphic>
              <a:graphicData uri="http://schemas.openxmlformats.org/drawingml/2006/picture">
                <pic:pic>
                  <pic:nvPicPr>
                    <pic:cNvPr descr="fig4_persisters.png" id="47" name="Picture"/>
                    <pic:cNvPicPr>
                      <a:picLocks noChangeArrowheads="1" noChangeAspect="1"/>
                    </pic:cNvPicPr>
                  </pic:nvPicPr>
                  <pic:blipFill>
                    <a:blip r:embed="rId45"/>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16125"/>
            <wp:effectExtent b="0" l="0" r="0" t="0"/>
            <wp:docPr descr="" title="" id="49" name="Picture"/>
            <a:graphic>
              <a:graphicData uri="http://schemas.openxmlformats.org/drawingml/2006/picture">
                <pic:pic>
                  <pic:nvPicPr>
                    <pic:cNvPr descr="fig5_benchmarks.png" id="50" name="Picture"/>
                    <pic:cNvPicPr>
                      <a:picLocks noChangeArrowheads="1" noChangeAspect="1"/>
                    </pic:cNvPicPr>
                  </pic:nvPicPr>
                  <pic:blipFill>
                    <a:blip r:embed="rId48"/>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2" name="Picture"/>
            <a:graphic>
              <a:graphicData uri="http://schemas.openxmlformats.org/drawingml/2006/picture">
                <pic:pic>
                  <pic:nvPicPr>
                    <pic:cNvPr descr="fig6_inference.png" id="53" name="Picture"/>
                    <pic:cNvPicPr>
                      <a:picLocks noChangeArrowheads="1" noChangeAspect="1"/>
                    </pic:cNvPicPr>
                  </pic:nvPicPr>
                  <pic:blipFill>
                    <a:blip r:embed="rId51"/>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5" name="Picture"/>
            <a:graphic>
              <a:graphicData uri="http://schemas.openxmlformats.org/drawingml/2006/picture">
                <pic:pic>
                  <pic:nvPicPr>
                    <pic:cNvPr descr="fig7_calibration.png" id="56" name="Picture"/>
                    <pic:cNvPicPr>
                      <a:picLocks noChangeArrowheads="1" noChangeAspect="1"/>
                    </pic:cNvPicPr>
                  </pic:nvPicPr>
                  <pic:blipFill>
                    <a:blip r:embed="rId54"/>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8" name="Picture"/>
            <a:graphic>
              <a:graphicData uri="http://schemas.openxmlformats.org/drawingml/2006/picture">
                <pic:pic>
                  <pic:nvPicPr>
                    <pic:cNvPr descr="fig8_schedules.png" id="59" name="Picture"/>
                    <pic:cNvPicPr>
                      <a:picLocks noChangeArrowheads="1" noChangeAspect="1"/>
                    </pic:cNvPicPr>
                  </pic:nvPicPr>
                  <pic:blipFill>
                    <a:blip r:embed="rId57"/>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0"/>
    <w:bookmarkStart w:id="61"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25</w:t>
      </w:r>
      <w:r>
        <w:t xml:space="preserve">. This Article and version 2.0 of the software were authored with Claude (Anthropic), an AI assistant, under the direction and supervision of the author, who verified every result and takes full responsibility for the content.</w:t>
      </w:r>
    </w:p>
    <w:bookmarkEnd w:id="61"/>
    <w:bookmarkStart w:id="62"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results and wrote the final version of the manuscript. The implementation of the software, the simulations, the analyses, the figures and the first draft of the manuscript were produced with Claude (Anthropic) under the author’s direction.</w:t>
      </w:r>
    </w:p>
    <w:bookmarkEnd w:id="62"/>
    <w:bookmarkStart w:id="63" w:name="competing-interests"/>
    <w:p>
      <w:pPr>
        <w:pStyle w:val="Heading1"/>
      </w:pPr>
      <w:r>
        <w:t xml:space="preserve">Competing interests</w:t>
      </w:r>
    </w:p>
    <w:p>
      <w:pPr>
        <w:pStyle w:val="FirstParagraph"/>
      </w:pPr>
      <w:r>
        <w:t xml:space="preserve">The author declares no competing interests.</w:t>
      </w:r>
    </w:p>
    <w:bookmarkEnd w:id="63"/>
    <w:bookmarkStart w:id="64"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4"/>
    <w:bookmarkStart w:id="170" w:name="references"/>
    <w:p>
      <w:pPr>
        <w:pStyle w:val="Heading1"/>
      </w:pPr>
      <w:r>
        <w:t xml:space="preserve">References</w:t>
      </w:r>
    </w:p>
    <w:bookmarkStart w:id="169" w:name="refs"/>
    <w:bookmarkStart w:id="66"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5">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6"/>
    <w:bookmarkStart w:id="68"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7">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8"/>
    <w:bookmarkStart w:id="70"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69">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0"/>
    <w:bookmarkStart w:id="72"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1">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2"/>
    <w:bookmarkStart w:id="74"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3">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4"/>
    <w:bookmarkStart w:id="76" w:name="ref-iyer2025"/>
    <w:p>
      <w:pPr>
        <w:pStyle w:val="Bibliography"/>
      </w:pPr>
      <w:r>
        <w:t xml:space="preserve">6.</w:t>
      </w:r>
      <w:r>
        <w:t xml:space="preserve"> </w:t>
      </w:r>
      <w:r>
        <w:t xml:space="preserve">	</w:t>
      </w:r>
      <w:r>
        <w:t xml:space="preserve">Iyer, A., Alva, A., Granada, A. E. &amp; Chakrabarti, S.</w:t>
      </w:r>
      <w:r>
        <w:t xml:space="preserve"> </w:t>
      </w:r>
      <w:hyperlink r:id="rId75">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6"/>
    <w:bookmarkStart w:id="78" w:name="ref-lin2025memory"/>
    <w:p>
      <w:pPr>
        <w:pStyle w:val="Bibliography"/>
      </w:pPr>
      <w:r>
        <w:t xml:space="preserve">7.</w:t>
      </w:r>
      <w:r>
        <w:t xml:space="preserve"> </w:t>
      </w:r>
      <w:r>
        <w:t xml:space="preserve">	</w:t>
      </w:r>
      <w:r>
        <w:t xml:space="preserve">Lin, Y., Chen, X., Wu, L., Zhou, Y. &amp; Lin, Y.</w:t>
      </w:r>
      <w:r>
        <w:t xml:space="preserve"> </w:t>
      </w:r>
      <w:hyperlink r:id="rId77">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8"/>
    <w:bookmarkStart w:id="80"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79">
        <w:r>
          <w:rPr>
            <w:rStyle w:val="Hyperlink"/>
          </w:rPr>
          <w:t xml:space="preserve">https://doi.org/10.1101/2025.01.15.633183</w:t>
        </w:r>
      </w:hyperlink>
      <w:r>
        <w:t xml:space="preserve"> </w:t>
      </w:r>
      <w:r>
        <w:t xml:space="preserve">(2025) doi:</w:t>
      </w:r>
      <w:hyperlink r:id="rId79">
        <w:r>
          <w:rPr>
            <w:rStyle w:val="Hyperlink"/>
          </w:rPr>
          <w:t xml:space="preserve">10.1101/2025.01.15.633183</w:t>
        </w:r>
      </w:hyperlink>
      <w:r>
        <w:t xml:space="preserve">.</w:t>
      </w:r>
    </w:p>
    <w:bookmarkEnd w:id="80"/>
    <w:bookmarkStart w:id="82"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1">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2"/>
    <w:bookmarkStart w:id="84" w:name="ref-sukys2025"/>
    <w:p>
      <w:pPr>
        <w:pStyle w:val="Bibliography"/>
      </w:pPr>
      <w:r>
        <w:t xml:space="preserve">10.</w:t>
      </w:r>
      <w:r>
        <w:t xml:space="preserve"> </w:t>
      </w:r>
      <w:r>
        <w:t xml:space="preserve">	</w:t>
      </w:r>
      <w:r>
        <w:t xml:space="preserve">Sukys, A. &amp; Grima, R.</w:t>
      </w:r>
      <w:r>
        <w:t xml:space="preserve"> </w:t>
      </w:r>
      <w:hyperlink r:id="rId83">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4"/>
    <w:bookmarkStart w:id="86"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5">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6"/>
    <w:bookmarkStart w:id="88"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7">
        <w:r>
          <w:rPr>
            <w:rStyle w:val="Hyperlink"/>
          </w:rPr>
          <w:t xml:space="preserve">https://doi.org/10.64898/2026.04.14.718485</w:t>
        </w:r>
      </w:hyperlink>
      <w:r>
        <w:t xml:space="preserve"> </w:t>
      </w:r>
      <w:r>
        <w:t xml:space="preserve">(2026) doi:</w:t>
      </w:r>
      <w:hyperlink r:id="rId87">
        <w:r>
          <w:rPr>
            <w:rStyle w:val="Hyperlink"/>
          </w:rPr>
          <w:t xml:space="preserve">10.64898/2026.04.14.718485</w:t>
        </w:r>
      </w:hyperlink>
      <w:r>
        <w:t xml:space="preserve">.</w:t>
      </w:r>
    </w:p>
    <w:bookmarkEnd w:id="88"/>
    <w:bookmarkStart w:id="90" w:name="ref-ahlmanneltze2025"/>
    <w:p>
      <w:pPr>
        <w:pStyle w:val="Bibliography"/>
      </w:pPr>
      <w:r>
        <w:t xml:space="preserve">13.</w:t>
      </w:r>
      <w:r>
        <w:t xml:space="preserve"> </w:t>
      </w:r>
      <w:r>
        <w:t xml:space="preserve">	</w:t>
      </w:r>
      <w:r>
        <w:t xml:space="preserve">Ahlmann-Eltze, C., Huber, W. &amp; Anders, S.</w:t>
      </w:r>
      <w:r>
        <w:t xml:space="preserve"> </w:t>
      </w:r>
      <w:hyperlink r:id="rId89">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0"/>
    <w:bookmarkStart w:id="92"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1">
        <w:r>
          <w:rPr>
            <w:rStyle w:val="Hyperlink"/>
          </w:rPr>
          <w:t xml:space="preserve">https://doi.org/10.64898/2026.04.20.719650</w:t>
        </w:r>
      </w:hyperlink>
      <w:r>
        <w:t xml:space="preserve"> </w:t>
      </w:r>
      <w:r>
        <w:t xml:space="preserve">(2026) doi:</w:t>
      </w:r>
      <w:hyperlink r:id="rId91">
        <w:r>
          <w:rPr>
            <w:rStyle w:val="Hyperlink"/>
          </w:rPr>
          <w:t xml:space="preserve">10.64898/2026.04.20.719650</w:t>
        </w:r>
      </w:hyperlink>
      <w:r>
        <w:t xml:space="preserve">.</w:t>
      </w:r>
    </w:p>
    <w:bookmarkEnd w:id="92"/>
    <w:bookmarkStart w:id="94"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3">
        <w:r>
          <w:rPr>
            <w:rStyle w:val="Hyperlink"/>
          </w:rPr>
          <w:t xml:space="preserve">https://doi.org/10.64898/2026.02.04.703804</w:t>
        </w:r>
      </w:hyperlink>
      <w:r>
        <w:t xml:space="preserve"> </w:t>
      </w:r>
      <w:r>
        <w:t xml:space="preserve">(2026) doi:</w:t>
      </w:r>
      <w:hyperlink r:id="rId93">
        <w:r>
          <w:rPr>
            <w:rStyle w:val="Hyperlink"/>
          </w:rPr>
          <w:t xml:space="preserve">10.64898/2026.02.04.703804</w:t>
        </w:r>
      </w:hyperlink>
      <w:r>
        <w:t xml:space="preserve">.</w:t>
      </w:r>
    </w:p>
    <w:bookmarkEnd w:id="94"/>
    <w:bookmarkStart w:id="96"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5">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6"/>
    <w:bookmarkStart w:id="98" w:name="ref-dibaeinia2020"/>
    <w:p>
      <w:pPr>
        <w:pStyle w:val="Bibliography"/>
      </w:pPr>
      <w:r>
        <w:t xml:space="preserve">17.</w:t>
      </w:r>
      <w:r>
        <w:t xml:space="preserve"> </w:t>
      </w:r>
      <w:r>
        <w:t xml:space="preserve">	</w:t>
      </w:r>
      <w:r>
        <w:t xml:space="preserve">Dibaeinia, P. &amp; Sinha, S.</w:t>
      </w:r>
      <w:r>
        <w:t xml:space="preserve"> </w:t>
      </w:r>
      <w:hyperlink r:id="rId97">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98"/>
    <w:bookmarkStart w:id="100" w:name="ref-cannoodt2021"/>
    <w:p>
      <w:pPr>
        <w:pStyle w:val="Bibliography"/>
      </w:pPr>
      <w:r>
        <w:t xml:space="preserve">18.</w:t>
      </w:r>
      <w:r>
        <w:t xml:space="preserve"> </w:t>
      </w:r>
      <w:r>
        <w:t xml:space="preserve">	</w:t>
      </w:r>
      <w:r>
        <w:t xml:space="preserve">Cannoodt, R., Saelens, W., Deconinck, L. &amp; Saeys, Y.</w:t>
      </w:r>
      <w:r>
        <w:t xml:space="preserve"> </w:t>
      </w:r>
      <w:hyperlink r:id="rId99">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0"/>
    <w:bookmarkStart w:id="102" w:name="ref-li2025scmultisim"/>
    <w:p>
      <w:pPr>
        <w:pStyle w:val="Bibliography"/>
      </w:pPr>
      <w:r>
        <w:t xml:space="preserve">19.</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1">
        <w:r>
          <w:rPr>
            <w:rStyle w:val="Hyperlink"/>
          </w:rPr>
          <w:t xml:space="preserve">https://doi.org/10.1038/s41592-025-02651-0</w:t>
        </w:r>
      </w:hyperlink>
      <w:r>
        <w:t xml:space="preserve"> </w:t>
      </w:r>
      <w:r>
        <w:t xml:space="preserve">(2025) doi:</w:t>
      </w:r>
      <w:hyperlink r:id="rId101">
        <w:r>
          <w:rPr>
            <w:rStyle w:val="Hyperlink"/>
          </w:rPr>
          <w:t xml:space="preserve">10.1038/s41592-025-02651-0</w:t>
        </w:r>
      </w:hyperlink>
      <w:r>
        <w:t xml:space="preserve">.</w:t>
      </w:r>
    </w:p>
    <w:bookmarkEnd w:id="102"/>
    <w:bookmarkStart w:id="104" w:name="ref-zinati2024groundgan"/>
    <w:p>
      <w:pPr>
        <w:pStyle w:val="Bibliography"/>
      </w:pPr>
      <w:r>
        <w:t xml:space="preserve">20.</w:t>
      </w:r>
      <w:r>
        <w:t xml:space="preserve"> </w:t>
      </w:r>
      <w:r>
        <w:t xml:space="preserve">	</w:t>
      </w:r>
      <w:r>
        <w:t xml:space="preserve">Zinati, Y., Takiddeen, A. &amp; Emad, A.</w:t>
      </w:r>
      <w:r>
        <w:t xml:space="preserve"> </w:t>
      </w:r>
      <w:hyperlink r:id="rId103">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04"/>
    <w:bookmarkStart w:id="106" w:name="ref-pan2022tedsim"/>
    <w:p>
      <w:pPr>
        <w:pStyle w:val="Bibliography"/>
      </w:pPr>
      <w:r>
        <w:t xml:space="preserve">21.</w:t>
      </w:r>
      <w:r>
        <w:t xml:space="preserve"> </w:t>
      </w:r>
      <w:r>
        <w:t xml:space="preserve">	</w:t>
      </w:r>
      <w:r>
        <w:t xml:space="preserve">Pan, X., Li, H. &amp; Zhang, X.</w:t>
      </w:r>
      <w:r>
        <w:t xml:space="preserve"> </w:t>
      </w:r>
      <w:hyperlink r:id="rId105">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06"/>
    <w:bookmarkStart w:id="108" w:name="ref-pratapa2020"/>
    <w:p>
      <w:pPr>
        <w:pStyle w:val="Bibliography"/>
      </w:pPr>
      <w:r>
        <w:t xml:space="preserve">22.</w:t>
      </w:r>
      <w:r>
        <w:t xml:space="preserve"> </w:t>
      </w:r>
      <w:r>
        <w:t xml:space="preserve">	</w:t>
      </w:r>
      <w:r>
        <w:t xml:space="preserve">Pratapa, A., Jalihal, A. P., Law, J. N., Bharadwaj, A. &amp; Murali, T. M.</w:t>
      </w:r>
      <w:r>
        <w:t xml:space="preserve"> </w:t>
      </w:r>
      <w:hyperlink r:id="rId107">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08"/>
    <w:bookmarkStart w:id="110" w:name="ref-bertaux2018"/>
    <w:p>
      <w:pPr>
        <w:pStyle w:val="Bibliography"/>
      </w:pPr>
      <w:r>
        <w:t xml:space="preserve">23.</w:t>
      </w:r>
      <w:r>
        <w:t xml:space="preserve"> </w:t>
      </w:r>
      <w:r>
        <w:t xml:space="preserve">	</w:t>
      </w:r>
      <w:r>
        <w:t xml:space="preserve">Bertaux, F., Marguerat, S. &amp; Shahrezaei, V.</w:t>
      </w:r>
      <w:r>
        <w:t xml:space="preserve"> </w:t>
      </w:r>
      <w:hyperlink r:id="rId109">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0"/>
    <w:bookmarkStart w:id="112" w:name="ref-piho2025abm"/>
    <w:p>
      <w:pPr>
        <w:pStyle w:val="Bibliography"/>
      </w:pPr>
      <w:r>
        <w:t xml:space="preserve">24.</w:t>
      </w:r>
      <w:r>
        <w:t xml:space="preserve"> </w:t>
      </w:r>
      <w:r>
        <w:t xml:space="preserve">	</w:t>
      </w:r>
      <w:r>
        <w:t xml:space="preserve">Piho, P. &amp; Thomas, P.</w:t>
      </w:r>
      <w:r>
        <w:t xml:space="preserve"> </w:t>
      </w:r>
      <w:hyperlink r:id="rId11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12"/>
    <w:bookmarkStart w:id="114" w:name="ref-lasri2022"/>
    <w:p>
      <w:pPr>
        <w:pStyle w:val="Bibliography"/>
      </w:pPr>
      <w:r>
        <w:t xml:space="preserve">25.</w:t>
      </w:r>
      <w:r>
        <w:t xml:space="preserve"> </w:t>
      </w:r>
      <w:r>
        <w:t xml:space="preserve">	</w:t>
      </w:r>
      <w:r>
        <w:t xml:space="preserve">Lasri, A., Shahrezaei, V. &amp; Sturrock, M.</w:t>
      </w:r>
      <w:r>
        <w:t xml:space="preserve"> </w:t>
      </w:r>
      <w:hyperlink r:id="rId113">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14"/>
    <w:bookmarkStart w:id="116" w:name="ref-jones2020cassiopeia"/>
    <w:p>
      <w:pPr>
        <w:pStyle w:val="Bibliography"/>
      </w:pPr>
      <w:r>
        <w:t xml:space="preserve">26.</w:t>
      </w:r>
      <w:r>
        <w:t xml:space="preserve"> </w:t>
      </w:r>
      <w:r>
        <w:t xml:space="preserve">	</w:t>
      </w:r>
      <w:r>
        <w:t xml:space="preserve">Jones, M. G.</w:t>
      </w:r>
      <w:r>
        <w:t xml:space="preserve"> </w:t>
      </w:r>
      <w:r>
        <w:rPr>
          <w:i/>
          <w:iCs/>
        </w:rPr>
        <w:t xml:space="preserve">et al.</w:t>
      </w:r>
      <w:r>
        <w:t xml:space="preserve"> </w:t>
      </w:r>
      <w:hyperlink r:id="rId11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6"/>
    <w:bookmarkStart w:id="118" w:name="ref-peccoud1995"/>
    <w:p>
      <w:pPr>
        <w:pStyle w:val="Bibliography"/>
      </w:pPr>
      <w:r>
        <w:t xml:space="preserve">27.</w:t>
      </w:r>
      <w:r>
        <w:t xml:space="preserve"> </w:t>
      </w:r>
      <w:r>
        <w:t xml:space="preserve">	</w:t>
      </w:r>
      <w:r>
        <w:t xml:space="preserve">Peccoud, J. &amp; Ycart, B.</w:t>
      </w:r>
      <w:r>
        <w:t xml:space="preserve"> </w:t>
      </w:r>
      <w:hyperlink r:id="rId117">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18"/>
    <w:bookmarkStart w:id="120" w:name="ref-gunnarsson2020"/>
    <w:p>
      <w:pPr>
        <w:pStyle w:val="Bibliography"/>
      </w:pPr>
      <w:r>
        <w:t xml:space="preserve">28.</w:t>
      </w:r>
      <w:r>
        <w:t xml:space="preserve"> </w:t>
      </w:r>
      <w:r>
        <w:t xml:space="preserve">	</w:t>
      </w:r>
      <w:r>
        <w:t xml:space="preserve">Gunnarsson, E. B., De, S., Leder, K. &amp; Foo, J.</w:t>
      </w:r>
      <w:r>
        <w:t xml:space="preserve"> </w:t>
      </w:r>
      <w:hyperlink r:id="rId119">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20"/>
    <w:bookmarkStart w:id="122" w:name="ref-lasri2020"/>
    <w:p>
      <w:pPr>
        <w:pStyle w:val="Bibliography"/>
      </w:pPr>
      <w:r>
        <w:t xml:space="preserve">29.</w:t>
      </w:r>
      <w:r>
        <w:t xml:space="preserve"> </w:t>
      </w:r>
      <w:r>
        <w:t xml:space="preserve">	</w:t>
      </w:r>
      <w:r>
        <w:t xml:space="preserve">Lasri, A.</w:t>
      </w:r>
      <w:r>
        <w:t xml:space="preserve"> </w:t>
      </w:r>
      <w:r>
        <w:rPr>
          <w:i/>
          <w:iCs/>
        </w:rPr>
        <w:t xml:space="preserve">et al.</w:t>
      </w:r>
      <w:r>
        <w:t xml:space="preserve"> </w:t>
      </w:r>
      <w:hyperlink r:id="rId121">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22"/>
    <w:bookmarkStart w:id="124" w:name="ref-corigliano2025"/>
    <w:p>
      <w:pPr>
        <w:pStyle w:val="Bibliography"/>
      </w:pPr>
      <w:r>
        <w:t xml:space="preserve">30.</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23">
        <w:r>
          <w:rPr>
            <w:rStyle w:val="Hyperlink"/>
          </w:rPr>
          <w:t xml:space="preserve">https://doi.org/10.1103/mh5v-lcyw</w:t>
        </w:r>
      </w:hyperlink>
      <w:r>
        <w:t xml:space="preserve"> </w:t>
      </w:r>
      <w:r>
        <w:t xml:space="preserve">(2025) doi:</w:t>
      </w:r>
      <w:hyperlink r:id="rId123">
        <w:r>
          <w:rPr>
            <w:rStyle w:val="Hyperlink"/>
          </w:rPr>
          <w:t xml:space="preserve">10.1103/mh5v-lcyw</w:t>
        </w:r>
      </w:hyperlink>
      <w:r>
        <w:t xml:space="preserve">.</w:t>
      </w:r>
    </w:p>
    <w:bookmarkEnd w:id="124"/>
    <w:bookmarkStart w:id="126" w:name="ref-bernton2019"/>
    <w:p>
      <w:pPr>
        <w:pStyle w:val="Bibliography"/>
      </w:pPr>
      <w:r>
        <w:t xml:space="preserve">31.</w:t>
      </w:r>
      <w:r>
        <w:t xml:space="preserve"> </w:t>
      </w:r>
      <w:r>
        <w:t xml:space="preserve">	</w:t>
      </w:r>
      <w:r>
        <w:t xml:space="preserve">Bernton, E., Jacob, P. E., Gerber, M. &amp; Robert, C. P.</w:t>
      </w:r>
      <w:r>
        <w:t xml:space="preserve"> </w:t>
      </w:r>
      <w:hyperlink r:id="rId125">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26"/>
    <w:bookmarkStart w:id="128" w:name="ref-algazi2020"/>
    <w:p>
      <w:pPr>
        <w:pStyle w:val="Bibliography"/>
      </w:pPr>
      <w:r>
        <w:t xml:space="preserve">32.</w:t>
      </w:r>
      <w:r>
        <w:t xml:space="preserve"> </w:t>
      </w:r>
      <w:r>
        <w:t xml:space="preserve">	</w:t>
      </w:r>
      <w:r>
        <w:t xml:space="preserve">Algazi, A. P.</w:t>
      </w:r>
      <w:r>
        <w:t xml:space="preserve"> </w:t>
      </w:r>
      <w:r>
        <w:rPr>
          <w:i/>
          <w:iCs/>
        </w:rPr>
        <w:t xml:space="preserve">et al.</w:t>
      </w:r>
      <w:r>
        <w:t xml:space="preserve"> </w:t>
      </w:r>
      <w:hyperlink r:id="rId127">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28"/>
    <w:bookmarkStart w:id="130" w:name="ref-zhang2017adaptive"/>
    <w:p>
      <w:pPr>
        <w:pStyle w:val="Bibliography"/>
      </w:pPr>
      <w:r>
        <w:t xml:space="preserve">33.</w:t>
      </w:r>
      <w:r>
        <w:t xml:space="preserve"> </w:t>
      </w:r>
      <w:r>
        <w:t xml:space="preserve">	</w:t>
      </w:r>
      <w:r>
        <w:t xml:space="preserve">Zhang, J., Cunningham, J. J., Brown, J. S. &amp; Gatenby, R. A.</w:t>
      </w:r>
      <w:r>
        <w:t xml:space="preserve"> </w:t>
      </w:r>
      <w:hyperlink r:id="rId129">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30"/>
    <w:bookmarkStart w:id="132" w:name="ref-dasthakur2013"/>
    <w:p>
      <w:pPr>
        <w:pStyle w:val="Bibliography"/>
      </w:pPr>
      <w:r>
        <w:t xml:space="preserve">34.</w:t>
      </w:r>
      <w:r>
        <w:t xml:space="preserve"> </w:t>
      </w:r>
      <w:r>
        <w:t xml:space="preserve">	</w:t>
      </w:r>
      <w:r>
        <w:t xml:space="preserve">Das Thakur, M.</w:t>
      </w:r>
      <w:r>
        <w:t xml:space="preserve"> </w:t>
      </w:r>
      <w:r>
        <w:rPr>
          <w:i/>
          <w:iCs/>
        </w:rPr>
        <w:t xml:space="preserve">et al.</w:t>
      </w:r>
      <w:r>
        <w:t xml:space="preserve"> </w:t>
      </w:r>
      <w:hyperlink r:id="rId131">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32"/>
    <w:bookmarkStart w:id="134" w:name="ref-strobl2021"/>
    <w:p>
      <w:pPr>
        <w:pStyle w:val="Bibliography"/>
      </w:pPr>
      <w:r>
        <w:t xml:space="preserve">35.</w:t>
      </w:r>
      <w:r>
        <w:t xml:space="preserve"> </w:t>
      </w:r>
      <w:r>
        <w:t xml:space="preserve">	</w:t>
      </w:r>
      <w:r>
        <w:t xml:space="preserve">Strobl, M. A. R.</w:t>
      </w:r>
      <w:r>
        <w:t xml:space="preserve"> </w:t>
      </w:r>
      <w:r>
        <w:rPr>
          <w:i/>
          <w:iCs/>
        </w:rPr>
        <w:t xml:space="preserve">et al.</w:t>
      </w:r>
      <w:r>
        <w:t xml:space="preserve"> </w:t>
      </w:r>
      <w:hyperlink r:id="rId133">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34"/>
    <w:bookmarkStart w:id="136" w:name="ref-gilbert2013"/>
    <w:p>
      <w:pPr>
        <w:pStyle w:val="Bibliography"/>
      </w:pPr>
      <w:r>
        <w:t xml:space="preserve">36.</w:t>
      </w:r>
      <w:r>
        <w:t xml:space="preserve"> </w:t>
      </w:r>
      <w:r>
        <w:t xml:space="preserve">	</w:t>
      </w:r>
      <w:r>
        <w:t xml:space="preserve">Gilbert, M. R.</w:t>
      </w:r>
      <w:r>
        <w:t xml:space="preserve"> </w:t>
      </w:r>
      <w:r>
        <w:rPr>
          <w:i/>
          <w:iCs/>
        </w:rPr>
        <w:t xml:space="preserve">et al.</w:t>
      </w:r>
      <w:r>
        <w:t xml:space="preserve"> </w:t>
      </w:r>
      <w:hyperlink r:id="rId135">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36"/>
    <w:bookmarkStart w:id="138" w:name="ref-ostermann2004"/>
    <w:p>
      <w:pPr>
        <w:pStyle w:val="Bibliography"/>
      </w:pPr>
      <w:r>
        <w:t xml:space="preserve">37.</w:t>
      </w:r>
      <w:r>
        <w:t xml:space="preserve"> </w:t>
      </w:r>
      <w:r>
        <w:t xml:space="preserve">	</w:t>
      </w:r>
      <w:r>
        <w:t xml:space="preserve">Ostermann, S.</w:t>
      </w:r>
      <w:r>
        <w:t xml:space="preserve"> </w:t>
      </w:r>
      <w:r>
        <w:rPr>
          <w:i/>
          <w:iCs/>
        </w:rPr>
        <w:t xml:space="preserve">et al.</w:t>
      </w:r>
      <w:r>
        <w:t xml:space="preserve"> </w:t>
      </w:r>
      <w:hyperlink r:id="rId137">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38"/>
    <w:bookmarkStart w:id="140" w:name="ref-gillespie1977"/>
    <w:p>
      <w:pPr>
        <w:pStyle w:val="Bibliography"/>
      </w:pPr>
      <w:r>
        <w:t xml:space="preserve">38.</w:t>
      </w:r>
      <w:r>
        <w:t xml:space="preserve"> </w:t>
      </w:r>
      <w:r>
        <w:t xml:space="preserve">	</w:t>
      </w:r>
      <w:r>
        <w:t xml:space="preserve">Gillespie, D. T.</w:t>
      </w:r>
      <w:r>
        <w:t xml:space="preserve"> </w:t>
      </w:r>
      <w:hyperlink r:id="rId139">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40"/>
    <w:bookmarkStart w:id="142" w:name="ref-gillespie2001"/>
    <w:p>
      <w:pPr>
        <w:pStyle w:val="Bibliography"/>
      </w:pPr>
      <w:r>
        <w:t xml:space="preserve">39.</w:t>
      </w:r>
      <w:r>
        <w:t xml:space="preserve"> </w:t>
      </w:r>
      <w:r>
        <w:t xml:space="preserve">	</w:t>
      </w:r>
      <w:r>
        <w:t xml:space="preserve">Gillespie, D. T.</w:t>
      </w:r>
      <w:r>
        <w:t xml:space="preserve"> </w:t>
      </w:r>
      <w:hyperlink r:id="rId141">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42"/>
    <w:bookmarkStart w:id="144" w:name="ref-cao2006"/>
    <w:p>
      <w:pPr>
        <w:pStyle w:val="Bibliography"/>
      </w:pPr>
      <w:r>
        <w:t xml:space="preserve">40.</w:t>
      </w:r>
      <w:r>
        <w:t xml:space="preserve"> </w:t>
      </w:r>
      <w:r>
        <w:t xml:space="preserve">	</w:t>
      </w:r>
      <w:r>
        <w:t xml:space="preserve">Cao, Y., Gillespie, D. T. &amp; Petzold, L. R.</w:t>
      </w:r>
      <w:r>
        <w:t xml:space="preserve"> </w:t>
      </w:r>
      <w:hyperlink r:id="rId143">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44"/>
    <w:bookmarkStart w:id="146" w:name="ref-cao2005"/>
    <w:p>
      <w:pPr>
        <w:pStyle w:val="Bibliography"/>
      </w:pPr>
      <w:r>
        <w:t xml:space="preserve">41.</w:t>
      </w:r>
      <w:r>
        <w:t xml:space="preserve"> </w:t>
      </w:r>
      <w:r>
        <w:t xml:space="preserve">	</w:t>
      </w:r>
      <w:r>
        <w:t xml:space="preserve">Cao, Y., Gillespie, D. T. &amp; Petzold, L. R.</w:t>
      </w:r>
      <w:r>
        <w:t xml:space="preserve"> </w:t>
      </w:r>
      <w:hyperlink r:id="rId14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46"/>
    <w:bookmarkStart w:id="148" w:name="ref-shaffer2020"/>
    <w:p>
      <w:pPr>
        <w:pStyle w:val="Bibliography"/>
      </w:pPr>
      <w:r>
        <w:t xml:space="preserve">42.</w:t>
      </w:r>
      <w:r>
        <w:t xml:space="preserve"> </w:t>
      </w:r>
      <w:r>
        <w:t xml:space="preserve">	</w:t>
      </w:r>
      <w:r>
        <w:t xml:space="preserve">Shaffer, S. M.</w:t>
      </w:r>
      <w:r>
        <w:t xml:space="preserve"> </w:t>
      </w:r>
      <w:r>
        <w:rPr>
          <w:i/>
          <w:iCs/>
        </w:rPr>
        <w:t xml:space="preserve">et al.</w:t>
      </w:r>
      <w:r>
        <w:t xml:space="preserve"> </w:t>
      </w:r>
      <w:hyperlink r:id="rId147">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48"/>
    <w:bookmarkStart w:id="150" w:name="ref-toni2009"/>
    <w:p>
      <w:pPr>
        <w:pStyle w:val="Bibliography"/>
      </w:pPr>
      <w:r>
        <w:t xml:space="preserve">43.</w:t>
      </w:r>
      <w:r>
        <w:t xml:space="preserve"> </w:t>
      </w:r>
      <w:r>
        <w:t xml:space="preserve">	</w:t>
      </w:r>
      <w:r>
        <w:t xml:space="preserve">Toni, T., Welch, D., Strelkowa, N., Ipsen, A. &amp; Stumpf, M. P. H.</w:t>
      </w:r>
      <w:r>
        <w:t xml:space="preserve"> </w:t>
      </w:r>
      <w:hyperlink r:id="rId14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50"/>
    <w:bookmarkStart w:id="152" w:name="ref-ellingson2016"/>
    <w:p>
      <w:pPr>
        <w:pStyle w:val="Bibliography"/>
      </w:pPr>
      <w:r>
        <w:t xml:space="preserve">44.</w:t>
      </w:r>
      <w:r>
        <w:t xml:space="preserve"> </w:t>
      </w:r>
      <w:r>
        <w:t xml:space="preserve">	</w:t>
      </w:r>
      <w:r>
        <w:t xml:space="preserve">Ellingson, B. M.</w:t>
      </w:r>
      <w:r>
        <w:t xml:space="preserve"> </w:t>
      </w:r>
      <w:r>
        <w:rPr>
          <w:i/>
          <w:iCs/>
        </w:rPr>
        <w:t xml:space="preserve">et al.</w:t>
      </w:r>
      <w:r>
        <w:t xml:space="preserve"> </w:t>
      </w:r>
      <w:hyperlink r:id="rId151">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52"/>
    <w:bookmarkStart w:id="154" w:name="ref-stensjoen2015"/>
    <w:p>
      <w:pPr>
        <w:pStyle w:val="Bibliography"/>
      </w:pPr>
      <w:r>
        <w:t xml:space="preserve">45.</w:t>
      </w:r>
      <w:r>
        <w:t xml:space="preserve"> </w:t>
      </w:r>
      <w:r>
        <w:t xml:space="preserve">	</w:t>
      </w:r>
      <w:r>
        <w:t xml:space="preserve">Stensjøen, A. L.</w:t>
      </w:r>
      <w:r>
        <w:t xml:space="preserve"> </w:t>
      </w:r>
      <w:r>
        <w:rPr>
          <w:i/>
          <w:iCs/>
        </w:rPr>
        <w:t xml:space="preserve">et al.</w:t>
      </w:r>
      <w:r>
        <w:t xml:space="preserve"> </w:t>
      </w:r>
      <w:hyperlink r:id="rId153">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54"/>
    <w:bookmarkStart w:id="156" w:name="ref-friedman2006"/>
    <w:p>
      <w:pPr>
        <w:pStyle w:val="Bibliography"/>
      </w:pPr>
      <w:r>
        <w:t xml:space="preserve">46.</w:t>
      </w:r>
      <w:r>
        <w:t xml:space="preserve"> </w:t>
      </w:r>
      <w:r>
        <w:t xml:space="preserve">	</w:t>
      </w:r>
      <w:r>
        <w:t xml:space="preserve">Friedman, N., Cai, L. &amp; Xie, X. S.</w:t>
      </w:r>
      <w:r>
        <w:t xml:space="preserve"> </w:t>
      </w:r>
      <w:hyperlink r:id="rId155">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56"/>
    <w:bookmarkStart w:id="158" w:name="ref-shahrezaei2008"/>
    <w:p>
      <w:pPr>
        <w:pStyle w:val="Bibliography"/>
      </w:pPr>
      <w:r>
        <w:t xml:space="preserve">47.</w:t>
      </w:r>
      <w:r>
        <w:t xml:space="preserve"> </w:t>
      </w:r>
      <w:r>
        <w:t xml:space="preserve">	</w:t>
      </w:r>
      <w:r>
        <w:t xml:space="preserve">Shahrezaei, V. &amp; Swain, P. S.</w:t>
      </w:r>
      <w:r>
        <w:t xml:space="preserve"> </w:t>
      </w:r>
      <w:hyperlink r:id="rId157">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58"/>
    <w:bookmarkStart w:id="160" w:name="ref-sciml"/>
    <w:p>
      <w:pPr>
        <w:pStyle w:val="Bibliography"/>
      </w:pPr>
      <w:r>
        <w:t xml:space="preserve">48.</w:t>
      </w:r>
      <w:r>
        <w:t xml:space="preserve"> </w:t>
      </w:r>
      <w:r>
        <w:t xml:space="preserve">	</w:t>
      </w:r>
      <w:r>
        <w:t xml:space="preserve">Rackauckas, C. &amp; Nie, Q.</w:t>
      </w:r>
      <w:r>
        <w:t xml:space="preserve"> </w:t>
      </w:r>
      <w:hyperlink r:id="rId15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60"/>
    <w:bookmarkStart w:id="162" w:name="ref-huh2011"/>
    <w:p>
      <w:pPr>
        <w:pStyle w:val="Bibliography"/>
      </w:pPr>
      <w:r>
        <w:t xml:space="preserve">49.</w:t>
      </w:r>
      <w:r>
        <w:t xml:space="preserve"> </w:t>
      </w:r>
      <w:r>
        <w:t xml:space="preserve">	</w:t>
      </w:r>
      <w:r>
        <w:t xml:space="preserve">Huh, D. &amp; Paulsson, J.</w:t>
      </w:r>
      <w:r>
        <w:t xml:space="preserve"> </w:t>
      </w:r>
      <w:hyperlink r:id="rId161">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62"/>
    <w:bookmarkStart w:id="164" w:name="ref-huynhthu2010"/>
    <w:p>
      <w:pPr>
        <w:pStyle w:val="Bibliography"/>
      </w:pPr>
      <w:r>
        <w:t xml:space="preserve">50.</w:t>
      </w:r>
      <w:r>
        <w:t xml:space="preserve"> </w:t>
      </w:r>
      <w:r>
        <w:t xml:space="preserve">	</w:t>
      </w:r>
      <w:r>
        <w:t xml:space="preserve">Huynh-Thu, V. A., Irrthum, A., Wehenkel, L. &amp; Geurts, P.</w:t>
      </w:r>
      <w:r>
        <w:t xml:space="preserve"> </w:t>
      </w:r>
      <w:hyperlink r:id="rId163">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64"/>
    <w:bookmarkStart w:id="166" w:name="ref-vandijk2018"/>
    <w:p>
      <w:pPr>
        <w:pStyle w:val="Bibliography"/>
      </w:pPr>
      <w:r>
        <w:t xml:space="preserve">51.</w:t>
      </w:r>
      <w:r>
        <w:t xml:space="preserve"> </w:t>
      </w:r>
      <w:r>
        <w:t xml:space="preserve">	</w:t>
      </w:r>
      <w:r>
        <w:t xml:space="preserve">Dijk, D. van</w:t>
      </w:r>
      <w:r>
        <w:t xml:space="preserve"> </w:t>
      </w:r>
      <w:r>
        <w:rPr>
          <w:i/>
          <w:iCs/>
        </w:rPr>
        <w:t xml:space="preserve">et al.</w:t>
      </w:r>
      <w:r>
        <w:t xml:space="preserve"> </w:t>
      </w:r>
      <w:hyperlink r:id="rId165">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166"/>
    <w:bookmarkStart w:id="168" w:name="ref-wagner2018"/>
    <w:p>
      <w:pPr>
        <w:pStyle w:val="Bibliography"/>
      </w:pPr>
      <w:r>
        <w:t xml:space="preserve">52.</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167">
        <w:r>
          <w:rPr>
            <w:rStyle w:val="Hyperlink"/>
          </w:rPr>
          <w:t xml:space="preserve">https://doi.org/10.1101/217737</w:t>
        </w:r>
      </w:hyperlink>
      <w:r>
        <w:t xml:space="preserve"> </w:t>
      </w:r>
      <w:r>
        <w:t xml:space="preserve">(2018) doi:</w:t>
      </w:r>
      <w:hyperlink r:id="rId167">
        <w:r>
          <w:rPr>
            <w:rStyle w:val="Hyperlink"/>
          </w:rPr>
          <w:t xml:space="preserve">10.1101/217737</w:t>
        </w:r>
      </w:hyperlink>
      <w:r>
        <w:t xml:space="preserve">.</w:t>
      </w:r>
    </w:p>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Lasri1</dc:creator>
  <cp:keywords/>
  <dcterms:created xsi:type="dcterms:W3CDTF">2026-09-20T07:58:52Z</dcterms:created>
  <dcterms:modified xsi:type="dcterms:W3CDTF">2026-09-20T07:58:52Z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vt:lpwstr>
  </property>
  <property fmtid="{D5CDD505-2E9C-101B-9397-08002B2CF9AE}" pid="3" name="bibliography">
    <vt:lpwstr/>
  </property>
  <property fmtid="{D5CDD505-2E9C-101B-9397-08002B2CF9AE}" pid="4" name="csl">
    <vt:lpwstr>nature.csl</vt:lpwstr>
  </property>
  <property fmtid="{D5CDD505-2E9C-101B-9397-08002B2CF9AE}" pid="5" name="date">
    <vt:lpwstr>1 Department of Physiology and Medical Physics, Royal College of Surgeons in Ireland, Dublin, Ireland. Correspondence: alasri@berache.com</vt:lpwstr>
  </property>
</Properties>
</file>