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Berache</w:t>
      </w:r>
      <w:r>
        <w:t xml:space="preserve"> </w:t>
      </w:r>
      <w:r>
        <w:t xml:space="preserve">Limited,</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can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being</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the</w:t>
      </w:r>
      <w:r>
        <w:t xml:space="preserve"> </w:t>
      </w:r>
      <w:r>
        <w:t xml:space="preserve">framework</w:t>
      </w:r>
      <w:r>
        <w:t xml:space="preserve"> </w:t>
      </w:r>
      <w:r>
        <w:t xml:space="preserve">supplies</w:t>
      </w:r>
      <w:r>
        <w:t xml:space="preserve"> </w:t>
      </w:r>
      <w:r>
        <w:t xml:space="preserve">the</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U2OS</w:t>
      </w:r>
      <w:r>
        <w:t xml:space="preserve"> </w:t>
      </w:r>
      <w:r>
        <w:t xml:space="preserve">cells,</w:t>
      </w:r>
      <w:r>
        <w:t xml:space="preserve"> </w:t>
      </w:r>
      <w:r>
        <w:t xml:space="preserve">the</w:t>
      </w:r>
      <w:r>
        <w:t xml:space="preserve"> </w:t>
      </w:r>
      <w:r>
        <w:t xml:space="preserve">model</w:t>
      </w:r>
      <w:r>
        <w:t xml:space="preserve"> </w:t>
      </w:r>
      <w:r>
        <w:t xml:space="preserve">reproduces</w:t>
      </w:r>
      <w:r>
        <w:t xml:space="preserve"> </w:t>
      </w:r>
      <w:r>
        <w:t xml:space="preserve">their</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matches</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reported</w:t>
      </w:r>
      <w:r>
        <w:t xml:space="preserve"> </w:t>
      </w:r>
      <w:r>
        <w:t xml:space="preserve">for</w:t>
      </w:r>
      <w:r>
        <w:t xml:space="preserve"> </w:t>
      </w:r>
      <w:r>
        <w:t xml:space="preserve">HCT116</w:t>
      </w:r>
      <w:r>
        <w:t xml:space="preserve"> </w:t>
      </w:r>
      <w:r>
        <w:t xml:space="preserve">cells</w:t>
      </w:r>
      <w:r>
        <w:t xml:space="preserve"> </w:t>
      </w:r>
      <w:r>
        <w:t xml:space="preserve">in</w:t>
      </w:r>
      <w:r>
        <w:t xml:space="preserve"> </w:t>
      </w:r>
      <w:r>
        <w:t xml:space="preserve">the</w:t>
      </w:r>
      <w:r>
        <w:t xml:space="preserve"> </w:t>
      </w:r>
      <w:r>
        <w:t xml:space="preserve">same</w:t>
      </w:r>
      <w:r>
        <w:t xml:space="preserve"> </w:t>
      </w:r>
      <w:r>
        <w:t xml:space="preserve">study.</w:t>
      </w:r>
      <w:r>
        <w:t xml:space="preserve"> </w:t>
      </w:r>
      <w:r>
        <w:t xml:space="preserve">That</w:t>
      </w:r>
      <w:r>
        <w:t xml:space="preserve"> </w:t>
      </w:r>
      <w:r>
        <w:t xml:space="preserve">match</w:t>
      </w:r>
      <w:r>
        <w:t xml:space="preserve"> </w:t>
      </w:r>
      <w:r>
        <w:t xml:space="preserve">is</w:t>
      </w:r>
      <w:r>
        <w:t xml:space="preserve"> </w:t>
      </w:r>
      <w:r>
        <w:t xml:space="preserve">a</w:t>
      </w:r>
      <w:r>
        <w:t xml:space="preserve"> </w:t>
      </w:r>
      <w:r>
        <w:t xml:space="preserve">consistency</w:t>
      </w:r>
      <w:r>
        <w:t xml:space="preserve"> </w:t>
      </w:r>
      <w:r>
        <w:t xml:space="preserve">check</w:t>
      </w:r>
      <w:r>
        <w:t xml:space="preserve"> </w:t>
      </w:r>
      <w:r>
        <w:t xml:space="preserve">across</w:t>
      </w:r>
      <w:r>
        <w:t xml:space="preserve"> </w:t>
      </w:r>
      <w:r>
        <w:t xml:space="preserve">cell</w:t>
      </w:r>
      <w:r>
        <w:t xml:space="preserve"> </w:t>
      </w:r>
      <w:r>
        <w:t xml:space="preserve">lines</w:t>
      </w:r>
      <w:r>
        <w:t xml:space="preserve"> </w:t>
      </w:r>
      <w:r>
        <w:t xml:space="preserve">rather</w:t>
      </w:r>
      <w:r>
        <w:t xml:space="preserve"> </w:t>
      </w:r>
      <w:r>
        <w:t xml:space="preserve">than</w:t>
      </w:r>
      <w:r>
        <w:t xml:space="preserve"> </w:t>
      </w:r>
      <w:r>
        <w:t xml:space="preserve">an</w:t>
      </w:r>
      <w:r>
        <w:t xml:space="preserve"> </w:t>
      </w:r>
      <w:r>
        <w:t xml:space="preserve">independent</w:t>
      </w:r>
      <w:r>
        <w:t xml:space="preserve"> </w:t>
      </w:r>
      <w:r>
        <w:t xml:space="preserve">validation,</w:t>
      </w:r>
      <w:r>
        <w:t xml:space="preserve"> </w:t>
      </w:r>
      <w:r>
        <w:t xml:space="preserve">because</w:t>
      </w:r>
      <w:r>
        <w:t xml:space="preserve"> </w:t>
      </w:r>
      <w:r>
        <w:t xml:space="preserve">the</w:t>
      </w:r>
      <w:r>
        <w:t xml:space="preserve"> </w:t>
      </w:r>
      <w:r>
        <w:t xml:space="preserve">memory</w:t>
      </w:r>
      <w:r>
        <w:t xml:space="preserve"> </w:t>
      </w:r>
      <w:r>
        <w:t xml:space="preserve">timescale</w:t>
      </w:r>
      <w:r>
        <w:t xml:space="preserve"> </w:t>
      </w:r>
      <w:r>
        <w:t xml:space="preserve">was</w:t>
      </w:r>
      <w:r>
        <w:t xml:space="preserve"> </w:t>
      </w:r>
      <w:r>
        <w:t xml:space="preserve">taken</w:t>
      </w:r>
      <w:r>
        <w:t xml:space="preserve"> </w:t>
      </w:r>
      <w:r>
        <w:t xml:space="preserve">from</w:t>
      </w:r>
      <w:r>
        <w:t xml:space="preserve"> </w:t>
      </w:r>
      <w:r>
        <w:t xml:space="preserve">those</w:t>
      </w:r>
      <w:r>
        <w:t xml:space="preserve"> </w:t>
      </w:r>
      <w:r>
        <w:t xml:space="preserve">correlations</w:t>
      </w:r>
      <w:r>
        <w:t xml:space="preserve"> </w:t>
      </w:r>
      <w:r>
        <w:t xml:space="preserve">as</w:t>
      </w:r>
      <w:r>
        <w:t xml:space="preserve"> </w:t>
      </w:r>
      <w:r>
        <w:t xml:space="preserve">a</w:t>
      </w:r>
      <w:r>
        <w:t xml:space="preserve"> </w:t>
      </w:r>
      <w:r>
        <w:t xml:space="preserve">prior;</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it</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The</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the</w:t>
      </w:r>
      <w:r>
        <w:t xml:space="preserve"> </w:t>
      </w:r>
      <w:r>
        <w:t xml:space="preserve">xenograft</w:t>
      </w:r>
      <w:r>
        <w:t xml:space="preserve"> </w:t>
      </w:r>
      <w:r>
        <w:t xml:space="preserve">ranking</w:t>
      </w:r>
      <w:r>
        <w:t xml:space="preserve"> </w:t>
      </w:r>
      <w:r>
        <w:t xml:space="preserve">as</w:t>
      </w:r>
      <w:r>
        <w:t xml:space="preserve"> </w:t>
      </w:r>
      <w:r>
        <w:t xml:space="preserve">a</w:t>
      </w:r>
      <w:r>
        <w:t xml:space="preserve"> </w:t>
      </w:r>
      <w:r>
        <w:t xml:space="preserve">lower</w:t>
      </w:r>
      <w:r>
        <w:t xml:space="preserve"> </w:t>
      </w:r>
      <w:r>
        <w:t xml:space="preserve">tumour</w:t>
      </w:r>
      <w:r>
        <w:t xml:space="preserve"> </w:t>
      </w:r>
      <w:r>
        <w:t xml:space="preserve">burden</w:t>
      </w:r>
      <w:r>
        <w:t xml:space="preserve"> </w:t>
      </w:r>
      <w:r>
        <w:t xml:space="preserve">at</w:t>
      </w:r>
      <w:r>
        <w:t xml:space="preserve"> </w:t>
      </w:r>
      <w:r>
        <w:t xml:space="preserve">the</w:t>
      </w:r>
      <w:r>
        <w:t xml:space="preserve"> </w:t>
      </w:r>
      <w:r>
        <w:t xml:space="preserve">end</w:t>
      </w:r>
      <w:r>
        <w:t xml:space="preserve"> </w:t>
      </w:r>
      <w:r>
        <w:t xml:space="preserve">of</w:t>
      </w:r>
      <w:r>
        <w:t xml:space="preserve"> </w:t>
      </w:r>
      <w:r>
        <w:t xml:space="preserve">the</w:t>
      </w:r>
      <w:r>
        <w:t xml:space="preserve"> </w:t>
      </w:r>
      <w:r>
        <w:t xml:space="preserve">60-week</w:t>
      </w:r>
      <w:r>
        <w:t xml:space="preserve"> </w:t>
      </w:r>
      <w:r>
        <w:t xml:space="preserve">simulation</w:t>
      </w:r>
      <w:r>
        <w:t xml:space="preserve"> </w:t>
      </w:r>
      <w:r>
        <w:t xml:space="preserve">rather</w:t>
      </w:r>
      <w:r>
        <w:t xml:space="preserve"> </w:t>
      </w:r>
      <w:r>
        <w:t xml:space="preserve">than</w:t>
      </w:r>
      <w:r>
        <w:t xml:space="preserve"> </w:t>
      </w:r>
      <w:r>
        <w:t xml:space="preserve">as</w:t>
      </w:r>
      <w:r>
        <w:t xml:space="preserve"> </w:t>
      </w:r>
      <w:r>
        <w:t xml:space="preserve">a</w:t>
      </w:r>
      <w:r>
        <w:t xml:space="preserve"> </w:t>
      </w:r>
      <w:r>
        <w:t xml:space="preserve">longer</w:t>
      </w:r>
      <w:r>
        <w:t xml:space="preserve"> </w:t>
      </w:r>
      <w:r>
        <w:t xml:space="preserve">time</w:t>
      </w:r>
      <w:r>
        <w:t xml:space="preserve"> </w:t>
      </w:r>
      <w:r>
        <w:t xml:space="preserve">to</w:t>
      </w:r>
      <w:r>
        <w:t xml:space="preserve"> </w:t>
      </w:r>
      <w:r>
        <w:t xml:space="preserve">loss</w:t>
      </w:r>
      <w:r>
        <w:t xml:space="preserve"> </w:t>
      </w:r>
      <w:r>
        <w:t xml:space="preserve">of</w:t>
      </w:r>
      <w:r>
        <w:t xml:space="preserve"> </w:t>
      </w:r>
      <w:r>
        <w:t xml:space="preserve">control,</w:t>
      </w:r>
      <w:r>
        <w:t xml:space="preserve"> </w:t>
      </w:r>
      <w:r>
        <w:t xml:space="preserve">on</w:t>
      </w:r>
      <w:r>
        <w:t xml:space="preserve"> </w:t>
      </w:r>
      <w:r>
        <w:t xml:space="preserve">which</w:t>
      </w:r>
      <w:r>
        <w:t xml:space="preserve"> </w:t>
      </w:r>
      <w:r>
        <w:t xml:space="preserve">all</w:t>
      </w:r>
      <w:r>
        <w:t xml:space="preserve"> </w:t>
      </w:r>
      <w:r>
        <w:t xml:space="preserve">three</w:t>
      </w:r>
      <w:r>
        <w:t xml:space="preserve"> </w:t>
      </w:r>
      <w:r>
        <w:t xml:space="preserve">schedules</w:t>
      </w:r>
      <w:r>
        <w:t xml:space="preserve"> </w:t>
      </w:r>
      <w:r>
        <w:t xml:space="preserve">are</w:t>
      </w:r>
      <w:r>
        <w:t xml:space="preserve"> </w:t>
      </w:r>
      <w:r>
        <w:t xml:space="preserve">censored,</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measurable</w:t>
      </w:r>
      <w:r>
        <w:t xml:space="preserve"> </w:t>
      </w:r>
      <w:r>
        <w:t xml:space="preserve">properties</w:t>
      </w:r>
      <w:r>
        <w:t xml:space="preserve"> </w:t>
      </w:r>
      <w:r>
        <w:t xml:space="preserve">of</w:t>
      </w:r>
      <w:r>
        <w:t xml:space="preserve"> </w:t>
      </w:r>
      <w:r>
        <w:t xml:space="preserve">resistant</w:t>
      </w:r>
      <w:r>
        <w:t xml:space="preserve"> </w:t>
      </w:r>
      <w:r>
        <w:t xml:space="preserve">cells:</w:t>
      </w:r>
      <w:r>
        <w:t xml:space="preserve"> </w:t>
      </w:r>
      <w:r>
        <w:t xml:space="preserve">growth</w:t>
      </w:r>
      <w:r>
        <w:t xml:space="preserve"> </w:t>
      </w:r>
      <w:r>
        <w:t xml:space="preserve">under</w:t>
      </w:r>
      <w:r>
        <w:t xml:space="preserve"> </w:t>
      </w:r>
      <w:r>
        <w:t xml:space="preserve">drug,</w:t>
      </w:r>
      <w:r>
        <w:t xml:space="preserve"> </w:t>
      </w:r>
      <w:r>
        <w:t xml:space="preserve">fitness</w:t>
      </w:r>
      <w:r>
        <w:t xml:space="preserve"> </w:t>
      </w:r>
      <w:r>
        <w:t xml:space="preserve">without</w:t>
      </w:r>
      <w:r>
        <w:t xml:space="preserve"> </w:t>
      </w:r>
      <w:r>
        <w:t xml:space="preserve">it,</w:t>
      </w:r>
      <w:r>
        <w:t xml:space="preserve"> </w:t>
      </w:r>
      <w:r>
        <w:t xml:space="preserve">and</w:t>
      </w:r>
      <w:r>
        <w:t xml:space="preserve"> </w:t>
      </w:r>
      <w:r>
        <w:t xml:space="preserve">whether</w:t>
      </w:r>
      <w:r>
        <w:t xml:space="preserve"> </w:t>
      </w:r>
      <w:r>
        <w:t xml:space="preserve">the</w:t>
      </w:r>
      <w:r>
        <w:t xml:space="preserve"> </w:t>
      </w:r>
      <w:r>
        <w:t xml:space="preserve">drug</w:t>
      </w:r>
      <w:r>
        <w:t xml:space="preserve"> </w:t>
      </w:r>
      <w:r>
        <w:t xml:space="preserve">stabilises</w:t>
      </w:r>
      <w:r>
        <w:t xml:space="preserve"> </w:t>
      </w:r>
      <w:r>
        <w:t xml:space="preserve">the</w:t>
      </w:r>
      <w:r>
        <w:t xml:space="preserve"> </w:t>
      </w:r>
      <w:r>
        <w:t xml:space="preserve">resistant</w:t>
      </w:r>
      <w:r>
        <w:t xml:space="preserve"> </w:t>
      </w:r>
      <w:r>
        <w:t xml:space="preserve">state.</w:t>
      </w:r>
    </w:p>
    <w:bookmarkStart w:id="20" w:name="author-summary"/>
    <w:p>
      <w:pPr>
        <w:pStyle w:val="Heading2"/>
      </w:pPr>
      <w:r>
        <w:t xml:space="preserve">Author summary</w:t>
      </w:r>
    </w:p>
    <w:p>
      <w:pPr>
        <w:pStyle w:val="FirstParagraph"/>
      </w:pPr>
      <w:r>
        <w:t xml:space="preserve">Two cancer cells with the same genome, given the same drug, can meet opposite fates. Part of that difference can come from which genes each cell happens to be expressing strongly when treatment begins, and cells pass those states to their daughters when they divide. The simulators used to test single-cell analysis methods model neither growth nor division, so they cannot produce such inherited states; those that do model dividing cells carry no drug.</w:t>
      </w:r>
    </w:p>
    <w:p>
      <w:pPr>
        <w:pStyle w:val="BodyText"/>
      </w:pPr>
      <w:r>
        <w:t xml:space="preserve">We built Biomodelling.jl 2.0, in which chemical reactions play out inside cells that grow, copy their genes, divide and meet drugs on realistic schedules. Expression memory, cell-size effects and cell-cycle dependence emerge from that physiology rather than being assumed. We checked it against cases whose answers are known exactly in mathematics, fitted it to published time-lapse recordings of cells under chemotherapy, and asked it to predict a concentration it had not seen.</w:t>
      </w:r>
    </w:p>
    <w:p>
      <w:pPr>
        <w:pStyle w:val="BodyText"/>
      </w:pPr>
      <w:r>
        <w:t xml:space="preserve">We then put a clinical question to it: should a drug be given continuously, or with breaks? The answer turns on three measurable properties of resistant cells: how fast they grow under the drug, how they fare without it, and whether the drug itself holds the resistant state in place.</w:t>
      </w:r>
    </w:p>
    <w:p>
      <w:pPr>
        <w:pStyle w:val="BodyText"/>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t xml:space="preserve"> </w:t>
      </w:r>
      <w: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t xml:space="preserve"> </w:t>
      </w:r>
      <w: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t xml:space="preserve"> </w:t>
      </w:r>
      <w:r>
        <w:t xml:space="preserve">[13–16]</w:t>
      </w:r>
      <w:r>
        <w:t xml:space="preserve">.</w:t>
      </w:r>
    </w:p>
    <w:p>
      <w:pPr>
        <w:pStyle w:val="BodyText"/>
      </w:pPr>
      <w:r>
        <w:t xml:space="preserve">These developments create a demand that existing simulators do not meet. The simulators used to benchmark single-cell methods divide according to whether they supply a regulatory network as ground truth, and neither kind models cell growth, volume-dependent transcription, gene replication or the partitioning of molecules at division. Splatter and scDesign3 draw counts from statistical models fitted to reference data, and SymSim draws them from a two-state promoter whose kinetic parameters are products of cell-specific and gene-specific factors; none of the three supplies a network</w:t>
      </w:r>
      <w:r>
        <w:t xml:space="preserve"> </w:t>
      </w:r>
      <w:r>
        <w:t xml:space="preserve">[17–19]</w:t>
      </w:r>
      <w:r>
        <w:t xml:space="preserve">. SERGIO, dyngen and scMultiSim simulate the kinetics of a user-specified network</w:t>
      </w:r>
      <w:r>
        <w:t xml:space="preserve"> </w:t>
      </w:r>
      <w:r>
        <w:t xml:space="preserve">[20–22]</w:t>
      </w:r>
      <w:r>
        <w:t xml:space="preserve">, and GRouNdGAN imposes one on an adversarially trained generator, so that each gene’s counts follow from those of its transcription factors</w:t>
      </w:r>
      <w:r>
        <w:t xml:space="preserve"> </w:t>
      </w:r>
      <w:r>
        <w:t xml:space="preserve">[23]</w:t>
      </w:r>
      <w:r>
        <w:t xml:space="preserve">. Most of these simulators place cells on a differentiation trajectory, and lineage simulators such as TedSim and Cassiopeia</w:t>
      </w:r>
      <w:r>
        <w:t xml:space="preserve"> </w:t>
      </w:r>
      <w: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t xml:space="preserve"> </w:t>
      </w:r>
      <w:r>
        <w:t xml:space="preserve">[26]</w:t>
      </w:r>
      <w:r>
        <w:t xml:space="preserve">. Stochastic simulators of growing and dividing cells do exist, and the most complete of them couples reaction kinetics to growth, division and inference from lineage data</w:t>
      </w:r>
      <w:r>
        <w:t xml:space="preserve"> </w:t>
      </w:r>
      <w: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t xml:space="preserve"> </w:t>
      </w:r>
      <w: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t xml:space="preserve"> </w:t>
      </w:r>
      <w: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End w:id="20"/>
    <w:bookmarkStart w:id="29" w:name="results"/>
    <w:p>
      <w:pPr>
        <w:pStyle w:val="Heading1"/>
      </w:pPr>
      <w:r>
        <w:t xml:space="preserve">Results</w:t>
      </w:r>
    </w:p>
    <w:bookmarkStart w:id="21"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a logistic hazard or mother-machine sampling that keeps one daughter at each division.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t xml:space="preserve"> </w:t>
      </w:r>
      <w:r>
        <w:t xml:space="preserve">[20]</w:t>
      </w:r>
      <w:r>
        <w:t xml:space="preserve">, dyngen</w:t>
      </w:r>
      <w:r>
        <w:t xml:space="preserve"> </w:t>
      </w:r>
      <w:r>
        <w:t xml:space="preserve">[21]</w:t>
      </w:r>
      <w:r>
        <w:t xml:space="preserve">, scMultiSim</w:t>
      </w:r>
      <w:r>
        <w:t xml:space="preserve"> </w:t>
      </w:r>
      <w:r>
        <w:t xml:space="preserve">[22]</w:t>
      </w:r>
      <w:r>
        <w:t xml:space="preserve">, GRouNdGAN</w:t>
      </w:r>
      <w:r>
        <w:t xml:space="preserve"> </w:t>
      </w:r>
      <w:r>
        <w:t xml:space="preserve">[23]</w:t>
      </w:r>
      <w:r>
        <w:t xml:space="preserve">, TedSim</w:t>
      </w:r>
      <w:r>
        <w:t xml:space="preserve"> </w:t>
      </w:r>
      <w:r>
        <w:t xml:space="preserve">[24]</w:t>
      </w:r>
      <w:r>
        <w:t xml:space="preserve">, Cassiopeia</w:t>
      </w:r>
      <w:r>
        <w:t xml:space="preserve"> </w:t>
      </w:r>
      <w:r>
        <w:t xml:space="preserve">[25]</w:t>
      </w:r>
      <w:r>
        <w:t xml:space="preserve">, ABM.jl (AgentBasedModeling.jl)</w:t>
      </w:r>
      <w:r>
        <w:t xml:space="preserve"> </w:t>
      </w:r>
      <w:r>
        <w:t xml:space="preserve">[28]</w:t>
      </w:r>
      <w:r>
        <w:t xml:space="preserve">, Biomodelling.jl v1.x</w:t>
      </w:r>
      <w:r>
        <w:t xml:space="preserve"> </w:t>
      </w:r>
      <w: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t xml:space="preserve"> </w:t>
      </w:r>
      <w: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1"/>
    <w:bookmarkStart w:id="22"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t xml:space="preserve"> </w:t>
      </w:r>
      <w: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t xml:space="preserve"> </w:t>
      </w:r>
      <w: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2"/>
    <w:bookmarkStart w:id="23"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t xml:space="preserve"> </w:t>
      </w:r>
      <w: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Theory predicts that the two perspectives separate for a stable protein under two conditions: when the protein inhibits growth at high concentration, so that dilution acts as a positive feedback, and when partitioning noise is combined with randomness in the interdivision time; with neither, a population and a single lineage give the same concentration distribution</w:t>
      </w:r>
      <w:r>
        <w:t xml:space="preserve"> </w:t>
      </w:r>
      <w:r>
        <w:t xml:space="preserve">[11]</w:t>
      </w:r>
      <w:r>
        <w:t xml:space="preserve">. In our simulations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3"/>
    <w:bookmarkStart w:id="24"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0.3% and the mean time to death of killed cells moves only from 7.6 to 6.2 time units (Fig. 4c; the single-cell timing distributions are in Supplementary Fig. 1). This reproduces the observation that population decay depends strongly on dose even though single-cell division and death times barely do</w:t>
      </w:r>
      <w:r>
        <w:t xml:space="preserve"> </w:t>
      </w:r>
      <w:r>
        <w:t xml:space="preserve">[6]</w:t>
      </w:r>
      <w:r>
        <w:t xml:space="preserve">, because fate is biased by states that exist before the drug arrives. Unlike the growth-arrested persisters of the canonical definition</w:t>
      </w:r>
      <w:r>
        <w:t xml:space="preserve"> </w:t>
      </w:r>
      <w: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diversity collapses less but is not preserved (165 of 492; Fig. 4e). That difference, rather than preservation itself, is the signature that distinguishes the two origins in barcoding experiments</w:t>
      </w:r>
      <w:r>
        <w:t xml:space="preserve"> </w:t>
      </w:r>
      <w:r>
        <w:t xml:space="preserve">[2,6]</w:t>
      </w:r>
      <w:r>
        <w:t xml:space="preserve">; the follow-up method that traces resistant fates back to their drug-naive precursors puts those precursors at an initial frequency of about 1 in 1,000 to 1 in 10,000 cells</w:t>
      </w:r>
      <w:r>
        <w:t xml:space="preserve"> </w:t>
      </w:r>
      <w:r>
        <w:t xml:space="preserve">[38]</w:t>
      </w:r>
      <w:r>
        <w:t xml:space="preserve">. The melanoma case study below does not sit in that regime: it uses 1:200, the per-marker frequency at which rare cells express resistance genes before drug</w:t>
      </w:r>
      <w:r>
        <w:t xml:space="preserve"> </w:t>
      </w:r>
      <w: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so more clones carry a protected cell when the drug arrives, even though protection itself is untouched. The acceleration multiplies both switching rates by the same factor, so it leaves the stationary promoter-on fraction unchanged; what it shifts slightly is the fraction of high-expressing cells, those whose protein concentration exceeds the half-protection value of the death hazard, from 0.09 to 0.11, because it shortens the intervals a cell spends in each promoter state relative to the lifetime of the protein.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t xml:space="preserve"> </w:t>
      </w:r>
      <w: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t xml:space="preserve"> </w:t>
      </w:r>
      <w: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t xml:space="preserve"> </w:t>
      </w:r>
      <w: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t xml:space="preserve"> </w:t>
      </w:r>
      <w: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and every schedule is run on the same 5 seeds, so schedules are compared by their paired differences, in which the shared founder population cancels; the spread quoted beside each winner above is the seed-to-seed scatter of its absolute growth rate, which is 0.5 to 2.0 times the paired differences and is not the error on them. The winning schedule beats the best schedule with a non-zero release period by 0.00026 to 0.00142 per time unit against paired standard errors of 0.00013 to 0.00028, a margin that a two-sided paired t-test resolves at the 5% level in 1 of the 3 mechanisms, the one in which the resistant state carries a fitness cost. Elsewhere the scan identifies a region of good schedules rather than a single best one (pre-existing tolerance +0.00037 against 0.00023,</w:t>
      </w:r>
      <w:r>
        <w:t xml:space="preserve"> </w:t>
      </w:r>
      <m:oMath>
        <m:r>
          <m:t>t</m:t>
        </m:r>
        <m:r>
          <m:rPr>
            <m:sty m:val="p"/>
          </m:rPr>
          <m:t>=</m:t>
        </m:r>
        <m:r>
          <m:t>1.61</m:t>
        </m:r>
      </m:oMath>
      <w:r>
        <w:t xml:space="preserve"> </w:t>
      </w:r>
      <w:r>
        <w:t xml:space="preserve">on 4 d.f.,</w:t>
      </w:r>
      <w:r>
        <w:t xml:space="preserve"> </w:t>
      </w:r>
      <m:oMath>
        <m:r>
          <m:t>P</m:t>
        </m:r>
        <m:r>
          <m:rPr>
            <m:sty m:val="p"/>
          </m:rPr>
          <m:t>=</m:t>
        </m:r>
        <m:r>
          <m:t>0.18</m:t>
        </m:r>
      </m:oMath>
      <w:r>
        <w:t xml:space="preserve">; drug-induced tolerance +0.00026 against 0.00013,</w:t>
      </w:r>
      <w:r>
        <w:t xml:space="preserve"> </w:t>
      </w:r>
      <m:oMath>
        <m:r>
          <m:t>t</m:t>
        </m:r>
        <m:r>
          <m:rPr>
            <m:sty m:val="p"/>
          </m:rPr>
          <m:t>=</m:t>
        </m:r>
        <m:r>
          <m:t>2.02</m:t>
        </m:r>
      </m:oMath>
      <w:r>
        <w:t xml:space="preserve"> </w:t>
      </w:r>
      <w:r>
        <w:t xml:space="preserve">on 4 d.f.,</w:t>
      </w:r>
      <w:r>
        <w:t xml:space="preserve"> </w:t>
      </w:r>
      <m:oMath>
        <m:r>
          <m:t>P</m:t>
        </m:r>
        <m:r>
          <m:rPr>
            <m:sty m:val="p"/>
          </m:rPr>
          <m:t>=</m:t>
        </m:r>
        <m:r>
          <m:t>0.11</m:t>
        </m:r>
      </m:oMath>
      <w:r>
        <w:t xml:space="preserv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1 and above, and at dose 0.5 under every schedule but the longest holidays, where it still grows (release periods of 20 and 40 time units, +0.0008 and +0.0064 per time unit); release periods of up to 10 time units at doses of 1 and 2 cost little, though 3 of those 4 are resolvably worse than continuous dosing at the highest dose (+0.0014 to +0.0029 per time unit,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t xml:space="preserve"> </w:t>
      </w:r>
      <w: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9.3 against 6.2 to 7.6 time units over the same doses),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a two-sided paired t-test resolves the margin over the best holiday at the 5% level in 4 of the 6 comparisons, the exceptions being pre-existing tolerance without the gate (+0.0004 against a paired standard error of 0.0002) and drug-induced tolerance without the gate (+0.0003 against a paired standard error of 0.0001) (Supplementary Note 13 and Supplementary Fig. 5).</w:t>
      </w:r>
    </w:p>
    <w:bookmarkEnd w:id="24"/>
    <w:bookmarkStart w:id="25"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t xml:space="preserve"> </w:t>
      </w:r>
      <w: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t xml:space="preserve"> </w:t>
      </w:r>
      <w:r>
        <w:t xml:space="preserve">[13,14]</w:t>
      </w:r>
      <w:r>
        <w:t xml:space="preserve">.</w:t>
      </w:r>
    </w:p>
    <w:bookmarkEnd w:id="25"/>
    <w:bookmarkStart w:id="26"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t xml:space="preserve"> </w:t>
      </w:r>
      <w:r>
        <w:t xml:space="preserve">[43]</w:t>
      </w:r>
      <w:r>
        <w:t xml:space="preserve"> </w:t>
      </w:r>
      <w:r>
        <w:t xml:space="preserve">gives posterior medians close to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6"/>
    <w:bookmarkStart w:id="27"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t xml:space="preserve"> </w:t>
      </w:r>
      <w:r>
        <w:t xml:space="preserve">[6]</w:t>
      </w:r>
      <w:r>
        <w:t xml:space="preserve"> </w:t>
      </w:r>
      <w:r>
        <w:t xml:space="preserve">(Supplementary Table 4). Those data already carry a model. The study that produced them fits a two-state Markov model with state-dependent fates, in which cells switch between a pre-tolerant and a sensitive state before the drug and are then assigned a fate with a concentration-dependent probability, and reports that it quantitatively explains the measured decay rate and the lineage correlations of HCT116 cells</w:t>
      </w:r>
      <w:r>
        <w:t xml:space="preserve"> </w:t>
      </w:r>
      <w:r>
        <w:t xml:space="preserve">[6]</w:t>
      </w:r>
      <w:r>
        <w:t xml:space="preserve">. That model is deliberately molecule-free, and its authors present it as such: it requires no knowledge of the molecular architecture of the underlying states. What is fitted here is the same hypothesis given a molecular realisation, and the purpose of the exercise is to establish what that realisation costs and what it buys. It buys a memory timescale that is a rate constant,</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 rather than a fitted transition probability; protection graded in a protein concentration through an EC</w:t>
      </w:r>
      <m:oMath>
        <m:sSub>
          <m:e>
            <m:r>
              <m:t>​</m:t>
            </m:r>
          </m:e>
          <m:sub>
            <m:r>
              <m:t>50</m:t>
            </m:r>
          </m:sub>
        </m:sSub>
      </m:oMath>
      <w:r>
        <w:t xml:space="preserve">, so that dose enters through a hazard rather than through a fate probability fitted at each concentration; and inheritance that follows from partitioning at division rather than from an assignment rule. It costs identifiability, because a state defined by molecules carries more parameters than a state defined by a label, and most of this section is about which of them the fate fractions determine. We do not claim to fit these data better than the model that came with them: the two are fitted to different cell lines and to different observables, and the only model comparison made below is between this model and a cycle-gated variant of itself.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at least two to three generations that the same study inferred from lineage correlations in HCT116 cells, a different cell line from the U2OS cells whose fates are fitted here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The U2OS populations the model was calibrated to show no such plateau: their decay after cisplatin is single-phase at all three concentrations, and the biphasic form of the HCT116 curve is absent from them</w:t>
      </w:r>
      <w:r>
        <w:t xml:space="preserve"> </w:t>
      </w:r>
      <w:r>
        <w:t xml:space="preserve">[6]</w:t>
      </w:r>
      <w:r>
        <w:t xml:space="preserve">.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t xml:space="preserve"> </w:t>
      </w:r>
      <w:r>
        <w:t xml:space="preserve">[6]</w:t>
      </w:r>
      <w:r>
        <w:t xml:space="preserve">; the comparison is qualitative on both sides, because the source reports these correlations graphically and gives no numeric coefficients or confidence intervals to match. Two things keep it from being an independent validation. The correlations come from a different cell line from the one the model was calibrated to: full lineages were tracked only in the HCT116 experiment, whereas the U2OS experiment that supplied the fate fractions followed a single randomly chosen daughter after each division, so sister and cousin pairs cannot be formed in it at all</w:t>
      </w:r>
      <w:r>
        <w:t xml:space="preserve"> </w:t>
      </w:r>
      <w:r>
        <w:t xml:space="preserve">[6]</w:t>
      </w:r>
      <w:r>
        <w:t xml:space="preserve">. And the two to three generations those correlations imply is the value the prior held the fitted memory near, so the agreement in Fig. 7c is a cross-cell-line consistency check with the memory timescale partly built in. A third caveat belongs beside it.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t xml:space="preserve"> </w:t>
      </w:r>
      <w:r>
        <w:t xml:space="preserve">[44–46]</w:t>
      </w:r>
      <w:r>
        <w:t xml:space="preserve">. Coupled to a cycle-gated hazard, that is a complete alternative explanation for the correlations fitted here, and the model as built cannot produce it. In the simulations the mean time to death changes by 8% between 7 and 13 µM (Fig. 7d) while the simulated death fraction rises from 0.12 to 0.67 (Fig. 7a), against an observed rise from 0.13 to 0.59 (30 of 232 and 176 of 296 cells) in the source data</w:t>
      </w:r>
      <w:r>
        <w:t xml:space="preserve"> </w:t>
      </w:r>
      <w:r>
        <w:t xml:space="preserve">[6]</w:t>
      </w:r>
      <w:r>
        <w:t xml:space="preserve">. This is the dose-invariance of single-cell timing that motivated the original study, and it arises here because dose changes the fraction of unprotected cells rather than their kinetics. The plateau the kill curves miss is the sharpest discrepancy of the minimal model, with the caveat that it is an HCT116 feature: reproducing it requires cells to stay in the resistant state for longer than the memory of 2.8 generations allows, and that memory was set by the prior taken from the HCT116 lineage correlations rather than by the kill curves. Because the U2OS populations the model was fitted to decay in a single phase, the missing plateau may be a difference between the two cell lines as much as a failure of the model, and the tension it creates is a tension between two HCT116 observations. Within this minimal model those two observations pull in opposite directions: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t xml:space="preserve"> </w:t>
      </w:r>
      <w: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7"/>
    <w:bookmarkStart w:id="28"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t xml:space="preserve"> </w:t>
      </w:r>
      <w: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t xml:space="preserve"> </w:t>
      </w:r>
      <w:r>
        <w:t xml:space="preserve">[47]</w:t>
      </w:r>
      <w:r>
        <w:t xml:space="preserve">, and adaptive therapy, in which the drug is withdrawn when the population has halved and resumed when it regrows to its initial size</w:t>
      </w:r>
      <w:r>
        <w:t xml:space="preserve"> </w:t>
      </w:r>
      <w: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three properties of the resistant cells (Fig. 8a–d): their growth under drug, their fitness without it, and whether the drug stabilises the resistant state. When the resistant state is fully protective and carries no fitness cost, as lineage data indicate for pre-existing tolerance</w:t>
      </w:r>
      <w:r>
        <w:t xml:space="preserve"> </w:t>
      </w:r>
      <w: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t xml:space="preserve"> </w:t>
      </w:r>
      <w:r>
        <w:t xml:space="preserve">[49]</w:t>
      </w:r>
      <w:r>
        <w:t xml:space="preserve">, holidays let sensitive cells outcompete them. On the declared end point the three schedules are indistinguishable: none loses control within the 52-week follow-up (52+, 52+ and 52+ weeks, censored). The xenograft ranking appears instead in the tumour burden at the end of the 60-week simulation, which the intermittent schedule leaves at 0.35 of the pre-treatment size against 0.77 under continuous dosing, on 65% of its cumulative dose; adaptive therapy, which withdraws the drug earliest, ends higher at 0.83 but on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Scored from the nadir instead, as in RECIST, the same simulations give 9, 11 and 4 weeks for continuous, intermittent and adaptive dosing without a fitness cost, 16, 26 and 4 weeks with a fitness cost, and 15, 12 and 4 weeks under partial protection. Adaptive therapy progresses from its nadir almost at once in every mechanism, because the schedule withholds the drug until the population has regrown to its pre-treatment size, and in the fitness-cost arm all three schedules progress from the nadir although none loses control within the follow-up. That discordance is why the schedules are compared by loss of control: an end point referred to the nadir penalises a schedule for the regrowth it is designed to permit.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in the two arms scanned, without and with a fitness cost of resistance, and narrows the advantage of holidays from 9 weeks at 2 net doublings of memory to 1.7 weeks at 12; the partial-protection arm, the one that reproduces the ranking of the trial, was not scanned (Supplementary Note 15). That the benefit of holidays should depend on a cost of resistance is established by compartment models of adaptive therapy, which also show that tumour turnover modulates how large that cost must be</w:t>
      </w:r>
      <w:r>
        <w:t xml:space="preserve"> </w:t>
      </w:r>
      <w: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without a fitness cost is a period of 2.2 weeks with 39% of the time on drug (27 weeks to loss of control). With a fitness cost, no best schedule is identified: 12 of the 16 grid points reach the 52-week censoring limit without loss of control, at every duty cycle of 47% or more and at every period from 1.0 to 12 weeks; with partial protection, continuous dosing is the only schedule that keeps control for the whole 52-week follow-up: the 4 of the 16 grid points that reach the censoring limit are all at a duty cycle of 100%, which is the same schedule whatever the nominal period. With a fitness cost the star in Fig. 8e is therefore the first point of a tie and not an optimum, and what the scan establishes there is that control is kept for the whole follow-up, not which schedule keeps it best; under partial protection the tie is between four grid points that are all continuous dosing, so there the star does mark the winning schedule. A bacterial-persistence model adapted to colorectal-cancer lines reaches the same conclusion by another route: an intermediate dose with release periods is optimal, because the rate of transition into the persistent state rises with concentration and then saturates</w:t>
      </w:r>
      <w:r>
        <w:t xml:space="preserve"> </w:t>
      </w:r>
      <w: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the preclinical one as a lower burden at the end of the simulation rather than as a longer time to loss of control, and shows their difference to depend on measurable properties of the resistant cells, their growth under drug, their fitness without it and whether the drug stabilises their state,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[51]</w:t>
      </w:r>
      <w:r>
        <w:t xml:space="preserve">. We simulated both regimens with one-compartment pharmacokinetics (elimination half-life 2.1 h, a plasma value from a three-compartment population model of plasma and cerebrospinal fluid</w:t>
      </w:r>
      <w:r>
        <w:t xml:space="preserve"> </w:t>
      </w:r>
      <w:r>
        <w:t xml:space="preserve">[52]</w:t>
      </w:r>
      <w:r>
        <w:t xml:space="preserve">; an independent single-dose study gives 1.8 h</w:t>
      </w:r>
      <w:r>
        <w:t xml:space="preserve"> </w:t>
      </w:r>
      <w: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t xml:space="preserve"> </w:t>
      </w:r>
      <w: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In the methylated population, where almost no cell is protected, they differ a great deal. The death hazard is already close to saturation at both daily peaks, so halving the dose per day costs less than quadrupling the number of dosing days gains, and the dose-dense arm reaches 1.00 against 0.20 log</w:t>
      </w:r>
      <m:oMath>
        <m:sSub>
          <m:e>
            <m:r>
              <m:t>​</m:t>
            </m:r>
          </m:e>
          <m:sub>
            <m:r>
              <m:t>10</m:t>
            </m:r>
          </m:sub>
        </m:sSub>
      </m:oMath>
      <w:r>
        <w:t xml:space="preserve"> </w:t>
      </w:r>
      <w:r>
        <w:t xml:space="preserve">units on cumulative dose alone, with MGMT stable and no consumption at all. RTOG 0525 found no advantage in the methylated subgroup either, so that discrepancy belongs to the model’s mapping from dose to kill, and to the exposure it assumes was delivered, rather than to anything about MGMT.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creates a dose-dense advantage where the model had none: in the unmethylated population, consumption alone separates two regimens that the stable model, like the trial, ranked as equivalent. That is the inference the trial can carry, and read as a bound rather than as a fit it is informative: either temozolomide consumes MGMT in unmethylated tumours far more slowly than this stoichiometry allows, or the benefit of depleting it is offset by something the model leaves out. It cannot be carried over to the methylated population, where the divergence from the trial is already present with MGMT stable and is merely deepened by consumption (1.52 against 1.00 log</w:t>
      </w:r>
      <m:oMath>
        <m:sSub>
          <m:e>
            <m:r>
              <m:t>​</m:t>
            </m:r>
          </m:e>
          <m:sub>
            <m:r>
              <m:t>10</m:t>
            </m:r>
          </m:sub>
        </m:sSub>
      </m:oMath>
      <w:r>
        <w:t xml:space="preserve"> </w:t>
      </w:r>
      <w:r>
        <w:t xml:space="preserve">units for the dose-dense arm), so the null there bounds the consumption rate not at all.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grade 3 or worse events were far commoner in the dose-dense arm, 53% against 34%, mostly lymphopenia and fatigue</w:t>
      </w:r>
      <w:r>
        <w:t xml:space="preserve"> </w:t>
      </w:r>
      <w:r>
        <w:t xml:space="preserve">[51]</w:t>
      </w:r>
      <w:r>
        <w:t xml:space="preserve">, while both arms here receive their nominal dose for all six cycles, so the twofold difference in exposure that drives the modelled separation need not be the difference the patients received. What they add is a sharper version of the rationale for dose-dense dosing, and it holds for unmethylated tumours alone: there the benefit that dose-dense dosing is supposed to deliver exists in the model only at consumption rates that the trial’s null result appears to exclude. In methylated tumours the modelled advantage comes from cumulative dose rather than from depletion, so its absence in the trial bounds nothing about MGMT and marks instead the limit of a dose response calibrated on the peak concentration.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t xml:space="preserve"> </w:t>
      </w:r>
      <w:r>
        <w:t xml:space="preserve">[54]</w:t>
      </w:r>
      <w:r>
        <w:t xml:space="preserve">, a compressed 1,000 mg/m² schedule takes it to 18% of initial levels while O⁶-methylguanine accumulates in both blood cells and tumour biopsies</w:t>
      </w:r>
      <w:r>
        <w:t xml:space="preserve"> </w:t>
      </w:r>
      <w:r>
        <w:t xml:space="preserve">[55]</w:t>
      </w:r>
      <w:r>
        <w:t xml:space="preserve">, and in orthotopic GBM43 xenografts tumour MGMT activity is depleted by day 6 on both the standard and the 21-day schedule and stays suppressed only on the 21-day one</w:t>
      </w:r>
      <w:r>
        <w:t xml:space="preserve"> </w:t>
      </w:r>
      <w: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8"/>
    <w:bookmarkEnd w:id="29"/>
    <w:bookmarkStart w:id="30"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t xml:space="preserve"> </w:t>
      </w:r>
      <w:r>
        <w:t xml:space="preserve">[27,28,33]</w:t>
      </w:r>
      <w:r>
        <w:t xml:space="preserve">, lineage-tracing data have their own simulators</w:t>
      </w:r>
      <w:r>
        <w:t xml:space="preserve"> </w:t>
      </w:r>
      <w:r>
        <w:t xml:space="preserve">[24,25]</w:t>
      </w:r>
      <w:r>
        <w:t xml:space="preserve">, compartment models of adaptive therapy established that the benefit of treatment holidays depends on a cost of resistance and on turnover</w:t>
      </w:r>
      <w:r>
        <w:t xml:space="preserve"> </w:t>
      </w:r>
      <w:r>
        <w:t xml:space="preserve">[48,50]</w:t>
      </w:r>
      <w:r>
        <w:t xml:space="preserve">, and phenotypic-switching theory established that perturbing the retention of a resistant state can decide a treatment outcome</w:t>
      </w:r>
      <w:r>
        <w:t xml:space="preserve"> </w:t>
      </w:r>
      <w:r>
        <w:t xml:space="preserve">[40]</w:t>
      </w:r>
      <w:r>
        <w:t xml:space="preserve">. What is new is the combination: to our knowledge no published package couples these mechanisms to joint inference and schedule optimisation in a single forward model. That is a claim about the absence of a tool, which cannot be established exhaustively, and it is made against the packages surveyed in Table 1 and the comparison in Supplementary Note 10; it would be answered by any one package that provides the whole set. Version 1 of this framework already simulated stochastic gene networks in growing and dividing cells and generated synthetic scRNA-seq for imputation and network-inference benchmarking</w:t>
      </w:r>
      <w:r>
        <w:t xml:space="preserve"> </w:t>
      </w:r>
      <w: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t xml:space="preserve"> </w:t>
      </w:r>
      <w: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their residual growth under drug and whether the drug stabilises their state as the properties that decide whether holidays help, and points to the rate at which temozolomide consumes MGMT as the measurement that would decide whether the two glioblastoma regimens differ in unmethylated tumours. That difference has practical consequences. As a hypothesis engine for non-genetic drug tolerance, the framework can be used to compare schedules and memory-modulating pretreatments by the long-term fitness they leave in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measurable properties of the resistant cells, their growth under drug, their fitness without it and whether the drug stabilises their state, and a trial result and a xenograft result that appeared to contradict each other are both reproduced once those properties are set, the xenograft result as a lower burden at the end of the simulation rather than as a longer time to loss of control.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t xml:space="preserve"> </w:t>
      </w:r>
      <w:r>
        <w:t xml:space="preserve">[47]</w:t>
      </w:r>
      <w:r>
        <w:t xml:space="preserve">; and in the xenografts the resistant tumours were drug-addicted, regressing on withdrawal rather than merely growing more slowly</w:t>
      </w:r>
      <w:r>
        <w:t xml:space="preserve"> </w:t>
      </w:r>
      <w: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t xml:space="preserve"> </w:t>
      </w:r>
      <w: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those correlations, and the kill-curve plateau the model fails to reproduce, are properties of HCT116 cells, whereas the fate fractions fitted are of U2OS cells, in which only one daughter per division was tracked and the population decay is not biphasic, so the agreement with the correlations is a consistency check across cell lines rather than an independent validation, and the absent plateau may be a difference between the lines as much as a shortcoming of the model;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t xml:space="preserve"> </w:t>
      </w:r>
      <w:r>
        <w:t xml:space="preserve">[54–56]</w:t>
      </w:r>
      <w:r>
        <w:t xml:space="preserve"> </w:t>
      </w:r>
      <w:r>
        <w:t xml:space="preserve">and bound it loosely, and that is why we name the per-lesion constant as the quantity that separates the regimens in unmethylated tumours. In methylated tumours the model separates them even with MGMT stable, on cumulative dose alone, and RTOG 0525 found no advantage there either; that discrepancy constrains the model’s dose response and the exposure it assumes was delivered, not the rate of consumption.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t xml:space="preserve"> </w:t>
      </w:r>
      <w: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30"/>
    <w:bookmarkStart w:id="50" w:name="methods"/>
    <w:p>
      <w:pPr>
        <w:pStyle w:val="Heading1"/>
      </w:pPr>
      <w:r>
        <w:t xml:space="preserve">Methods</w:t>
      </w:r>
    </w:p>
    <w:bookmarkStart w:id="31"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1"/>
    <w:bookmarkStart w:id="32"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[57]</w:t>
      </w:r>
      <w:r>
        <w:t xml:space="preserve"> </w:t>
      </w:r>
      <w:r>
        <w:t xml:space="preserve">with propensities updated through a species-reaction dependency graph; fixed-step Poisson tau-leaping</w:t>
      </w:r>
      <w:r>
        <w:t xml:space="preserve"> </w:t>
      </w:r>
      <w: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[59]</w:t>
      </w:r>
      <w:r>
        <w:t xml:space="preserve"> </w:t>
      </w:r>
      <w:r>
        <w:t xml:space="preserve">and the critical-reaction partition of</w:t>
      </w:r>
      <w:r>
        <w:t xml:space="preserve"> </w:t>
      </w:r>
      <w: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2"/>
    <w:bookmarkStart w:id="33"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logistic (free growth with an additional hazard</w:t>
      </w:r>
      <w:r>
        <w:t xml:space="preserve"> </w:t>
      </w:r>
      <m:oMath>
        <m:r>
          <m:t>λ</m:t>
        </m:r>
        <m:r>
          <m:t>N</m:t>
        </m:r>
        <m:r>
          <m:rPr>
            <m:sty m:val="p"/>
          </m:rPr>
          <m:t>/</m:t>
        </m:r>
        <m:r>
          <m:t>K</m:t>
        </m:r>
      </m:oMath>
      <w:r>
        <w:t xml:space="preserve">) or a mother machine (one daughter kept at random at every division, so that each founder gives one statistically independent lineage and the recorded cells follow the single-lineage rather than the population snapshot distribution).</w:t>
      </w:r>
    </w:p>
    <w:bookmarkEnd w:id="33"/>
    <w:bookmarkStart w:id="34"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sSub>
                  <m:e>
                    <m:r>
                      <m:t>m</m:t>
                    </m:r>
                  </m:e>
                  <m:sub>
                    <m:r>
                      <m:t>g</m:t>
                    </m:r>
                  </m:sub>
                </m:sSub>
              </m:sup>
            </m:sSup>
          </m:e>
        </m:d>
      </m:oMath>
      <w:r>
        <w:t xml:space="preserve">, whose Hill coefficient</w:t>
      </w:r>
      <w:r>
        <w:t xml:space="preserve"> </w:t>
      </w:r>
      <m:oMath>
        <m:sSub>
          <m:e>
            <m:r>
              <m:t>m</m:t>
            </m:r>
          </m:e>
          <m:sub>
            <m:r>
              <m:t>g</m:t>
            </m:r>
          </m:sub>
        </m:sSub>
      </m:oMath>
      <w:r>
        <w:t xml:space="preserve"> </w:t>
      </w:r>
      <w:r>
        <w:t xml:space="preserve">is separate from the death coefficient</w:t>
      </w:r>
      <w:r>
        <w:t xml:space="preserve"> </w:t>
      </w:r>
      <m:oMath>
        <m:r>
          <m:t>m</m:t>
        </m:r>
      </m:oMath>
      <w:r>
        <w:t xml:space="preserve"> </w:t>
      </w:r>
      <w:r>
        <w:t xml:space="preserve">and is 2 in every simulation reported here;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fraction of the cell’s volume increment completed,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d>
          <m:dPr>
            <m:begChr m:val="("/>
            <m:endChr m:val=")"/>
            <m:sepChr m:val=""/>
            <m:grow/>
          </m:dPr>
          <m:e>
            <m:sSub>
              <m:e>
                <m:r>
                  <m:t>V</m:t>
                </m:r>
              </m:e>
              <m:sub>
                <m:r>
                  <m:rPr>
                    <m:sty m:val="p"/>
                  </m:rPr>
                  <m:t>d</m:t>
                </m:r>
                <m:r>
                  <m:rPr>
                    <m:sty m:val="p"/>
                  </m:rPr>
                  <m:t>i</m:t>
                </m:r>
                <m:r>
                  <m:rPr>
                    <m:sty m:val="p"/>
                  </m:rPr>
                  <m:t>v</m:t>
                </m:r>
              </m:sub>
            </m:sSub>
            <m:r>
              <m:rPr>
                <m:sty m:val="p"/>
              </m:rPr>
              <m:t>−</m:t>
            </m:r>
            <m:sSub>
              <m:e>
                <m:r>
                  <m:t>V</m:t>
                </m:r>
              </m:e>
              <m:sub>
                <m:r>
                  <m:rPr>
                    <m:sty m:val="p"/>
                  </m:rPr>
                  <m:t>b</m:t>
                </m:r>
                <m:r>
                  <m:rPr>
                    <m:sty m:val="p"/>
                  </m:rPr>
                  <m:t>i</m:t>
                </m:r>
                <m:r>
                  <m:rPr>
                    <m:sty m:val="p"/>
                  </m:rPr>
                  <m:t>r</m:t>
                </m:r>
                <m:r>
                  <m:rPr>
                    <m:sty m:val="p"/>
                  </m:rPr>
                  <m:t>t</m:t>
                </m:r>
                <m:r>
                  <m:rPr>
                    <m:sty m:val="p"/>
                  </m:rPr>
                  <m:t>h</m:t>
                </m:r>
              </m:sub>
            </m:sSub>
          </m:e>
        </m:d>
      </m:oMath>
      <w:r>
        <w:t xml:space="preserve"> </w:t>
      </w:r>
      <w:r>
        <w:t xml:space="preserve">under a sizer and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r>
          <m:t>Δ</m:t>
        </m:r>
      </m:oMath>
      <w:r>
        <w:t xml:space="preserve"> </w:t>
      </w:r>
      <w:r>
        <w:t xml:space="preserve">under an adder, and the fraction of the interdivision time elapsed under a timer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4"/>
    <w:bookmarkStart w:id="35"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[61]</w:t>
      </w:r>
      <w:r>
        <w:t xml:space="preserve">, the variance of clone-mean expression divided by its permutation-null expectation.</w:t>
      </w:r>
    </w:p>
    <w:bookmarkEnd w:id="35"/>
    <w:bookmarkStart w:id="36"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6"/>
    <w:bookmarkStart w:id="37"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[43]</w:t>
      </w:r>
      <w:r>
        <w:t xml:space="preserve">.</w:t>
      </w:r>
    </w:p>
    <w:bookmarkEnd w:id="37"/>
    <w:bookmarkStart w:id="38"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t xml:space="preserve"> </w:t>
      </w:r>
      <w: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at least two to three generations inferred from lineage correlations in HCT116 cells, a different cell line from the U2OS cells whose fate fractions are fitted here, which is why the later comparison with those correlations is a consistency check and not an independent test, was minimised with the bounded optimiser described below using common random numbers (the same seeds for every candidate). Validation used only quantities not fitted, but they are not all of one kind. The fate fractions at the held-out concentration (10 µM) and the invariance of single-cell division and death times across concentrations are U2OS measurements, as the training fractions are, and are held out in the ordinary sense. The biphasic kill curve with its plateau and the extent of lineage correlations in fate (first, second and third cousins) are HCT116 measurements, because only that dataset tracked full lineages and only it shows a biphasic decay; these two are therefore compared across cell lines, and the lineage correlations additionally set the memory prior, so neither is an independent test of the calibrated model.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8"/>
    <w:bookmarkStart w:id="39"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multiple of its running minimum, the analogue of RECIST progression from the nadir; the multiple is an argument of the function, 1.2 by default, and the melanoma case study below sets it to 1.73;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t xml:space="preserve"> </w:t>
      </w:r>
      <w: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t xml:space="preserve"> </w:t>
      </w:r>
      <w: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t xml:space="preserve"> </w:t>
      </w:r>
      <w: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t xml:space="preserve"> </w:t>
      </w:r>
      <w: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t xml:space="preserve"> </w:t>
      </w:r>
      <w: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[2]</w:t>
      </w:r>
      <w:r>
        <w:t xml:space="preserve">). Three variants of the resistant state are compared: full protection without cost; a 50% fitness cost in the absence of drug</w:t>
      </w:r>
      <w:r>
        <w:t xml:space="preserve"> </w:t>
      </w:r>
      <w: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two differ in their reference point as well as in their multiple: progression from the nadir is 1.73 times the running minimum of the population after randomisation, whereas loss of control is 1.2 times its size before treatment, which does not depend on how deep the response was. Both are computed for every arm of the melanoma study and both are reported. The temozolomide case uses a one-compartment elimination half-life of 2.1 h</w:t>
      </w:r>
      <w:r>
        <w:t xml:space="preserve"> </w:t>
      </w:r>
      <w: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t xml:space="preserve"> </w:t>
      </w:r>
      <w: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9"/>
    <w:bookmarkStart w:id="40"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40"/>
    <w:bookmarkStart w:id="41"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[65,66]</w:t>
      </w:r>
      <w:r>
        <w:t xml:space="preserve">), by agreement between kernels, and by a two-sample comparison against JumpProcesses.jl</w:t>
      </w:r>
      <w:r>
        <w:t xml:space="preserve"> </w:t>
      </w:r>
      <w: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t xml:space="preserve"> </w:t>
      </w:r>
      <w: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t xml:space="preserve"> </w:t>
      </w:r>
      <w:r>
        <w:t xml:space="preserve">[27]</w:t>
      </w:r>
      <w:r>
        <w:t xml:space="preserve">, partitioning noise</w:t>
      </w:r>
      <w:r>
        <w:t xml:space="preserve"> </w:t>
      </w:r>
      <w:r>
        <w:t xml:space="preserve">[68]</w:t>
      </w:r>
      <w:r>
        <w:t xml:space="preserve">, lineage versus population statistics</w:t>
      </w:r>
      <w:r>
        <w:t xml:space="preserve"> </w:t>
      </w:r>
      <w:r>
        <w:t xml:space="preserve">[11]</w:t>
      </w:r>
      <w:r>
        <w:t xml:space="preserve"> </w:t>
      </w:r>
      <w:r>
        <w:t xml:space="preserve">and cell-cycle-dependent burst parameters</w:t>
      </w:r>
      <w:r>
        <w:t xml:space="preserve"> </w:t>
      </w:r>
      <w:r>
        <w:t xml:space="preserve">[10]</w:t>
      </w:r>
      <w:r>
        <w:t xml:space="preserve">. Persister simulations were compared with the quantitative signatures reported by</w:t>
      </w:r>
      <w:r>
        <w:t xml:space="preserve"> </w:t>
      </w:r>
      <w:r>
        <w:t xml:space="preserve">[6]</w:t>
      </w:r>
      <w:r>
        <w:t xml:space="preserve">,</w:t>
      </w:r>
      <w:r>
        <w:t xml:space="preserve"> </w:t>
      </w:r>
      <w:r>
        <w:t xml:space="preserve">[42]</w:t>
      </w:r>
      <w:r>
        <w:t xml:space="preserve"> </w:t>
      </w:r>
      <w:r>
        <w:t xml:space="preserve">and</w:t>
      </w:r>
      <w:r>
        <w:t xml:space="preserve"> </w:t>
      </w:r>
      <w:r>
        <w:t xml:space="preserve">[9]</w:t>
      </w:r>
      <w:r>
        <w:t xml:space="preserve">, and with the phenotypic-selection model of</w:t>
      </w:r>
      <w:r>
        <w:t xml:space="preserve"> </w:t>
      </w:r>
      <w: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1"/>
    <w:bookmarkStart w:id="42"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half-way through the volume added over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2"/>
    <w:bookmarkStart w:id="43"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43"/>
    <w:bookmarkStart w:id="44"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and reviewed and revised successive drafts,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also used to suggest candidate literature, and most of the references cited here were first surfaced during model-assisted drafting and review. None was cited on the model’s assertion alone: every reference was independently retrieved by the author from the primary record through PubMed, PubMed Central or bioRxiv, and its bibliographic details, together with every quantitative claim drawn from it, were checked against that record before it entered the bibliography.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4"/>
    <w:bookmarkStart w:id="45"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 The archived release carries them (version DOI 10.5281/zenodo.22894286 for v2.0.0; concept DOI 10.5281/zenodo.22894285).</w:t>
      </w:r>
    </w:p>
    <w:bookmarkEnd w:id="45"/>
    <w:bookmarkStart w:id="48"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 Version 2.0.0, the version used for every result in this Article, is archived at Zenodo under the version DOI</w:t>
      </w:r>
      <w:r>
        <w:t xml:space="preserve"> </w:t>
      </w:r>
      <w:hyperlink r:id="rId46">
        <w:r>
          <w:rPr>
            <w:rStyle w:val="Hyperlink"/>
          </w:rPr>
          <w:t xml:space="preserve">10.5281/zenodo.22894286</w:t>
        </w:r>
      </w:hyperlink>
      <w:r>
        <w:t xml:space="preserve">, which is frozen to that release; the concept DOI</w:t>
      </w:r>
      <w:r>
        <w:t xml:space="preserve"> </w:t>
      </w:r>
      <w:hyperlink r:id="rId47">
        <w:r>
          <w:rPr>
            <w:rStyle w:val="Hyperlink"/>
          </w:rPr>
          <w:t xml:space="preserve">10.5281/zenodo.22894285</w:t>
        </w:r>
      </w:hyperlink>
      <w:r>
        <w:t xml:space="preserve"> </w:t>
      </w:r>
      <w:r>
        <w:t xml:space="preserve">resolves to the latest release instead.</w:t>
      </w:r>
    </w:p>
    <w:bookmarkEnd w:id="48"/>
    <w:bookmarkStart w:id="49"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[69]</w:t>
      </w:r>
      <w:r>
        <w:t xml:space="preserve">, MAGIC</w:t>
      </w:r>
      <w:r>
        <w:t xml:space="preserve"> </w:t>
      </w:r>
      <w:r>
        <w:t xml:space="preserve">[70]</w:t>
      </w:r>
      <w:r>
        <w:t xml:space="preserve"> </w:t>
      </w:r>
      <w:r>
        <w:t xml:space="preserve">and kNN-smoothing</w:t>
      </w:r>
      <w:r>
        <w:t xml:space="preserve"> </w:t>
      </w:r>
      <w:r>
        <w:t xml:space="preserve">[71]</w:t>
      </w:r>
      <w:r>
        <w:t xml:space="preserve">. The test suite (Aqua quality checks and statistical tests) runs under GitHub Actions on Julia 1.10 and the latest release.</w:t>
      </w:r>
    </w:p>
    <w:bookmarkEnd w:id="49"/>
    <w:bookmarkEnd w:id="50"/>
    <w:bookmarkStart w:id="75" w:name="figure-legends"/>
    <w:p>
      <w:pPr>
        <w:pStyle w:val="Heading1"/>
      </w:pPr>
      <w:r>
        <w:t xml:space="preserve">Figure legends</w:t>
      </w:r>
    </w:p>
    <w:p>
      <w:pPr>
        <w:pStyle w:val="FirstParagraph"/>
      </w:pPr>
      <w:r>
        <w:drawing>
          <wp:inline>
            <wp:extent cx="5334000" cy="3630083"/>
            <wp:effectExtent b="0" l="0" r="0" t="0"/>
            <wp:docPr descr="" title="" id="52" name="Picture"/>
            <a:graphic>
              <a:graphicData uri="http://schemas.openxmlformats.org/drawingml/2006/picture">
                <pic:pic>
                  <pic:nvPicPr>
                    <pic:cNvPr descr="fig1_framework.png" id="53" name="Picture"/>
                    <pic:cNvPicPr>
                      <a:picLocks noChangeArrowheads="1" noChangeAspect="1"/>
                    </pic:cNvPicPr>
                  </pic:nvPicPr>
                  <pic:blipFill>
                    <a:blip r:embed="rId51"/>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445617"/>
            <wp:effectExtent b="0" l="0" r="0" t="0"/>
            <wp:docPr descr="" title="" id="55" name="Picture"/>
            <a:graphic>
              <a:graphicData uri="http://schemas.openxmlformats.org/drawingml/2006/picture">
                <pic:pic>
                  <pic:nvPicPr>
                    <pic:cNvPr descr="fig2_engine.png" id="56" name="Picture"/>
                    <pic:cNvPicPr>
                      <a:picLocks noChangeArrowheads="1" noChangeAspect="1"/>
                    </pic:cNvPicPr>
                  </pic:nvPicPr>
                  <pic:blipFill>
                    <a:blip r:embed="rId54"/>
                    <a:stretch>
                      <a:fillRect/>
                    </a:stretch>
                  </pic:blipFill>
                  <pic:spPr bwMode="auto">
                    <a:xfrm>
                      <a:off x="0" y="0"/>
                      <a:ext cx="5334000" cy="3445617"/>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78002"/>
            <wp:effectExtent b="0" l="0" r="0" t="0"/>
            <wp:docPr descr="" title="" id="58" name="Picture"/>
            <a:graphic>
              <a:graphicData uri="http://schemas.openxmlformats.org/drawingml/2006/picture">
                <pic:pic>
                  <pic:nvPicPr>
                    <pic:cNvPr descr="fig3_growth.png" id="59" name="Picture"/>
                    <pic:cNvPicPr>
                      <a:picLocks noChangeArrowheads="1" noChangeAspect="1"/>
                    </pic:cNvPicPr>
                  </pic:nvPicPr>
                  <pic:blipFill>
                    <a:blip r:embed="rId57"/>
                    <a:stretch>
                      <a:fillRect/>
                    </a:stretch>
                  </pic:blipFill>
                  <pic:spPr bwMode="auto">
                    <a:xfrm>
                      <a:off x="0" y="0"/>
                      <a:ext cx="5334000" cy="3978002"/>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paper/output/fig3f_copynumber.csv</w:t>
      </w:r>
      <w:r>
        <w:t xml:space="preserve">.</w:t>
      </w:r>
    </w:p>
    <w:p>
      <w:pPr>
        <w:pStyle w:val="BodyText"/>
      </w:pPr>
      <w:r>
        <w:drawing>
          <wp:inline>
            <wp:extent cx="5334000" cy="4961953"/>
            <wp:effectExtent b="0" l="0" r="0" t="0"/>
            <wp:docPr descr="" title="" id="61" name="Picture"/>
            <a:graphic>
              <a:graphicData uri="http://schemas.openxmlformats.org/drawingml/2006/picture">
                <pic:pic>
                  <pic:nvPicPr>
                    <pic:cNvPr descr="fig4_persisters.png" id="62" name="Picture"/>
                    <pic:cNvPicPr>
                      <a:picLocks noChangeArrowheads="1" noChangeAspect="1"/>
                    </pic:cNvPicPr>
                  </pic:nvPicPr>
                  <pic:blipFill>
                    <a:blip r:embed="rId60"/>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schedule with the lowest mean growth rate; every schedule is run on the same five seeds and compared by paired differences, and the margin over the best alternative with a non-zero release period is resolved in only one of the three mechanisms (Supplementary Note 4).</w:t>
      </w:r>
    </w:p>
    <w:p>
      <w:pPr>
        <w:pStyle w:val="BodyText"/>
      </w:pPr>
      <w:r>
        <w:drawing>
          <wp:inline>
            <wp:extent cx="5334000" cy="3878106"/>
            <wp:effectExtent b="0" l="0" r="0" t="0"/>
            <wp:docPr descr="" title="" id="64" name="Picture"/>
            <a:graphic>
              <a:graphicData uri="http://schemas.openxmlformats.org/drawingml/2006/picture">
                <pic:pic>
                  <pic:nvPicPr>
                    <pic:cNvPr descr="fig5_benchmarks.png" id="65" name="Picture"/>
                    <pic:cNvPicPr>
                      <a:picLocks noChangeArrowheads="1" noChangeAspect="1"/>
                    </pic:cNvPicPr>
                  </pic:nvPicPr>
                  <pic:blipFill>
                    <a:blip r:embed="rId63"/>
                    <a:stretch>
                      <a:fillRect/>
                    </a:stretch>
                  </pic:blipFill>
                  <pic:spPr bwMode="auto">
                    <a:xfrm>
                      <a:off x="0" y="0"/>
                      <a:ext cx="5334000" cy="3878106"/>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lines, random ranking of undirected pairs (upper, for the correlation methods) and of directed edges (lower, for GENIE3).</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77809"/>
            <wp:effectExtent b="0" l="0" r="0" t="0"/>
            <wp:docPr descr="" title="" id="67" name="Picture"/>
            <a:graphic>
              <a:graphicData uri="http://schemas.openxmlformats.org/drawingml/2006/picture">
                <pic:pic>
                  <pic:nvPicPr>
                    <pic:cNvPr descr="fig6_inference.png" id="68" name="Picture"/>
                    <pic:cNvPicPr>
                      <a:picLocks noChangeArrowheads="1" noChangeAspect="1"/>
                    </pic:cNvPicPr>
                  </pic:nvPicPr>
                  <pic:blipFill>
                    <a:blip r:embed="rId66"/>
                    <a:stretch>
                      <a:fillRect/>
                    </a:stretch>
                  </pic:blipFill>
                  <pic:spPr bwMode="auto">
                    <a:xfrm>
                      <a:off x="0" y="0"/>
                      <a:ext cx="5334000" cy="5177809"/>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 Each histogram is weighted by the importance weights of the final generation and binned over the whole log-uniform prior support, which sets the axis limits; the effective sample size of that generation is given in the first panel of each row, and at a few tens of effectively independent particles the bar-to-bar structure of the histograms is sampling noise rather than a feature of the posterior (Supplementary Note 6).</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92236"/>
            <wp:effectExtent b="0" l="0" r="0" t="0"/>
            <wp:docPr descr="" title="" id="70" name="Picture"/>
            <a:graphic>
              <a:graphicData uri="http://schemas.openxmlformats.org/drawingml/2006/picture">
                <pic:pic>
                  <pic:nvPicPr>
                    <pic:cNvPr descr="fig7_calibration.png" id="71" name="Picture"/>
                    <pic:cNvPicPr>
                      <a:picLocks noChangeArrowheads="1" noChangeAspect="1"/>
                    </pic:cNvPicPr>
                  </pic:nvPicPr>
                  <pic:blipFill>
                    <a:blip r:embed="rId69"/>
                    <a:stretch>
                      <a:fillRect/>
                    </a:stretch>
                  </pic:blipFill>
                  <pic:spPr bwMode="auto">
                    <a:xfrm>
                      <a:off x="0" y="0"/>
                      <a:ext cx="5334000" cy="4292236"/>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t xml:space="preserve"> </w:t>
      </w:r>
      <w: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comes from the HCT116 lineages of ref.</w:t>
      </w:r>
      <w:r>
        <w:t xml:space="preserve"> </w:t>
      </w:r>
      <w:r>
        <w:t xml:space="preserve">[6]</w:t>
      </w:r>
      <w:r>
        <w:t xml:space="preserve"> </w:t>
      </w:r>
      <w:r>
        <w:t xml:space="preserve">and not from the U2OS cells the model was calibrated to, in which a single daughter was tracked after each division; it is reported graphically with no numeric coefficients, and the memory it implies set the prior used in the fit. The comparison is therefore of pattern rather than of value, and a consistency check across cell lines rather than an independent validation.</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693986"/>
            <wp:effectExtent b="0" l="0" r="0" t="0"/>
            <wp:docPr descr="" title="" id="73" name="Picture"/>
            <a:graphic>
              <a:graphicData uri="http://schemas.openxmlformats.org/drawingml/2006/picture">
                <pic:pic>
                  <pic:nvPicPr>
                    <pic:cNvPr descr="fig8_schedules.png" id="74" name="Picture"/>
                    <pic:cNvPicPr>
                      <a:picLocks noChangeArrowheads="1" noChangeAspect="1"/>
                    </pic:cNvPicPr>
                  </pic:nvPicPr>
                  <pic:blipFill>
                    <a:blip r:embed="rId72"/>
                    <a:stretch>
                      <a:fillRect/>
                    </a:stretch>
                  </pic:blipFill>
                  <pic:spPr bwMode="auto">
                    <a:xfrm>
                      <a:off x="0" y="0"/>
                      <a:ext cx="5334000" cy="5693986"/>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point; where several schedules reach the 52-week censoring limit it marks the first of a tie),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5"/>
    <w:bookmarkStart w:id="76"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6"/>
    <w:bookmarkStart w:id="77"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7"/>
    <w:bookmarkStart w:id="78" w:name="financial-disclosure"/>
    <w:p>
      <w:pPr>
        <w:pStyle w:val="Heading1"/>
      </w:pPr>
      <w:r>
        <w:t xml:space="preserve">Financial disclosure</w:t>
      </w:r>
    </w:p>
    <w:p>
      <w:pPr>
        <w:pStyle w:val="FirstParagraph"/>
      </w:pPr>
      <w:r>
        <w:t xml:space="preserve">The author received no specific funding for this work.</w:t>
      </w:r>
    </w:p>
    <w:bookmarkEnd w:id="78"/>
    <w:bookmarkStart w:id="79" w:name="competing-interests"/>
    <w:p>
      <w:pPr>
        <w:pStyle w:val="Heading1"/>
      </w:pPr>
      <w:r>
        <w:t xml:space="preserve">Competing interests</w:t>
      </w:r>
    </w:p>
    <w:p>
      <w:pPr>
        <w:pStyle w:val="FirstParagraph"/>
      </w:pPr>
      <w:r>
        <w:t xml:space="preserve">A.L. is a director of Berache Limited, Dublin, Ireland, a consulting company active in modelling, computational biology and pharmaceutical manufacturing; this commercial activity overlaps the subject area of this Article. A.L. derives no revenue from Biomodelling.jl, which is released under the MIT licence. This does not alter the author’s adherence to the journal’s policies on sharing data and materials.</w:t>
      </w:r>
    </w:p>
    <w:bookmarkEnd w:id="79"/>
    <w:bookmarkStart w:id="81" w:name="additional-information"/>
    <w:p>
      <w:pPr>
        <w:pStyle w:val="Heading1"/>
      </w:pPr>
      <w:r>
        <w:t xml:space="preserve">Additional information</w:t>
      </w:r>
    </w:p>
    <w:p>
      <w:pPr>
        <w:pStyle w:val="FirstParagraph"/>
      </w:pPr>
      <w:r>
        <w:t xml:space="preserve">Ayoub Lasri, ORCID</w:t>
      </w:r>
      <w:r>
        <w:t xml:space="preserve"> </w:t>
      </w:r>
      <w:hyperlink r:id="rId80">
        <w:r>
          <w:rPr>
            <w:rStyle w:val="Hyperlink"/>
          </w:rPr>
          <w:t xml:space="preserve">0000-0003-0806-9072</w:t>
        </w:r>
      </w:hyperlink>
      <w:r>
        <w:t xml:space="preserve">.</w:t>
      </w:r>
    </w:p>
    <w:p>
      <w:pPr>
        <w:pStyle w:val="BodyText"/>
      </w:pPr>
      <w:r>
        <w:rPr>
          <w:bCs/>
          <w:b/>
        </w:rPr>
        <w:t xml:space="preserve">Supplementary information</w:t>
      </w:r>
      <w:r>
        <w:t xml:space="preserve"> </w:t>
      </w:r>
      <w:r>
        <w:t xml:space="preserve">accompanies this Article. Correspondence and requests for materials should be addressed to A.L. (alasri@berache.com).</w:t>
      </w:r>
    </w:p>
    <w:bookmarkEnd w:id="81"/>
    <w:bookmarkStart w:id="225" w:name="references"/>
    <w:p>
      <w:pPr>
        <w:pStyle w:val="Heading1"/>
      </w:pPr>
      <w:r>
        <w:t xml:space="preserve">References</w:t>
      </w:r>
    </w:p>
    <w:bookmarkStart w:id="224" w:name="refs"/>
    <w:bookmarkStart w:id="83"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82">
        <w:r>
          <w:rPr>
            <w:rStyle w:val="Hyperlink"/>
          </w:rPr>
          <w:t xml:space="preserve">10.1016/j.cell.2010.02.027</w:t>
        </w:r>
      </w:hyperlink>
    </w:p>
    <w:bookmarkEnd w:id="83"/>
    <w:bookmarkStart w:id="85"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84">
        <w:r>
          <w:rPr>
            <w:rStyle w:val="Hyperlink"/>
          </w:rPr>
          <w:t xml:space="preserve">10.1038/nature22794</w:t>
        </w:r>
      </w:hyperlink>
    </w:p>
    <w:bookmarkEnd w:id="85"/>
    <w:bookmarkStart w:id="87"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 Med. 2016;22: 262–269. doi:</w:t>
      </w:r>
      <w:hyperlink r:id="rId86">
        <w:r>
          <w:rPr>
            <w:rStyle w:val="Hyperlink"/>
          </w:rPr>
          <w:t xml:space="preserve">10.1038/nm.4040</w:t>
        </w:r>
      </w:hyperlink>
    </w:p>
    <w:bookmarkEnd w:id="87"/>
    <w:bookmarkStart w:id="89"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88">
        <w:r>
          <w:rPr>
            <w:rStyle w:val="Hyperlink"/>
          </w:rPr>
          <w:t xml:space="preserve">10.1038/s41586-021-03796-6</w:t>
        </w:r>
      </w:hyperlink>
    </w:p>
    <w:bookmarkEnd w:id="89"/>
    <w:bookmarkStart w:id="91"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90">
        <w:r>
          <w:rPr>
            <w:rStyle w:val="Hyperlink"/>
          </w:rPr>
          <w:t xml:space="preserve">10.1038/s41586-024-07690-9</w:t>
        </w:r>
      </w:hyperlink>
    </w:p>
    <w:bookmarkEnd w:id="91"/>
    <w:bookmarkStart w:id="93" w:name="ref-iyer2025"/>
    <w:p>
      <w:pPr>
        <w:pStyle w:val="Bibliography"/>
      </w:pPr>
      <w:r>
        <w:t xml:space="preserve">6.</w:t>
      </w:r>
      <w:r>
        <w:t xml:space="preserve"> </w:t>
      </w:r>
      <w:r>
        <w:t xml:space="preserve">	</w:t>
      </w:r>
      <w:r>
        <w:t xml:space="preserve">Iyer A, Alva A, Granada AE, Chakrabarti S. Inheritable cell-states shape drug-persister correlations and population dynamics in cancer cells. PLoS Comput Biol. 2025;21: e1013446. doi:</w:t>
      </w:r>
      <w:hyperlink r:id="rId92">
        <w:r>
          <w:rPr>
            <w:rStyle w:val="Hyperlink"/>
          </w:rPr>
          <w:t xml:space="preserve">10.1371/journal.pcbi.1013446</w:t>
        </w:r>
      </w:hyperlink>
    </w:p>
    <w:bookmarkEnd w:id="93"/>
    <w:bookmarkStart w:id="95" w:name="ref-lin2025memory"/>
    <w:p>
      <w:pPr>
        <w:pStyle w:val="Bibliography"/>
      </w:pPr>
      <w:r>
        <w:t xml:space="preserve">7.</w:t>
      </w:r>
      <w:r>
        <w:t xml:space="preserve"> </w:t>
      </w:r>
      <w:r>
        <w:t xml:space="preserve">	</w:t>
      </w:r>
      <w:r>
        <w:t xml:space="preserve">Lin Y, Chen X, Wu L, Zhou Y, Lin Y. Widespread transcriptional memory shapes heritable states and functional heterogeneity in cancer and stem cells. Cell Syst. 2026;17: 101621. doi:</w:t>
      </w:r>
      <w:hyperlink r:id="rId94">
        <w:r>
          <w:rPr>
            <w:rStyle w:val="Hyperlink"/>
          </w:rPr>
          <w:t xml:space="preserve">10.1016/j.cels.2026.101621</w:t>
        </w:r>
      </w:hyperlink>
    </w:p>
    <w:bookmarkEnd w:id="95"/>
    <w:bookmarkStart w:id="97" w:name="ref-ghosh2025powerseek"/>
    <w:p>
      <w:pPr>
        <w:pStyle w:val="Bibliography"/>
      </w:pPr>
      <w:r>
        <w:t xml:space="preserve">8.</w:t>
      </w:r>
      <w:r>
        <w:t xml:space="preserve"> </w:t>
      </w:r>
      <w:r>
        <w:t xml:space="preserve">	</w:t>
      </w:r>
      <w:r>
        <w:t xml:space="preserve">Ghosh S, Chakrabarti S, Raju A. Identifying memory gene expression from single sample</w:t>
      </w:r>
      <w:r>
        <w:t xml:space="preserve"> </w:t>
      </w:r>
      <w:r>
        <w:t xml:space="preserve">scRNA-seq</w:t>
      </w:r>
      <w:r>
        <w:t xml:space="preserve"> </w:t>
      </w:r>
      <w:r>
        <w:t xml:space="preserve">data using power law signatures. bioRxiv. 2025. doi:</w:t>
      </w:r>
      <w:hyperlink r:id="rId96">
        <w:r>
          <w:rPr>
            <w:rStyle w:val="Hyperlink"/>
          </w:rPr>
          <w:t xml:space="preserve">10.1101/2025.01.15.633183</w:t>
        </w:r>
      </w:hyperlink>
    </w:p>
    <w:bookmarkEnd w:id="97"/>
    <w:bookmarkStart w:id="99" w:name="ref-harmange2023"/>
    <w:p>
      <w:pPr>
        <w:pStyle w:val="Bibliography"/>
      </w:pPr>
      <w:r>
        <w:t xml:space="preserve">9.</w:t>
      </w:r>
      <w:r>
        <w:t xml:space="preserve"> </w:t>
      </w:r>
      <w:r>
        <w:t xml:space="preserve">	</w:t>
      </w:r>
      <w:r>
        <w:t xml:space="preserve">Harmange G, Reyes Hueros RA, Schaff DL, Emert B, Saint-Antoine M, Kim LC, et al. Disrupting cellular memory to overcome drug resistance. Nat Commun. 2023;14: 7130. doi:</w:t>
      </w:r>
      <w:hyperlink r:id="rId98">
        <w:r>
          <w:rPr>
            <w:rStyle w:val="Hyperlink"/>
          </w:rPr>
          <w:t xml:space="preserve">10.1038/s41467-023-41811-8</w:t>
        </w:r>
      </w:hyperlink>
    </w:p>
    <w:bookmarkEnd w:id="99"/>
    <w:bookmarkStart w:id="101" w:name="ref-sukys2025"/>
    <w:p>
      <w:pPr>
        <w:pStyle w:val="Bibliography"/>
      </w:pPr>
      <w:r>
        <w:t xml:space="preserve">10.</w:t>
      </w:r>
      <w:r>
        <w:t xml:space="preserve"> </w:t>
      </w:r>
      <w:r>
        <w:t xml:space="preserve">	</w:t>
      </w:r>
      <w:r>
        <w:t xml:space="preserve">Sukys A, Grima R. Cell-cycle dependence of bursty gene expression: Insights from fitting mechanistic models to single-cell</w:t>
      </w:r>
      <w:r>
        <w:t xml:space="preserve"> </w:t>
      </w:r>
      <w:r>
        <w:t xml:space="preserve">RNA-seq</w:t>
      </w:r>
      <w:r>
        <w:t xml:space="preserve"> </w:t>
      </w:r>
      <w:r>
        <w:t xml:space="preserve">data. Nucleic Acids Res. 2025;53: gkaf295. doi:</w:t>
      </w:r>
      <w:hyperlink r:id="rId100">
        <w:r>
          <w:rPr>
            <w:rStyle w:val="Hyperlink"/>
          </w:rPr>
          <w:t xml:space="preserve">10.1093/nar/gkaf295</w:t>
        </w:r>
      </w:hyperlink>
    </w:p>
    <w:bookmarkEnd w:id="101"/>
    <w:bookmarkStart w:id="103" w:name="ref-zhang2025"/>
    <w:p>
      <w:pPr>
        <w:pStyle w:val="Bibliography"/>
      </w:pPr>
      <w:r>
        <w:t xml:space="preserve">11.</w:t>
      </w:r>
      <w:r>
        <w:t xml:space="preserve"> </w:t>
      </w:r>
      <w:r>
        <w:t xml:space="preserve">	</w:t>
      </w:r>
      <w:r>
        <w:t xml:space="preserve">Zhang Z, Zabaikina I, Nieto C, Vahdat Z, Bokes P, Singh A. Stochastic gene expression in proliferating cells: Differing noise intensity in single-cell and population perspectives. PLoS Comput Biol. 2025;21: e1013014. doi:</w:t>
      </w:r>
      <w:hyperlink r:id="rId102">
        <w:r>
          <w:rPr>
            <w:rStyle w:val="Hyperlink"/>
          </w:rPr>
          <w:t xml:space="preserve">10.1371/journal.pcbi.1013014</w:t>
        </w:r>
      </w:hyperlink>
    </w:p>
    <w:bookmarkEnd w:id="103"/>
    <w:bookmarkStart w:id="105" w:name="ref-okochi2026scdivide"/>
    <w:p>
      <w:pPr>
        <w:pStyle w:val="Bibliography"/>
      </w:pPr>
      <w:r>
        <w:t xml:space="preserve">12.</w:t>
      </w:r>
      <w:r>
        <w:t xml:space="preserve"> </w:t>
      </w:r>
      <w:r>
        <w:t xml:space="preserve">	</w:t>
      </w:r>
      <w:r>
        <w:t xml:space="preserve">Okochi Y, Sawazaki Y, Kondo Y, Naoki H. Inferring division-associated stochasticity from time-series single-cell transcriptomes. bioRxiv. 2026. doi:</w:t>
      </w:r>
      <w:hyperlink r:id="rId104">
        <w:r>
          <w:rPr>
            <w:rStyle w:val="Hyperlink"/>
          </w:rPr>
          <w:t xml:space="preserve">10.64898/2026.04.14.718485</w:t>
        </w:r>
      </w:hyperlink>
    </w:p>
    <w:bookmarkEnd w:id="105"/>
    <w:bookmarkStart w:id="107" w:name="ref-ahlmanneltze2025"/>
    <w:p>
      <w:pPr>
        <w:pStyle w:val="Bibliography"/>
      </w:pPr>
      <w:r>
        <w:t xml:space="preserve">13.</w:t>
      </w:r>
      <w:r>
        <w:t xml:space="preserve"> </w:t>
      </w:r>
      <w:r>
        <w:t xml:space="preserve">	</w:t>
      </w:r>
      <w:r>
        <w:t xml:space="preserve">Ahlmann-Eltze C, Huber W, Anders S. Deep-learning-based gene perturbation effect prediction does not yet outperform simple linear baselines. Nat Methods. 2025;22: 1657–1661. doi:</w:t>
      </w:r>
      <w:hyperlink r:id="rId106">
        <w:r>
          <w:rPr>
            <w:rStyle w:val="Hyperlink"/>
          </w:rPr>
          <w:t xml:space="preserve">10.1038/s41592-025-02772-6</w:t>
        </w:r>
      </w:hyperlink>
    </w:p>
    <w:bookmarkEnd w:id="107"/>
    <w:bookmarkStart w:id="109" w:name="ref-vollenweider2026"/>
    <w:p>
      <w:pPr>
        <w:pStyle w:val="Bibliography"/>
      </w:pPr>
      <w:r>
        <w:t xml:space="preserve">14.</w:t>
      </w:r>
      <w:r>
        <w:t xml:space="preserve"> </w:t>
      </w:r>
      <w:r>
        <w:t xml:space="preserve">	</w:t>
      </w:r>
      <w:r>
        <w:t xml:space="preserve">Vollenweider MS, Bühlmann P. Signal, bounds, and baselines: Principles for rigorous evaluation of high-dimensional biological perturbation prediction. bioRxiv. 2026. doi:</w:t>
      </w:r>
      <w:hyperlink r:id="rId108">
        <w:r>
          <w:rPr>
            <w:rStyle w:val="Hyperlink"/>
          </w:rPr>
          <w:t xml:space="preserve">10.64898/2026.04.20.719650</w:t>
        </w:r>
      </w:hyperlink>
    </w:p>
    <w:bookmarkEnd w:id="109"/>
    <w:bookmarkStart w:id="111" w:name="ref-dibaeinia2026context"/>
    <w:p>
      <w:pPr>
        <w:pStyle w:val="Bibliography"/>
      </w:pPr>
      <w:r>
        <w:t xml:space="preserve">15.</w:t>
      </w:r>
      <w:r>
        <w:t xml:space="preserve"> </w:t>
      </w:r>
      <w:r>
        <w:t xml:space="preserve">	</w:t>
      </w:r>
      <w:r>
        <w:t xml:space="preserve">Dibaeinia P, Babu S, Knudson M, ElSheikh A, Wen Y, Liu H, et al. Virtual cells need context, not just scale. bioRxiv. 2026. doi:</w:t>
      </w:r>
      <w:hyperlink r:id="rId110">
        <w:r>
          <w:rPr>
            <w:rStyle w:val="Hyperlink"/>
          </w:rPr>
          <w:t xml:space="preserve">10.64898/2026.02.04.703804</w:t>
        </w:r>
      </w:hyperlink>
    </w:p>
    <w:bookmarkEnd w:id="111"/>
    <w:bookmarkStart w:id="113" w:name="ref-bunne2024"/>
    <w:p>
      <w:pPr>
        <w:pStyle w:val="Bibliography"/>
      </w:pPr>
      <w:r>
        <w:t xml:space="preserve">16.</w:t>
      </w:r>
      <w:r>
        <w:t xml:space="preserve"> </w:t>
      </w:r>
      <w:r>
        <w:t xml:space="preserve">	</w:t>
      </w:r>
      <w:r>
        <w:t xml:space="preserve">Bunne C, Roohani Y, Rosen Y, Gupta A, Zhang X, Roed M, et al. How to build the virtual cell with artificial intelligence: Priorities and opportunities. Cell. 2024;187: 7045–7063. doi:</w:t>
      </w:r>
      <w:hyperlink r:id="rId112">
        <w:r>
          <w:rPr>
            <w:rStyle w:val="Hyperlink"/>
          </w:rPr>
          <w:t xml:space="preserve">10.1016/j.cell.2024.11.015</w:t>
        </w:r>
      </w:hyperlink>
    </w:p>
    <w:bookmarkEnd w:id="113"/>
    <w:bookmarkStart w:id="115" w:name="ref-zappia2017"/>
    <w:p>
      <w:pPr>
        <w:pStyle w:val="Bibliography"/>
      </w:pPr>
      <w:r>
        <w:t xml:space="preserve">17.</w:t>
      </w:r>
      <w:r>
        <w:t xml:space="preserve"> </w:t>
      </w:r>
      <w:r>
        <w:t xml:space="preserve">	</w:t>
      </w:r>
      <w:r>
        <w:t xml:space="preserve">Zappia L, Phipson B, Oshlack A. Splatter: Simulation of single-cell</w:t>
      </w:r>
      <w:r>
        <w:t xml:space="preserve"> </w:t>
      </w:r>
      <w:r>
        <w:t xml:space="preserve">RNA</w:t>
      </w:r>
      <w:r>
        <w:t xml:space="preserve"> </w:t>
      </w:r>
      <w:r>
        <w:t xml:space="preserve">sequencing data. Genome Biol. 2017;18: 174. doi:</w:t>
      </w:r>
      <w:hyperlink r:id="rId114">
        <w:r>
          <w:rPr>
            <w:rStyle w:val="Hyperlink"/>
          </w:rPr>
          <w:t xml:space="preserve">10.1186/s13059-017-1305-0</w:t>
        </w:r>
      </w:hyperlink>
    </w:p>
    <w:bookmarkEnd w:id="115"/>
    <w:bookmarkStart w:id="117" w:name="ref-song2024scdesign3"/>
    <w:p>
      <w:pPr>
        <w:pStyle w:val="Bibliography"/>
      </w:pPr>
      <w:r>
        <w:t xml:space="preserve">18.</w:t>
      </w:r>
      <w:r>
        <w:t xml:space="preserve"> </w:t>
      </w:r>
      <w:r>
        <w:t xml:space="preserve">	</w:t>
      </w:r>
      <w:r>
        <w:t xml:space="preserve">Song D, Wang Q, Yan G, Liu T, Sun T, Li JJ.</w:t>
      </w:r>
      <w:r>
        <w:t xml:space="preserve"> </w:t>
      </w:r>
      <w:r>
        <w:t xml:space="preserve">scDesign3</w:t>
      </w:r>
      <w:r>
        <w:t xml:space="preserve"> </w:t>
      </w:r>
      <w:r>
        <w:t xml:space="preserve">generates realistic in silico data for multimodal single-cell and spatial omics. Nat Biotechnol. 2024;42: 247–252. doi:</w:t>
      </w:r>
      <w:hyperlink r:id="rId116">
        <w:r>
          <w:rPr>
            <w:rStyle w:val="Hyperlink"/>
          </w:rPr>
          <w:t xml:space="preserve">10.1038/s41587-023-01772-1</w:t>
        </w:r>
      </w:hyperlink>
    </w:p>
    <w:bookmarkEnd w:id="117"/>
    <w:bookmarkStart w:id="119" w:name="ref-zhang2019symsim"/>
    <w:p>
      <w:pPr>
        <w:pStyle w:val="Bibliography"/>
      </w:pPr>
      <w:r>
        <w:t xml:space="preserve">19.</w:t>
      </w:r>
      <w:r>
        <w:t xml:space="preserve"> </w:t>
      </w:r>
      <w:r>
        <w:t xml:space="preserve">	</w:t>
      </w:r>
      <w:r>
        <w:t xml:space="preserve">Zhang X, Xu C, Yosef N. Simulating multiple faceted variability in single cell</w:t>
      </w:r>
      <w:r>
        <w:t xml:space="preserve"> </w:t>
      </w:r>
      <w:r>
        <w:t xml:space="preserve">RNA</w:t>
      </w:r>
      <w:r>
        <w:t xml:space="preserve"> </w:t>
      </w:r>
      <w:r>
        <w:t xml:space="preserve">sequencing. Nat Commun. 2019;10: 2611. doi:</w:t>
      </w:r>
      <w:hyperlink r:id="rId118">
        <w:r>
          <w:rPr>
            <w:rStyle w:val="Hyperlink"/>
          </w:rPr>
          <w:t xml:space="preserve">10.1038/s41467-019-10500-w</w:t>
        </w:r>
      </w:hyperlink>
    </w:p>
    <w:bookmarkEnd w:id="119"/>
    <w:bookmarkStart w:id="121" w:name="ref-dibaeinia2020"/>
    <w:p>
      <w:pPr>
        <w:pStyle w:val="Bibliography"/>
      </w:pPr>
      <w:r>
        <w:t xml:space="preserve">20.</w:t>
      </w:r>
      <w:r>
        <w:t xml:space="preserve"> </w:t>
      </w:r>
      <w:r>
        <w:t xml:space="preserve">	</w:t>
      </w:r>
      <w:r>
        <w:t xml:space="preserve">Dibaeinia P, Sinha S.</w:t>
      </w:r>
      <w:r>
        <w:t xml:space="preserve"> </w:t>
      </w:r>
      <w:r>
        <w:t xml:space="preserve">SERGIO</w:t>
      </w:r>
      <w:r>
        <w:t xml:space="preserve">: A single-cell expression simulator guided by gene regulatory networks. Cell Syst. 2020;11: 252–271. doi:</w:t>
      </w:r>
      <w:hyperlink r:id="rId120">
        <w:r>
          <w:rPr>
            <w:rStyle w:val="Hyperlink"/>
          </w:rPr>
          <w:t xml:space="preserve">10.1016/j.cels.2020.08.003</w:t>
        </w:r>
      </w:hyperlink>
    </w:p>
    <w:bookmarkEnd w:id="121"/>
    <w:bookmarkStart w:id="123" w:name="ref-cannoodt2021"/>
    <w:p>
      <w:pPr>
        <w:pStyle w:val="Bibliography"/>
      </w:pPr>
      <w:r>
        <w:t xml:space="preserve">21.</w:t>
      </w:r>
      <w:r>
        <w:t xml:space="preserve"> </w:t>
      </w:r>
      <w:r>
        <w:t xml:space="preserve">	</w:t>
      </w:r>
      <w:r>
        <w:t xml:space="preserve">Cannoodt R, Saelens W, Deconinck L, Saeys Y. Spearheading future omics analyses using dyngen, a multi-modal simulator of single cells. Nat Commun. 2021;12: 3942. doi:</w:t>
      </w:r>
      <w:hyperlink r:id="rId122">
        <w:r>
          <w:rPr>
            <w:rStyle w:val="Hyperlink"/>
          </w:rPr>
          <w:t xml:space="preserve">10.1038/s41467-021-24152-2</w:t>
        </w:r>
      </w:hyperlink>
    </w:p>
    <w:bookmarkEnd w:id="123"/>
    <w:bookmarkStart w:id="125" w:name="ref-li2025scmultisim"/>
    <w:p>
      <w:pPr>
        <w:pStyle w:val="Bibliography"/>
      </w:pPr>
      <w:r>
        <w:t xml:space="preserve">22.</w:t>
      </w:r>
      <w:r>
        <w:t xml:space="preserve"> </w:t>
      </w:r>
      <w:r>
        <w:t xml:space="preserve">	</w:t>
      </w:r>
      <w:r>
        <w:t xml:space="preserve">Li H, Zhang Z, Squires M, Chen X, Zhang X.</w:t>
      </w:r>
      <w:r>
        <w:t xml:space="preserve"> </w:t>
      </w:r>
      <w:r>
        <w:t xml:space="preserve">scMultiSim</w:t>
      </w:r>
      <w:r>
        <w:t xml:space="preserve">: Simulation of single-cell multi-omics and spatial data guided by gene regulatory networks and cell–cell interactions. Nat Methods. 2025;22: 982–993. doi:</w:t>
      </w:r>
      <w:hyperlink r:id="rId124">
        <w:r>
          <w:rPr>
            <w:rStyle w:val="Hyperlink"/>
          </w:rPr>
          <w:t xml:space="preserve">10.1038/s41592-025-02651-0</w:t>
        </w:r>
      </w:hyperlink>
    </w:p>
    <w:bookmarkEnd w:id="125"/>
    <w:bookmarkStart w:id="127" w:name="ref-zinati2024groundgan"/>
    <w:p>
      <w:pPr>
        <w:pStyle w:val="Bibliography"/>
      </w:pPr>
      <w:r>
        <w:t xml:space="preserve">23.</w:t>
      </w:r>
      <w:r>
        <w:t xml:space="preserve"> </w:t>
      </w:r>
      <w:r>
        <w:t xml:space="preserve">	</w:t>
      </w:r>
      <w:r>
        <w:t xml:space="preserve">Zinati Y, Takiddeen A, Emad A.</w:t>
      </w:r>
      <w:r>
        <w:t xml:space="preserve"> </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 Nat Commun. 2024;15: 4055. doi:</w:t>
      </w:r>
      <w:hyperlink r:id="rId126">
        <w:r>
          <w:rPr>
            <w:rStyle w:val="Hyperlink"/>
          </w:rPr>
          <w:t xml:space="preserve">10.1038/s41467-024-48516-6</w:t>
        </w:r>
      </w:hyperlink>
    </w:p>
    <w:bookmarkEnd w:id="127"/>
    <w:bookmarkStart w:id="129" w:name="ref-pan2022tedsim"/>
    <w:p>
      <w:pPr>
        <w:pStyle w:val="Bibliography"/>
      </w:pPr>
      <w:r>
        <w:t xml:space="preserve">24.</w:t>
      </w:r>
      <w:r>
        <w:t xml:space="preserve"> </w:t>
      </w:r>
      <w:r>
        <w:t xml:space="preserve">	</w:t>
      </w:r>
      <w:r>
        <w:t xml:space="preserve">Pan X, Li H, Zhang X.</w:t>
      </w:r>
      <w:r>
        <w:t xml:space="preserve"> </w:t>
      </w:r>
      <w:r>
        <w:t xml:space="preserve">TedSim</w:t>
      </w:r>
      <w:r>
        <w:t xml:space="preserve">: Temporal dynamics simulation of single-cell</w:t>
      </w:r>
      <w:r>
        <w:t xml:space="preserve"> </w:t>
      </w:r>
      <w:r>
        <w:t xml:space="preserve">RNA</w:t>
      </w:r>
      <w:r>
        <w:t xml:space="preserve"> </w:t>
      </w:r>
      <w:r>
        <w:t xml:space="preserve">sequencing data and cell division history. Nucleic Acids Res. 2022;50: 4272–4288. doi:</w:t>
      </w:r>
      <w:hyperlink r:id="rId128">
        <w:r>
          <w:rPr>
            <w:rStyle w:val="Hyperlink"/>
          </w:rPr>
          <w:t xml:space="preserve">10.1093/nar/gkac235</w:t>
        </w:r>
      </w:hyperlink>
    </w:p>
    <w:bookmarkEnd w:id="129"/>
    <w:bookmarkStart w:id="131" w:name="ref-jones2020cassiopeia"/>
    <w:p>
      <w:pPr>
        <w:pStyle w:val="Bibliography"/>
      </w:pPr>
      <w:r>
        <w:t xml:space="preserve">25.</w:t>
      </w:r>
      <w:r>
        <w:t xml:space="preserve"> </w:t>
      </w:r>
      <w:r>
        <w:t xml:space="preserve">	</w:t>
      </w:r>
      <w:r>
        <w:t xml:space="preserve">Jones MG, Khodaverdian A, Quinn JJ, Chan MM, Hussmann JA, Wang R, et al. Inference of single-cell phylogenies from lineage tracing data using</w:t>
      </w:r>
      <w:r>
        <w:t xml:space="preserve"> </w:t>
      </w:r>
      <w:r>
        <w:t xml:space="preserve">Cassiopeia</w:t>
      </w:r>
      <w:r>
        <w:t xml:space="preserve">. Genome Biol. 2020;21: 92. doi:</w:t>
      </w:r>
      <w:hyperlink r:id="rId130">
        <w:r>
          <w:rPr>
            <w:rStyle w:val="Hyperlink"/>
          </w:rPr>
          <w:t xml:space="preserve">10.1186/s13059-020-02000-8</w:t>
        </w:r>
      </w:hyperlink>
    </w:p>
    <w:bookmarkEnd w:id="131"/>
    <w:bookmarkStart w:id="133" w:name="ref-pratapa2020"/>
    <w:p>
      <w:pPr>
        <w:pStyle w:val="Bibliography"/>
      </w:pPr>
      <w:r>
        <w:t xml:space="preserve">26.</w:t>
      </w:r>
      <w:r>
        <w:t xml:space="preserve"> </w:t>
      </w:r>
      <w:r>
        <w:t xml:space="preserve">	</w:t>
      </w:r>
      <w:r>
        <w:t xml:space="preserve">Pratapa A, Jalihal AP, Law JN, Bharadwaj A, Murali TM. Benchmarking algorithms for gene regulatory network inference from single-cell transcriptomic data. Nat Methods. 2020;17: 147–154. doi:</w:t>
      </w:r>
      <w:hyperlink r:id="rId132">
        <w:r>
          <w:rPr>
            <w:rStyle w:val="Hyperlink"/>
          </w:rPr>
          <w:t xml:space="preserve">10.1038/s41592-019-0690-6</w:t>
        </w:r>
      </w:hyperlink>
    </w:p>
    <w:bookmarkEnd w:id="133"/>
    <w:bookmarkStart w:id="135" w:name="ref-bertaux2018"/>
    <w:p>
      <w:pPr>
        <w:pStyle w:val="Bibliography"/>
      </w:pPr>
      <w:r>
        <w:t xml:space="preserve">27.</w:t>
      </w:r>
      <w:r>
        <w:t xml:space="preserve"> </w:t>
      </w:r>
      <w:r>
        <w:t xml:space="preserve">	</w:t>
      </w:r>
      <w:r>
        <w:t xml:space="preserve">Bertaux F, Marguerat S, Shahrezaei V. Division rate, cell size and proteome allocation: Impact on gene expression noise and implications for the dynamics of genetic circuits. R Soc Open Sci. 2018;5: 172234. doi:</w:t>
      </w:r>
      <w:hyperlink r:id="rId134">
        <w:r>
          <w:rPr>
            <w:rStyle w:val="Hyperlink"/>
          </w:rPr>
          <w:t xml:space="preserve">10.1098/rsos.172234</w:t>
        </w:r>
      </w:hyperlink>
    </w:p>
    <w:bookmarkEnd w:id="135"/>
    <w:bookmarkStart w:id="137" w:name="ref-piho2025abm"/>
    <w:p>
      <w:pPr>
        <w:pStyle w:val="Bibliography"/>
      </w:pPr>
      <w:r>
        <w:t xml:space="preserve">28.</w:t>
      </w:r>
      <w:r>
        <w:t xml:space="preserve"> </w:t>
      </w:r>
      <w:r>
        <w:t xml:space="preserve">	</w:t>
      </w:r>
      <w:r>
        <w:t xml:space="preserve">Piho P, Thomas P.</w:t>
      </w:r>
      <w:r>
        <w:t xml:space="preserve"> </w:t>
      </w:r>
      <w:r>
        <w:t xml:space="preserve">AgentBasedModeling.jl</w:t>
      </w:r>
      <w:r>
        <w:t xml:space="preserve">: A tool for stochastic simulation of structured population dynamics. PLoS Comput Biol. 2026;22: e1014366. doi:</w:t>
      </w:r>
      <w:hyperlink r:id="rId136">
        <w:r>
          <w:rPr>
            <w:rStyle w:val="Hyperlink"/>
          </w:rPr>
          <w:t xml:space="preserve">10.1371/journal.pcbi.1014366</w:t>
        </w:r>
      </w:hyperlink>
    </w:p>
    <w:bookmarkEnd w:id="137"/>
    <w:bookmarkStart w:id="139" w:name="ref-piho2024feedback"/>
    <w:p>
      <w:pPr>
        <w:pStyle w:val="Bibliography"/>
      </w:pPr>
      <w:r>
        <w:t xml:space="preserve">29.</w:t>
      </w:r>
      <w:r>
        <w:t xml:space="preserve"> </w:t>
      </w:r>
      <w:r>
        <w:t xml:space="preserve">	</w:t>
      </w:r>
      <w:r>
        <w:t xml:space="preserve">Piho P, Thomas P. Feedback between stochastic gene networks and population dynamics enables cellular decision-making. Sci Adv. 2024;10: eadl4895. doi:</w:t>
      </w:r>
      <w:hyperlink r:id="rId138">
        <w:r>
          <w:rPr>
            <w:rStyle w:val="Hyperlink"/>
          </w:rPr>
          <w:t xml:space="preserve">10.1126/sciadv.adl4895</w:t>
        </w:r>
      </w:hyperlink>
    </w:p>
    <w:bookmarkEnd w:id="139"/>
    <w:bookmarkStart w:id="141" w:name="ref-thomas2021"/>
    <w:p>
      <w:pPr>
        <w:pStyle w:val="Bibliography"/>
      </w:pPr>
      <w:r>
        <w:t xml:space="preserve">30.</w:t>
      </w:r>
      <w:r>
        <w:t xml:space="preserve"> </w:t>
      </w:r>
      <w:r>
        <w:t xml:space="preserve">	</w:t>
      </w:r>
      <w:r>
        <w:t xml:space="preserve">Thomas P, Shahrezaei V. Coordination of gene expression noise with cell size: Analytical results for agent-based models of growing cell populations. J R Soc Interface. 2021;18: 20210274. doi:</w:t>
      </w:r>
      <w:hyperlink r:id="rId140">
        <w:r>
          <w:rPr>
            <w:rStyle w:val="Hyperlink"/>
          </w:rPr>
          <w:t xml:space="preserve">10.1098/rsif.2021.0274</w:t>
        </w:r>
      </w:hyperlink>
    </w:p>
    <w:bookmarkEnd w:id="141"/>
    <w:bookmarkStart w:id="143" w:name="ref-ghaffarizadeh2018"/>
    <w:p>
      <w:pPr>
        <w:pStyle w:val="Bibliography"/>
      </w:pPr>
      <w:r>
        <w:t xml:space="preserve">31.</w:t>
      </w:r>
      <w:r>
        <w:t xml:space="preserve"> </w:t>
      </w:r>
      <w:r>
        <w:t xml:space="preserve">	</w:t>
      </w:r>
      <w:r>
        <w:t xml:space="preserve">Ghaffarizadeh A, Heiland R, Friedman SH, Mumenthaler SM, Macklin P.</w:t>
      </w:r>
      <w:r>
        <w:t xml:space="preserve"> </w:t>
      </w:r>
      <w:r>
        <w:t xml:space="preserve">PhysiCell</w:t>
      </w:r>
      <w:r>
        <w:t xml:space="preserve">: An open source physics-based cell simulator for 3-</w:t>
      </w:r>
      <w:r>
        <w:t xml:space="preserve">D</w:t>
      </w:r>
      <w:r>
        <w:t xml:space="preserve"> </w:t>
      </w:r>
      <w:r>
        <w:t xml:space="preserve">multicellular systems. PLoS Comput Biol. 2018;14: e1005991. doi:</w:t>
      </w:r>
      <w:hyperlink r:id="rId142">
        <w:r>
          <w:rPr>
            <w:rStyle w:val="Hyperlink"/>
          </w:rPr>
          <w:t xml:space="preserve">10.1371/journal.pcbi.1005991</w:t>
        </w:r>
      </w:hyperlink>
    </w:p>
    <w:bookmarkEnd w:id="143"/>
    <w:bookmarkStart w:id="145" w:name="ref-poncedeleon2023"/>
    <w:p>
      <w:pPr>
        <w:pStyle w:val="Bibliography"/>
      </w:pPr>
      <w:r>
        <w:t xml:space="preserve">32.</w:t>
      </w:r>
      <w:r>
        <w:t xml:space="preserve"> </w:t>
      </w:r>
      <w:r>
        <w:t xml:space="preserve">	</w:t>
      </w:r>
      <w:r>
        <w:t xml:space="preserve">Ponce-de-Leon M, Montagud A, Noël V, Meert A, Pradas G, Barillot E, et al.</w:t>
      </w:r>
      <w:r>
        <w:t xml:space="preserve"> </w:t>
      </w:r>
      <w:r>
        <w:t xml:space="preserve">PhysiBoSS</w:t>
      </w:r>
      <w:r>
        <w:t xml:space="preserve"> </w:t>
      </w:r>
      <w:r>
        <w:t xml:space="preserve">2.0: A sustainable integration of stochastic</w:t>
      </w:r>
      <w:r>
        <w:t xml:space="preserve"> </w:t>
      </w:r>
      <w:r>
        <w:t xml:space="preserve">Boolean</w:t>
      </w:r>
      <w:r>
        <w:t xml:space="preserve"> </w:t>
      </w:r>
      <w:r>
        <w:t xml:space="preserve">and agent-based modelling frameworks. NPJ Syst Biol Appl. 2023;9: 54. doi:</w:t>
      </w:r>
      <w:hyperlink r:id="rId144">
        <w:r>
          <w:rPr>
            <w:rStyle w:val="Hyperlink"/>
          </w:rPr>
          <w:t xml:space="preserve">10.1038/s41540-023-00314-4</w:t>
        </w:r>
      </w:hyperlink>
    </w:p>
    <w:bookmarkEnd w:id="145"/>
    <w:bookmarkStart w:id="147" w:name="ref-lasri2022"/>
    <w:p>
      <w:pPr>
        <w:pStyle w:val="Bibliography"/>
      </w:pPr>
      <w:r>
        <w:t xml:space="preserve">33.</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46">
        <w:r>
          <w:rPr>
            <w:rStyle w:val="Hyperlink"/>
          </w:rPr>
          <w:t xml:space="preserve">10.1186/s12859-022-04778-9</w:t>
        </w:r>
      </w:hyperlink>
    </w:p>
    <w:bookmarkEnd w:id="147"/>
    <w:bookmarkStart w:id="149" w:name="ref-peccoud1995"/>
    <w:p>
      <w:pPr>
        <w:pStyle w:val="Bibliography"/>
      </w:pPr>
      <w:r>
        <w:t xml:space="preserve">34.</w:t>
      </w:r>
      <w:r>
        <w:t xml:space="preserve"> </w:t>
      </w:r>
      <w:r>
        <w:t xml:space="preserve">	</w:t>
      </w:r>
      <w:r>
        <w:t xml:space="preserve">Peccoud J, Ycart B. Markovian modeling of gene-product synthesis. Theor Popul Biol. 1995;48: 222–234. doi:</w:t>
      </w:r>
      <w:hyperlink r:id="rId148">
        <w:r>
          <w:rPr>
            <w:rStyle w:val="Hyperlink"/>
          </w:rPr>
          <w:t xml:space="preserve">10.1006/tpbi.1995.1027</w:t>
        </w:r>
      </w:hyperlink>
    </w:p>
    <w:bookmarkEnd w:id="149"/>
    <w:bookmarkStart w:id="151" w:name="ref-beentjes2020"/>
    <w:p>
      <w:pPr>
        <w:pStyle w:val="Bibliography"/>
      </w:pPr>
      <w:r>
        <w:t xml:space="preserve">35.</w:t>
      </w:r>
      <w:r>
        <w:t xml:space="preserve"> </w:t>
      </w:r>
      <w:r>
        <w:t xml:space="preserve">	</w:t>
      </w:r>
      <w:r>
        <w:t xml:space="preserve">Beentjes CHL, Perez-Carrasco R, Grima R. Exact solution of stochastic gene expression models with bursting, cell cycle and replication dynamics. Phys Rev E. 2020;101: 032403. doi:</w:t>
      </w:r>
      <w:hyperlink r:id="rId150">
        <w:r>
          <w:rPr>
            <w:rStyle w:val="Hyperlink"/>
          </w:rPr>
          <w:t xml:space="preserve">10.1103/PhysRevE.101.032403</w:t>
        </w:r>
      </w:hyperlink>
    </w:p>
    <w:bookmarkEnd w:id="151"/>
    <w:bookmarkStart w:id="153" w:name="ref-jia2023"/>
    <w:p>
      <w:pPr>
        <w:pStyle w:val="Bibliography"/>
      </w:pPr>
      <w:r>
        <w:t xml:space="preserve">36.</w:t>
      </w:r>
      <w:r>
        <w:t xml:space="preserve"> </w:t>
      </w:r>
      <w:r>
        <w:t xml:space="preserve">	</w:t>
      </w:r>
      <w:r>
        <w:t xml:space="preserve">Jia C, Grima R. Coupling gene expression dynamics to cell size dynamics and cell cycle events: Exact and approximate solutions of the extended telegraph model. iScience. 2023;26: 105746. doi:</w:t>
      </w:r>
      <w:hyperlink r:id="rId152">
        <w:r>
          <w:rPr>
            <w:rStyle w:val="Hyperlink"/>
          </w:rPr>
          <w:t xml:space="preserve">10.1016/j.isci.2022.105746</w:t>
        </w:r>
      </w:hyperlink>
    </w:p>
    <w:bookmarkEnd w:id="153"/>
    <w:bookmarkStart w:id="155" w:name="ref-thomas2017"/>
    <w:p>
      <w:pPr>
        <w:pStyle w:val="Bibliography"/>
      </w:pPr>
      <w:r>
        <w:t xml:space="preserve">37.</w:t>
      </w:r>
      <w:r>
        <w:t xml:space="preserve"> </w:t>
      </w:r>
      <w:r>
        <w:t xml:space="preserve">	</w:t>
      </w:r>
      <w:r>
        <w:t xml:space="preserve">Thomas P. Making sense of snapshot data: Ergodic principle for clonal cell populations. J R Soc Interface. 2017;14: 20170467. doi:</w:t>
      </w:r>
      <w:hyperlink r:id="rId154">
        <w:r>
          <w:rPr>
            <w:rStyle w:val="Hyperlink"/>
          </w:rPr>
          <w:t xml:space="preserve">10.1098/rsif.2017.0467</w:t>
        </w:r>
      </w:hyperlink>
    </w:p>
    <w:bookmarkEnd w:id="155"/>
    <w:bookmarkStart w:id="157" w:name="ref-emert2021"/>
    <w:p>
      <w:pPr>
        <w:pStyle w:val="Bibliography"/>
      </w:pPr>
      <w:r>
        <w:t xml:space="preserve">38.</w:t>
      </w:r>
      <w:r>
        <w:t xml:space="preserve"> </w:t>
      </w:r>
      <w:r>
        <w:t xml:space="preserve">	</w:t>
      </w:r>
      <w:r>
        <w:t xml:space="preserve">Emert BL, Cote CJ, Torre EA, Dardani IP, Jiang CL, Jain N, et al. Variability within rare cell states enables multiple paths toward drug resistance. Nat Biotechnol. 2021;39: 865–876. doi:</w:t>
      </w:r>
      <w:hyperlink r:id="rId156">
        <w:r>
          <w:rPr>
            <w:rStyle w:val="Hyperlink"/>
          </w:rPr>
          <w:t xml:space="preserve">10.1038/s41587-021-00837-3</w:t>
        </w:r>
      </w:hyperlink>
    </w:p>
    <w:bookmarkEnd w:id="157"/>
    <w:bookmarkStart w:id="159" w:name="ref-torre2021"/>
    <w:p>
      <w:pPr>
        <w:pStyle w:val="Bibliography"/>
      </w:pPr>
      <w:r>
        <w:t xml:space="preserve">39.</w:t>
      </w:r>
      <w:r>
        <w:t xml:space="preserve"> </w:t>
      </w:r>
      <w:r>
        <w:t xml:space="preserve">	</w:t>
      </w:r>
      <w:r>
        <w:t xml:space="preserve">Torre EA, Arai E, Bayatpour S, Jiang CL, Beck LE, Emert BL, et al. Genetic screening for single-cell variability modulators driving therapy resistance. Nat Genet. 2021;53: 76–85. doi:</w:t>
      </w:r>
      <w:hyperlink r:id="rId158">
        <w:r>
          <w:rPr>
            <w:rStyle w:val="Hyperlink"/>
          </w:rPr>
          <w:t xml:space="preserve">10.1038/s41588-020-00749-z</w:t>
        </w:r>
      </w:hyperlink>
    </w:p>
    <w:bookmarkEnd w:id="159"/>
    <w:bookmarkStart w:id="161" w:name="ref-gunnarsson2020"/>
    <w:p>
      <w:pPr>
        <w:pStyle w:val="Bibliography"/>
      </w:pPr>
      <w:r>
        <w:t xml:space="preserve">40.</w:t>
      </w:r>
      <w:r>
        <w:t xml:space="preserve"> </w:t>
      </w:r>
      <w:r>
        <w:t xml:space="preserve">	</w:t>
      </w:r>
      <w:r>
        <w:t xml:space="preserve">Gunnarsson EB, De S, Leder K, Foo J. Understanding the role of phenotypic switching in cancer drug resistance. J Theor Biol. 2020;490: 110162. doi:</w:t>
      </w:r>
      <w:hyperlink r:id="rId160">
        <w:r>
          <w:rPr>
            <w:rStyle w:val="Hyperlink"/>
          </w:rPr>
          <w:t xml:space="preserve">10.1016/j.jtbi.2020.110162</w:t>
        </w:r>
      </w:hyperlink>
    </w:p>
    <w:bookmarkEnd w:id="161"/>
    <w:bookmarkStart w:id="163" w:name="ref-lasri2020"/>
    <w:p>
      <w:pPr>
        <w:pStyle w:val="Bibliography"/>
      </w:pPr>
      <w:r>
        <w:t xml:space="preserve">41.</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 Soc Open Sci. 2020;7: 191243. doi:</w:t>
      </w:r>
      <w:hyperlink r:id="rId162">
        <w:r>
          <w:rPr>
            <w:rStyle w:val="Hyperlink"/>
          </w:rPr>
          <w:t xml:space="preserve">10.1098/rsos.191243</w:t>
        </w:r>
      </w:hyperlink>
    </w:p>
    <w:bookmarkEnd w:id="163"/>
    <w:bookmarkStart w:id="165" w:name="ref-corigliano2025"/>
    <w:p>
      <w:pPr>
        <w:pStyle w:val="Bibliography"/>
      </w:pPr>
      <w:r>
        <w:t xml:space="preserve">42.</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164">
        <w:r>
          <w:rPr>
            <w:rStyle w:val="Hyperlink"/>
          </w:rPr>
          <w:t xml:space="preserve">10.1103/mh5v-lcyw</w:t>
        </w:r>
      </w:hyperlink>
    </w:p>
    <w:bookmarkEnd w:id="165"/>
    <w:bookmarkStart w:id="167" w:name="ref-bernton2019"/>
    <w:p>
      <w:pPr>
        <w:pStyle w:val="Bibliography"/>
      </w:pPr>
      <w:r>
        <w:t xml:space="preserve">43.</w:t>
      </w:r>
      <w:r>
        <w:t xml:space="preserve"> </w:t>
      </w:r>
      <w:r>
        <w:t xml:space="preserve">	</w:t>
      </w:r>
      <w:r>
        <w:t xml:space="preserve">Bernton E, Jacob PE, Gerber M, Robert CP. 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 J R Stat Soc Series B Stat Methodol. 2019;81: 235–269. doi:</w:t>
      </w:r>
      <w:hyperlink r:id="rId166">
        <w:r>
          <w:rPr>
            <w:rStyle w:val="Hyperlink"/>
          </w:rPr>
          <w:t xml:space="preserve">10.1111/rssb.12312</w:t>
        </w:r>
      </w:hyperlink>
    </w:p>
    <w:bookmarkEnd w:id="167"/>
    <w:bookmarkStart w:id="169" w:name="ref-sandler2015"/>
    <w:p>
      <w:pPr>
        <w:pStyle w:val="Bibliography"/>
      </w:pPr>
      <w:r>
        <w:t xml:space="preserve">44.</w:t>
      </w:r>
      <w:r>
        <w:t xml:space="preserve"> </w:t>
      </w:r>
      <w:r>
        <w:t xml:space="preserve">	</w:t>
      </w:r>
      <w:r>
        <w:t xml:space="preserve">Sandler O, Mizrahi SP, Weiss N, Agam O, Simon I, Balaban NQ. Lineage correlations of single cell division time as a probe of cell-cycle dynamics. Nature. 2015;519: 468–471. doi:</w:t>
      </w:r>
      <w:hyperlink r:id="rId168">
        <w:r>
          <w:rPr>
            <w:rStyle w:val="Hyperlink"/>
          </w:rPr>
          <w:t xml:space="preserve">10.1038/nature14318</w:t>
        </w:r>
      </w:hyperlink>
    </w:p>
    <w:bookmarkEnd w:id="169"/>
    <w:bookmarkStart w:id="171" w:name="ref-kuchen2020"/>
    <w:p>
      <w:pPr>
        <w:pStyle w:val="Bibliography"/>
      </w:pPr>
      <w:r>
        <w:t xml:space="preserve">45.</w:t>
      </w:r>
      <w:r>
        <w:t xml:space="preserve"> </w:t>
      </w:r>
      <w:r>
        <w:t xml:space="preserve">	</w:t>
      </w:r>
      <w:r>
        <w:t xml:space="preserve">Kuchen EE, Becker NB, Claudino N, Höfer T. Hidden long-range memories of growth and cycle speed correlate cell cycles in lineage trees. Elife. 2020;9: e51002. doi:</w:t>
      </w:r>
      <w:hyperlink r:id="rId170">
        <w:r>
          <w:rPr>
            <w:rStyle w:val="Hyperlink"/>
          </w:rPr>
          <w:t xml:space="preserve">10.7554/eLife.51002</w:t>
        </w:r>
      </w:hyperlink>
    </w:p>
    <w:bookmarkEnd w:id="171"/>
    <w:bookmarkStart w:id="173" w:name="ref-chakrabarti2018"/>
    <w:p>
      <w:pPr>
        <w:pStyle w:val="Bibliography"/>
      </w:pPr>
      <w:r>
        <w:t xml:space="preserve">46.</w:t>
      </w:r>
      <w:r>
        <w:t xml:space="preserve"> </w:t>
      </w:r>
      <w:r>
        <w:t xml:space="preserve">	</w:t>
      </w:r>
      <w:r>
        <w:t xml:space="preserve">Chakrabarti S, Paek AL, Reyes J, Lasick KA, Lahav G, Michor F. Hidden heterogeneity and circadian-controlled cell fate inferred from single cell lineages. Nat Commun. 2018;9: 5372. doi:</w:t>
      </w:r>
      <w:hyperlink r:id="rId172">
        <w:r>
          <w:rPr>
            <w:rStyle w:val="Hyperlink"/>
          </w:rPr>
          <w:t xml:space="preserve">10.1038/s41467-018-07788-5</w:t>
        </w:r>
      </w:hyperlink>
    </w:p>
    <w:bookmarkEnd w:id="173"/>
    <w:bookmarkStart w:id="175" w:name="ref-algazi2020"/>
    <w:p>
      <w:pPr>
        <w:pStyle w:val="Bibliography"/>
      </w:pPr>
      <w:r>
        <w:t xml:space="preserve">47.</w:t>
      </w:r>
      <w:r>
        <w:t xml:space="preserve"> </w:t>
      </w:r>
      <w:r>
        <w:t xml:space="preserve">	</w:t>
      </w:r>
      <w:r>
        <w:t xml:space="preserve">Algazi AP, Othus M, Daud AI, Lo RS, Mehnert JM, Truong T-G, et al. 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 Nat Med. 2020;26: 1564–1568. doi:</w:t>
      </w:r>
      <w:hyperlink r:id="rId174">
        <w:r>
          <w:rPr>
            <w:rStyle w:val="Hyperlink"/>
          </w:rPr>
          <w:t xml:space="preserve">10.1038/s41591-020-1060-8</w:t>
        </w:r>
      </w:hyperlink>
    </w:p>
    <w:bookmarkEnd w:id="175"/>
    <w:bookmarkStart w:id="177" w:name="ref-zhang2017adaptive"/>
    <w:p>
      <w:pPr>
        <w:pStyle w:val="Bibliography"/>
      </w:pPr>
      <w:r>
        <w:t xml:space="preserve">48.</w:t>
      </w:r>
      <w:r>
        <w:t xml:space="preserve"> </w:t>
      </w:r>
      <w:r>
        <w:t xml:space="preserve">	</w:t>
      </w:r>
      <w:r>
        <w:t xml:space="preserve">Zhang J, Cunningham JJ, Brown JS, Gatenby RA. Integrating evolutionary dynamics into treatment of metastatic castrate-resistant prostate cancer. Nat Commun. 2017;8: 1816. doi:</w:t>
      </w:r>
      <w:hyperlink r:id="rId176">
        <w:r>
          <w:rPr>
            <w:rStyle w:val="Hyperlink"/>
          </w:rPr>
          <w:t xml:space="preserve">10.1038/s41467-017-01968-5</w:t>
        </w:r>
      </w:hyperlink>
    </w:p>
    <w:bookmarkEnd w:id="177"/>
    <w:bookmarkStart w:id="179" w:name="ref-dasthakur2013"/>
    <w:p>
      <w:pPr>
        <w:pStyle w:val="Bibliography"/>
      </w:pPr>
      <w:r>
        <w:t xml:space="preserve">49.</w:t>
      </w:r>
      <w:r>
        <w:t xml:space="preserve"> </w:t>
      </w:r>
      <w:r>
        <w:t xml:space="preserve">	</w:t>
      </w:r>
      <w:r>
        <w:t xml:space="preserve">Das Thakur M, Salangsang F, Landman AS, Sellers WR, Pryer NK, Levesque MP, et al. Modelling vemurafenib resistance in melanoma reveals a strategy to forestall drug resistance. Nature. 2013;494: 251–255. doi:</w:t>
      </w:r>
      <w:hyperlink r:id="rId178">
        <w:r>
          <w:rPr>
            <w:rStyle w:val="Hyperlink"/>
          </w:rPr>
          <w:t xml:space="preserve">10.1038/nature11814</w:t>
        </w:r>
      </w:hyperlink>
    </w:p>
    <w:bookmarkEnd w:id="179"/>
    <w:bookmarkStart w:id="181" w:name="ref-strobl2021"/>
    <w:p>
      <w:pPr>
        <w:pStyle w:val="Bibliography"/>
      </w:pPr>
      <w:r>
        <w:t xml:space="preserve">50.</w:t>
      </w:r>
      <w:r>
        <w:t xml:space="preserve"> </w:t>
      </w:r>
      <w:r>
        <w:t xml:space="preserve">	</w:t>
      </w:r>
      <w:r>
        <w:t xml:space="preserve">Strobl MAR, West J, Viossat Y, Damaghi M, Robertson-Tessi M, Brown JS, et al. Turnover modulates the need for a cost of resistance in adaptive therapy. Cancer Res. 2021;81: 1135–1147. doi:</w:t>
      </w:r>
      <w:hyperlink r:id="rId180">
        <w:r>
          <w:rPr>
            <w:rStyle w:val="Hyperlink"/>
          </w:rPr>
          <w:t xml:space="preserve">10.1158/0008-5472.CAN-20-0806</w:t>
        </w:r>
      </w:hyperlink>
    </w:p>
    <w:bookmarkEnd w:id="181"/>
    <w:bookmarkStart w:id="183" w:name="ref-gilbert2013"/>
    <w:p>
      <w:pPr>
        <w:pStyle w:val="Bibliography"/>
      </w:pPr>
      <w:r>
        <w:t xml:space="preserve">51.</w:t>
      </w:r>
      <w:r>
        <w:t xml:space="preserve"> </w:t>
      </w:r>
      <w:r>
        <w:t xml:space="preserve">	</w:t>
      </w:r>
      <w:r>
        <w:t xml:space="preserve">Gilbert MR, Wang M, Aldape KD, Stupp R, Hegi ME, Jaeckle KA, et al. Dose-dense temozolomide for newly diagnosed glioblastoma: A randomized phase</w:t>
      </w:r>
      <w:r>
        <w:t xml:space="preserve"> </w:t>
      </w:r>
      <w:r>
        <w:t xml:space="preserve">III</w:t>
      </w:r>
      <w:r>
        <w:t xml:space="preserve"> </w:t>
      </w:r>
      <w:r>
        <w:t xml:space="preserve">clinical trial. J Clin Oncol. 2013;31: 4085–4091. doi:</w:t>
      </w:r>
      <w:hyperlink r:id="rId182">
        <w:r>
          <w:rPr>
            <w:rStyle w:val="Hyperlink"/>
          </w:rPr>
          <w:t xml:space="preserve">10.1200/JCO.2013.49.6968</w:t>
        </w:r>
      </w:hyperlink>
    </w:p>
    <w:bookmarkEnd w:id="183"/>
    <w:bookmarkStart w:id="185" w:name="ref-ostermann2004"/>
    <w:p>
      <w:pPr>
        <w:pStyle w:val="Bibliography"/>
      </w:pPr>
      <w:r>
        <w:t xml:space="preserve">52.</w:t>
      </w:r>
      <w:r>
        <w:t xml:space="preserve"> </w:t>
      </w:r>
      <w:r>
        <w:t xml:space="preserve">	</w:t>
      </w:r>
      <w:r>
        <w:t xml:space="preserve">Ostermann S, Csajka C, Buclin T, Leyvraz S, Lejeune F, Decosterd LA, et al. Plasma and cerebrospinal fluid population pharmacokinetics of temozolomide in malignant glioma patients. Clin Cancer Res. 2004;10: 3728–3736. doi:</w:t>
      </w:r>
      <w:hyperlink r:id="rId184">
        <w:r>
          <w:rPr>
            <w:rStyle w:val="Hyperlink"/>
          </w:rPr>
          <w:t xml:space="preserve">10.1158/1078-0432.CCR-03-0807</w:t>
        </w:r>
      </w:hyperlink>
    </w:p>
    <w:bookmarkEnd w:id="185"/>
    <w:bookmarkStart w:id="187" w:name="ref-rudek2004"/>
    <w:p>
      <w:pPr>
        <w:pStyle w:val="Bibliography"/>
      </w:pPr>
      <w:r>
        <w:t xml:space="preserve">53.</w:t>
      </w:r>
      <w:r>
        <w:t xml:space="preserve"> </w:t>
      </w:r>
      <w:r>
        <w:t xml:space="preserve">	</w:t>
      </w:r>
      <w:r>
        <w:t xml:space="preserve">Rudek MA, Donehower RC, Statkevich P, Batra VK, Cutler DL, Baker SD. Temozolomide in patients with advanced cancer: Phase</w:t>
      </w:r>
      <w:r>
        <w:t xml:space="preserve"> </w:t>
      </w:r>
      <w:r>
        <w:t xml:space="preserve">I</w:t>
      </w:r>
      <w:r>
        <w:t xml:space="preserve"> </w:t>
      </w:r>
      <w:r>
        <w:t xml:space="preserve">and pharmacokinetic study. Pharmacotherapy. 2004;24: 16–25. doi:</w:t>
      </w:r>
      <w:hyperlink r:id="rId186">
        <w:r>
          <w:rPr>
            <w:rStyle w:val="Hyperlink"/>
          </w:rPr>
          <w:t xml:space="preserve">10.1592/phco.24.1.16.34800</w:t>
        </w:r>
      </w:hyperlink>
    </w:p>
    <w:bookmarkEnd w:id="187"/>
    <w:bookmarkStart w:id="189" w:name="ref-tolcher2003"/>
    <w:p>
      <w:pPr>
        <w:pStyle w:val="Bibliography"/>
      </w:pPr>
      <w:r>
        <w:t xml:space="preserve">54.</w:t>
      </w:r>
      <w:r>
        <w:t xml:space="preserve"> </w:t>
      </w:r>
      <w:r>
        <w:t xml:space="preserve">	</w:t>
      </w:r>
      <w:r>
        <w:t xml:space="preserve">Tolcher AW, Gerson SL, Denis L, Geyer C, Hammond LA, Patnaik A, et al. Marked inactivation of</w:t>
      </w:r>
      <w:r>
        <w:t xml:space="preserve"> </w:t>
      </w:r>
      <w:r>
        <w:t xml:space="preserve">O6-alkylguanine-DNA</w:t>
      </w:r>
      <w:r>
        <w:t xml:space="preserve"> </w:t>
      </w:r>
      <w:r>
        <w:t xml:space="preserve">alkyltransferase activity with protracted temozolomide schedules. Br J Cancer. 2003;88: 1004–1011. doi:</w:t>
      </w:r>
      <w:hyperlink r:id="rId188">
        <w:r>
          <w:rPr>
            <w:rStyle w:val="Hyperlink"/>
          </w:rPr>
          <w:t xml:space="preserve">10.1038/sj.bjc.6600827</w:t>
        </w:r>
      </w:hyperlink>
    </w:p>
    <w:bookmarkEnd w:id="189"/>
    <w:bookmarkStart w:id="191" w:name="ref-middleton2000"/>
    <w:p>
      <w:pPr>
        <w:pStyle w:val="Bibliography"/>
      </w:pPr>
      <w:r>
        <w:t xml:space="preserve">55.</w:t>
      </w:r>
      <w:r>
        <w:t xml:space="preserve"> </w:t>
      </w:r>
      <w:r>
        <w:t xml:space="preserve">	</w:t>
      </w:r>
      <w:r>
        <w:t xml:space="preserve">Middleton MR, Lee SM, Arance A, Wood M, Thatcher N, Margison GP.</w:t>
      </w:r>
      <w:r>
        <w:t xml:space="preserve"> </w:t>
      </w:r>
      <w:r>
        <w:t xml:space="preserve">O6-methylguanine</w:t>
      </w:r>
      <w:r>
        <w:t xml:space="preserve"> </w:t>
      </w:r>
      <w:r>
        <w:t xml:space="preserve">formation, repair protein depletion and clinical outcome with a 4 hr schedule of temozolomide in the treatment of advanced melanoma: Results of a phase</w:t>
      </w:r>
      <w:r>
        <w:t xml:space="preserve"> </w:t>
      </w:r>
      <w:r>
        <w:t xml:space="preserve">II</w:t>
      </w:r>
      <w:r>
        <w:t xml:space="preserve"> </w:t>
      </w:r>
      <w:r>
        <w:t xml:space="preserve">study. Int J Cancer. 2000;88: 469–473. doi:</w:t>
      </w:r>
      <w:hyperlink r:id="rId190">
        <w:r>
          <w:rPr>
            <w:rStyle w:val="Hyperlink"/>
          </w:rPr>
          <w:t xml:space="preserve">10.1002/1097-0215(20001101)88:3&lt;469::AID-IJC21&gt;3.0.CO;2-7</w:t>
        </w:r>
      </w:hyperlink>
    </w:p>
    <w:bookmarkEnd w:id="191"/>
    <w:bookmarkStart w:id="193" w:name="ref-robinson2010"/>
    <w:p>
      <w:pPr>
        <w:pStyle w:val="Bibliography"/>
      </w:pPr>
      <w:r>
        <w:t xml:space="preserve">56.</w:t>
      </w:r>
      <w:r>
        <w:t xml:space="preserve"> </w:t>
      </w:r>
      <w:r>
        <w:t xml:space="preserve">	</w:t>
      </w:r>
      <w:r>
        <w:t xml:space="preserve">Robinson CG, Palomo JM, Rahmathulla G, McGraw M, Donze J, Liu L, et al. Effect of alternative temozolomide schedules on glioblastoma</w:t>
      </w:r>
      <w:r>
        <w:t xml:space="preserve"> </w:t>
      </w:r>
      <w:r>
        <w:t xml:space="preserve">O6-methylguanine-DNA</w:t>
      </w:r>
      <w:r>
        <w:t xml:space="preserve"> </w:t>
      </w:r>
      <w:r>
        <w:t xml:space="preserve">methyltransferase activity and survival. Br J Cancer. 2010;103: 498–504. doi:</w:t>
      </w:r>
      <w:hyperlink r:id="rId192">
        <w:r>
          <w:rPr>
            <w:rStyle w:val="Hyperlink"/>
          </w:rPr>
          <w:t xml:space="preserve">10.1038/sj.bjc.6605792</w:t>
        </w:r>
      </w:hyperlink>
    </w:p>
    <w:bookmarkEnd w:id="193"/>
    <w:bookmarkStart w:id="195" w:name="ref-gillespie1977"/>
    <w:p>
      <w:pPr>
        <w:pStyle w:val="Bibliography"/>
      </w:pPr>
      <w:r>
        <w:t xml:space="preserve">57.</w:t>
      </w:r>
      <w:r>
        <w:t xml:space="preserve"> </w:t>
      </w:r>
      <w:r>
        <w:t xml:space="preserve">	</w:t>
      </w:r>
      <w:r>
        <w:t xml:space="preserve">Gillespie DT. Exact stochastic simulation of coupled chemical reactions. J Phys Chem. 1977;81: 2340–2361. doi:</w:t>
      </w:r>
      <w:hyperlink r:id="rId194">
        <w:r>
          <w:rPr>
            <w:rStyle w:val="Hyperlink"/>
          </w:rPr>
          <w:t xml:space="preserve">10.1021/j100540a008</w:t>
        </w:r>
      </w:hyperlink>
    </w:p>
    <w:bookmarkEnd w:id="195"/>
    <w:bookmarkStart w:id="197" w:name="ref-gillespie2001"/>
    <w:p>
      <w:pPr>
        <w:pStyle w:val="Bibliography"/>
      </w:pPr>
      <w:r>
        <w:t xml:space="preserve">58.</w:t>
      </w:r>
      <w:r>
        <w:t xml:space="preserve"> </w:t>
      </w:r>
      <w:r>
        <w:t xml:space="preserve">	</w:t>
      </w:r>
      <w:r>
        <w:t xml:space="preserve">Gillespie DT. Approximate accelerated stochastic simulation of chemically reacting systems. J Chem Phys. 2001;115: 1716–1733. doi:</w:t>
      </w:r>
      <w:hyperlink r:id="rId196">
        <w:r>
          <w:rPr>
            <w:rStyle w:val="Hyperlink"/>
          </w:rPr>
          <w:t xml:space="preserve">10.1063/1.1378322</w:t>
        </w:r>
      </w:hyperlink>
    </w:p>
    <w:bookmarkEnd w:id="197"/>
    <w:bookmarkStart w:id="199" w:name="ref-cao2006"/>
    <w:p>
      <w:pPr>
        <w:pStyle w:val="Bibliography"/>
      </w:pPr>
      <w:r>
        <w:t xml:space="preserve">59.</w:t>
      </w:r>
      <w:r>
        <w:t xml:space="preserve"> </w:t>
      </w:r>
      <w:r>
        <w:t xml:space="preserve">	</w:t>
      </w:r>
      <w:r>
        <w:t xml:space="preserve">Cao Y, Gillespie DT, Petzold LR. Efficient step size selection for the tau-leaping simulation method. J Chem Phys. 2006;124: 044109. doi:</w:t>
      </w:r>
      <w:hyperlink r:id="rId198">
        <w:r>
          <w:rPr>
            <w:rStyle w:val="Hyperlink"/>
          </w:rPr>
          <w:t xml:space="preserve">10.1063/1.2159468</w:t>
        </w:r>
      </w:hyperlink>
    </w:p>
    <w:bookmarkEnd w:id="199"/>
    <w:bookmarkStart w:id="201" w:name="ref-cao2005"/>
    <w:p>
      <w:pPr>
        <w:pStyle w:val="Bibliography"/>
      </w:pPr>
      <w:r>
        <w:t xml:space="preserve">60.</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J Chem Phys. 2005;123: 054104. doi:</w:t>
      </w:r>
      <w:hyperlink r:id="rId200">
        <w:r>
          <w:rPr>
            <w:rStyle w:val="Hyperlink"/>
          </w:rPr>
          <w:t xml:space="preserve">10.1063/1.1992473</w:t>
        </w:r>
      </w:hyperlink>
    </w:p>
    <w:bookmarkEnd w:id="201"/>
    <w:bookmarkStart w:id="203" w:name="ref-shaffer2020"/>
    <w:p>
      <w:pPr>
        <w:pStyle w:val="Bibliography"/>
      </w:pPr>
      <w:r>
        <w:t xml:space="preserve">61.</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202">
        <w:r>
          <w:rPr>
            <w:rStyle w:val="Hyperlink"/>
          </w:rPr>
          <w:t xml:space="preserve">10.1016/j.cell.2020.07.003</w:t>
        </w:r>
      </w:hyperlink>
    </w:p>
    <w:bookmarkEnd w:id="203"/>
    <w:bookmarkStart w:id="205" w:name="ref-toni2009"/>
    <w:p>
      <w:pPr>
        <w:pStyle w:val="Bibliography"/>
      </w:pPr>
      <w:r>
        <w:t xml:space="preserve">62.</w:t>
      </w:r>
      <w:r>
        <w:t xml:space="preserve"> </w:t>
      </w:r>
      <w:r>
        <w:t xml:space="preserve">	</w:t>
      </w:r>
      <w:r>
        <w:t xml:space="preserve">Toni T, Welch D, Strelkowa N, Ipsen A, Stumpf MPH. Approximate</w:t>
      </w:r>
      <w:r>
        <w:t xml:space="preserve"> </w:t>
      </w:r>
      <w:r>
        <w:t xml:space="preserve">Bayesian</w:t>
      </w:r>
      <w:r>
        <w:t xml:space="preserve"> </w:t>
      </w:r>
      <w:r>
        <w:t xml:space="preserve">computation scheme for parameter inference and model selection in dynamical systems. J R Soc Interface. 2009;6: 187–202. doi:</w:t>
      </w:r>
      <w:hyperlink r:id="rId204">
        <w:r>
          <w:rPr>
            <w:rStyle w:val="Hyperlink"/>
          </w:rPr>
          <w:t xml:space="preserve">10.1098/rsif.2008.0172</w:t>
        </w:r>
      </w:hyperlink>
    </w:p>
    <w:bookmarkEnd w:id="205"/>
    <w:bookmarkStart w:id="207" w:name="ref-ellingson2016"/>
    <w:p>
      <w:pPr>
        <w:pStyle w:val="Bibliography"/>
      </w:pPr>
      <w:r>
        <w:t xml:space="preserve">63.</w:t>
      </w:r>
      <w:r>
        <w:t xml:space="preserve"> </w:t>
      </w:r>
      <w:r>
        <w:t xml:space="preserve">	</w:t>
      </w:r>
      <w:r>
        <w:t xml:space="preserve">Ellingson BM, Nguyen HN, Lai A, Nechifor RE, Zaw O, Pope WB, et al. Contrast-enhancing tumor growth dynamics of preoperative, treatment-naive human glioblastoma. Cancer. 2016;122: 1718–1727. doi:</w:t>
      </w:r>
      <w:hyperlink r:id="rId206">
        <w:r>
          <w:rPr>
            <w:rStyle w:val="Hyperlink"/>
          </w:rPr>
          <w:t xml:space="preserve">10.1002/cncr.29957</w:t>
        </w:r>
      </w:hyperlink>
    </w:p>
    <w:bookmarkEnd w:id="207"/>
    <w:bookmarkStart w:id="209" w:name="ref-stensjoen2015"/>
    <w:p>
      <w:pPr>
        <w:pStyle w:val="Bibliography"/>
      </w:pPr>
      <w:r>
        <w:t xml:space="preserve">64.</w:t>
      </w:r>
      <w:r>
        <w:t xml:space="preserve"> </w:t>
      </w:r>
      <w:r>
        <w:t xml:space="preserve">	</w:t>
      </w:r>
      <w:r>
        <w:t xml:space="preserve">Stensjøen AL, Solheim O, Kvistad KA, Håberg AK, Salvesen Ø, Berntsen EM. Growth dynamics of untreated glioblastomas in vivo. Neuro Oncol. 2015;17: 1402–1411. doi:</w:t>
      </w:r>
      <w:hyperlink r:id="rId208">
        <w:r>
          <w:rPr>
            <w:rStyle w:val="Hyperlink"/>
          </w:rPr>
          <w:t xml:space="preserve">10.1093/neuonc/nov029</w:t>
        </w:r>
      </w:hyperlink>
    </w:p>
    <w:bookmarkEnd w:id="209"/>
    <w:bookmarkStart w:id="211" w:name="ref-friedman2006"/>
    <w:p>
      <w:pPr>
        <w:pStyle w:val="Bibliography"/>
      </w:pPr>
      <w:r>
        <w:t xml:space="preserve">65.</w:t>
      </w:r>
      <w:r>
        <w:t xml:space="preserve"> </w:t>
      </w:r>
      <w:r>
        <w:t xml:space="preserve">	</w:t>
      </w:r>
      <w:r>
        <w:t xml:space="preserve">Friedman N, Cai L, Xie XS. Linking stochastic dynamics to population distribution: An analytical framework of gene expression. Phys Rev Lett. 2006;97: 168302. doi:</w:t>
      </w:r>
      <w:hyperlink r:id="rId210">
        <w:r>
          <w:rPr>
            <w:rStyle w:val="Hyperlink"/>
          </w:rPr>
          <w:t xml:space="preserve">10.1103/PhysRevLett.97.168302</w:t>
        </w:r>
      </w:hyperlink>
    </w:p>
    <w:bookmarkEnd w:id="211"/>
    <w:bookmarkStart w:id="213" w:name="ref-shahrezaei2008"/>
    <w:p>
      <w:pPr>
        <w:pStyle w:val="Bibliography"/>
      </w:pPr>
      <w:r>
        <w:t xml:space="preserve">66.</w:t>
      </w:r>
      <w:r>
        <w:t xml:space="preserve"> </w:t>
      </w:r>
      <w:r>
        <w:t xml:space="preserve">	</w:t>
      </w:r>
      <w:r>
        <w:t xml:space="preserve">Shahrezaei V, Swain PS. Analytical distributions for stochastic gene expression. Proc Natl Acad Sci U S A. 2008;105: 17256–17261. doi:</w:t>
      </w:r>
      <w:hyperlink r:id="rId212">
        <w:r>
          <w:rPr>
            <w:rStyle w:val="Hyperlink"/>
          </w:rPr>
          <w:t xml:space="preserve">10.1073/pnas.0803850105</w:t>
        </w:r>
      </w:hyperlink>
    </w:p>
    <w:bookmarkEnd w:id="213"/>
    <w:bookmarkStart w:id="215" w:name="ref-sciml"/>
    <w:p>
      <w:pPr>
        <w:pStyle w:val="Bibliography"/>
      </w:pPr>
      <w:r>
        <w:t xml:space="preserve">67.</w:t>
      </w:r>
      <w:r>
        <w:t xml:space="preserve"> </w:t>
      </w:r>
      <w:r>
        <w:t xml:space="preserve">	</w:t>
      </w:r>
      <w:r>
        <w:t xml:space="preserve">Rackauckas C, Nie Q.</w:t>
      </w:r>
      <w:r>
        <w:t xml:space="preserve"> </w:t>
      </w:r>
      <w:r>
        <w:t xml:space="preserve">DifferentialEquations.jl</w:t>
      </w:r>
      <w:r>
        <w:t xml:space="preserve"> </w:t>
      </w:r>
      <w:r>
        <w:t xml:space="preserve">– a performant and feature-rich ecosystem for solving differential equations in</w:t>
      </w:r>
      <w:r>
        <w:t xml:space="preserve"> </w:t>
      </w:r>
      <w:r>
        <w:t xml:space="preserve">Julia</w:t>
      </w:r>
      <w:r>
        <w:t xml:space="preserve">. J Open Res Softw. 2017;5: 15. doi:</w:t>
      </w:r>
      <w:hyperlink r:id="rId214">
        <w:r>
          <w:rPr>
            <w:rStyle w:val="Hyperlink"/>
          </w:rPr>
          <w:t xml:space="preserve">10.5334/jors.151</w:t>
        </w:r>
      </w:hyperlink>
    </w:p>
    <w:bookmarkEnd w:id="215"/>
    <w:bookmarkStart w:id="217" w:name="ref-huh2011"/>
    <w:p>
      <w:pPr>
        <w:pStyle w:val="Bibliography"/>
      </w:pPr>
      <w:r>
        <w:t xml:space="preserve">68.</w:t>
      </w:r>
      <w:r>
        <w:t xml:space="preserve"> </w:t>
      </w:r>
      <w:r>
        <w:t xml:space="preserve">	</w:t>
      </w:r>
      <w:r>
        <w:t xml:space="preserve">Huh D, Paulsson J. Non-genetic heterogeneity from stochastic partitioning at cell division. Nat Genet. 2011;43: 95–100. doi:</w:t>
      </w:r>
      <w:hyperlink r:id="rId216">
        <w:r>
          <w:rPr>
            <w:rStyle w:val="Hyperlink"/>
          </w:rPr>
          <w:t xml:space="preserve">10.1038/ng.729</w:t>
        </w:r>
      </w:hyperlink>
    </w:p>
    <w:bookmarkEnd w:id="217"/>
    <w:bookmarkStart w:id="219" w:name="ref-huynhthu2010"/>
    <w:p>
      <w:pPr>
        <w:pStyle w:val="Bibliography"/>
      </w:pPr>
      <w:r>
        <w:t xml:space="preserve">69.</w:t>
      </w:r>
      <w:r>
        <w:t xml:space="preserve"> </w:t>
      </w:r>
      <w:r>
        <w:t xml:space="preserve">	</w:t>
      </w:r>
      <w:r>
        <w:t xml:space="preserve">Huynh-Thu VA, Irrthum A, Wehenkel L, Geurts P. Inferring regulatory networks from expression data using tree-based methods. PLoS One. 2010;5: e12776. doi:</w:t>
      </w:r>
      <w:hyperlink r:id="rId218">
        <w:r>
          <w:rPr>
            <w:rStyle w:val="Hyperlink"/>
          </w:rPr>
          <w:t xml:space="preserve">10.1371/journal.pone.0012776</w:t>
        </w:r>
      </w:hyperlink>
    </w:p>
    <w:bookmarkEnd w:id="219"/>
    <w:bookmarkStart w:id="221" w:name="ref-vandijk2018"/>
    <w:p>
      <w:pPr>
        <w:pStyle w:val="Bibliography"/>
      </w:pPr>
      <w:r>
        <w:t xml:space="preserve">70.</w:t>
      </w:r>
      <w:r>
        <w:t xml:space="preserve"> </w:t>
      </w:r>
      <w:r>
        <w:t xml:space="preserve">	</w:t>
      </w:r>
      <w:r>
        <w:t xml:space="preserve">van Dijk D, Sharma R, Nainys J, Yim K, Kathail P, Carr AJ, et al. Recovering gene interactions from single-cell data using data diffusion. Cell. 2018;174: 716–729. doi:</w:t>
      </w:r>
      <w:hyperlink r:id="rId220">
        <w:r>
          <w:rPr>
            <w:rStyle w:val="Hyperlink"/>
          </w:rPr>
          <w:t xml:space="preserve">10.1016/j.cell.2018.05.061</w:t>
        </w:r>
      </w:hyperlink>
    </w:p>
    <w:bookmarkEnd w:id="221"/>
    <w:bookmarkStart w:id="223" w:name="ref-wagner2018"/>
    <w:p>
      <w:pPr>
        <w:pStyle w:val="Bibliography"/>
      </w:pPr>
      <w:r>
        <w:t xml:space="preserve">71.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222">
        <w:r>
          <w:rPr>
            <w:rStyle w:val="Hyperlink"/>
          </w:rPr>
          <w:t xml:space="preserve">10.1101/217737</w:t>
        </w:r>
      </w:hyperlink>
    </w:p>
    <w:bookmarkEnd w:id="223"/>
    <w:bookmarkEnd w:id="224"/>
    <w:bookmarkEnd w:id="2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90" Target="https://doi.org/10.1002/1097-0215(20001101)88:3&lt;469::AID-IJC21&gt;3.0.CO;2-7" TargetMode="External" /><Relationship Type="http://schemas.openxmlformats.org/officeDocument/2006/relationships/hyperlink" Id="rId206" Target="https://doi.org/10.1002/cncr.29957" TargetMode="External" /><Relationship Type="http://schemas.openxmlformats.org/officeDocument/2006/relationships/hyperlink" Id="rId148" Target="https://doi.org/10.1006/tpbi.1995.1027" TargetMode="External" /><Relationship Type="http://schemas.openxmlformats.org/officeDocument/2006/relationships/hyperlink" Id="rId82" Target="https://doi.org/10.1016/j.cell.2010.02.027" TargetMode="External" /><Relationship Type="http://schemas.openxmlformats.org/officeDocument/2006/relationships/hyperlink" Id="rId220" Target="https://doi.org/10.1016/j.cell.2018.05.061" TargetMode="External" /><Relationship Type="http://schemas.openxmlformats.org/officeDocument/2006/relationships/hyperlink" Id="rId202" Target="https://doi.org/10.1016/j.cell.2020.07.003" TargetMode="External" /><Relationship Type="http://schemas.openxmlformats.org/officeDocument/2006/relationships/hyperlink" Id="rId112" Target="https://doi.org/10.1016/j.cell.2024.11.015" TargetMode="External" /><Relationship Type="http://schemas.openxmlformats.org/officeDocument/2006/relationships/hyperlink" Id="rId120" Target="https://doi.org/10.1016/j.cels.2020.08.003" TargetMode="External" /><Relationship Type="http://schemas.openxmlformats.org/officeDocument/2006/relationships/hyperlink" Id="rId94" Target="https://doi.org/10.1016/j.cels.2026.101621" TargetMode="External" /><Relationship Type="http://schemas.openxmlformats.org/officeDocument/2006/relationships/hyperlink" Id="rId152" Target="https://doi.org/10.1016/j.isci.2022.105746" TargetMode="External" /><Relationship Type="http://schemas.openxmlformats.org/officeDocument/2006/relationships/hyperlink" Id="rId160" Target="https://doi.org/10.1016/j.jtbi.2020.110162" TargetMode="External" /><Relationship Type="http://schemas.openxmlformats.org/officeDocument/2006/relationships/hyperlink" Id="rId194" Target="https://doi.org/10.1021/j100540a008" TargetMode="External" /><Relationship Type="http://schemas.openxmlformats.org/officeDocument/2006/relationships/hyperlink" Id="rId178" Target="https://doi.org/10.1038/nature11814" TargetMode="External" /><Relationship Type="http://schemas.openxmlformats.org/officeDocument/2006/relationships/hyperlink" Id="rId168" Target="https://doi.org/10.1038/nature14318" TargetMode="External" /><Relationship Type="http://schemas.openxmlformats.org/officeDocument/2006/relationships/hyperlink" Id="rId84" Target="https://doi.org/10.1038/nature22794" TargetMode="External" /><Relationship Type="http://schemas.openxmlformats.org/officeDocument/2006/relationships/hyperlink" Id="rId216" Target="https://doi.org/10.1038/ng.729" TargetMode="External" /><Relationship Type="http://schemas.openxmlformats.org/officeDocument/2006/relationships/hyperlink" Id="rId86" Target="https://doi.org/10.1038/nm.4040" TargetMode="External" /><Relationship Type="http://schemas.openxmlformats.org/officeDocument/2006/relationships/hyperlink" Id="rId176" Target="https://doi.org/10.1038/s41467-017-01968-5" TargetMode="External" /><Relationship Type="http://schemas.openxmlformats.org/officeDocument/2006/relationships/hyperlink" Id="rId172" Target="https://doi.org/10.1038/s41467-018-07788-5" TargetMode="External" /><Relationship Type="http://schemas.openxmlformats.org/officeDocument/2006/relationships/hyperlink" Id="rId118" Target="https://doi.org/10.1038/s41467-019-10500-w" TargetMode="External" /><Relationship Type="http://schemas.openxmlformats.org/officeDocument/2006/relationships/hyperlink" Id="rId122" Target="https://doi.org/10.1038/s41467-021-24152-2" TargetMode="External" /><Relationship Type="http://schemas.openxmlformats.org/officeDocument/2006/relationships/hyperlink" Id="rId98" Target="https://doi.org/10.1038/s41467-023-41811-8" TargetMode="External" /><Relationship Type="http://schemas.openxmlformats.org/officeDocument/2006/relationships/hyperlink" Id="rId126" Target="https://doi.org/10.1038/s41467-024-48516-6" TargetMode="External" /><Relationship Type="http://schemas.openxmlformats.org/officeDocument/2006/relationships/hyperlink" Id="rId144" Target="https://doi.org/10.1038/s41540-023-00314-4" TargetMode="External" /><Relationship Type="http://schemas.openxmlformats.org/officeDocument/2006/relationships/hyperlink" Id="rId88" Target="https://doi.org/10.1038/s41586-021-03796-6" TargetMode="External" /><Relationship Type="http://schemas.openxmlformats.org/officeDocument/2006/relationships/hyperlink" Id="rId90" Target="https://doi.org/10.1038/s41586-024-07690-9" TargetMode="External" /><Relationship Type="http://schemas.openxmlformats.org/officeDocument/2006/relationships/hyperlink" Id="rId156" Target="https://doi.org/10.1038/s41587-021-00837-3" TargetMode="External" /><Relationship Type="http://schemas.openxmlformats.org/officeDocument/2006/relationships/hyperlink" Id="rId116" Target="https://doi.org/10.1038/s41587-023-01772-1" TargetMode="External" /><Relationship Type="http://schemas.openxmlformats.org/officeDocument/2006/relationships/hyperlink" Id="rId158" Target="https://doi.org/10.1038/s41588-020-00749-z" TargetMode="External" /><Relationship Type="http://schemas.openxmlformats.org/officeDocument/2006/relationships/hyperlink" Id="rId174" Target="https://doi.org/10.1038/s41591-020-1060-8" TargetMode="External" /><Relationship Type="http://schemas.openxmlformats.org/officeDocument/2006/relationships/hyperlink" Id="rId132" Target="https://doi.org/10.1038/s41592-019-0690-6" TargetMode="External" /><Relationship Type="http://schemas.openxmlformats.org/officeDocument/2006/relationships/hyperlink" Id="rId124" Target="https://doi.org/10.1038/s41592-025-02651-0" TargetMode="External" /><Relationship Type="http://schemas.openxmlformats.org/officeDocument/2006/relationships/hyperlink" Id="rId106" Target="https://doi.org/10.1038/s41592-025-02772-6" TargetMode="External" /><Relationship Type="http://schemas.openxmlformats.org/officeDocument/2006/relationships/hyperlink" Id="rId188" Target="https://doi.org/10.1038/sj.bjc.6600827" TargetMode="External" /><Relationship Type="http://schemas.openxmlformats.org/officeDocument/2006/relationships/hyperlink" Id="rId192" Target="https://doi.org/10.1038/sj.bjc.6605792" TargetMode="External" /><Relationship Type="http://schemas.openxmlformats.org/officeDocument/2006/relationships/hyperlink" Id="rId196" Target="https://doi.org/10.1063/1.1378322" TargetMode="External" /><Relationship Type="http://schemas.openxmlformats.org/officeDocument/2006/relationships/hyperlink" Id="rId200" Target="https://doi.org/10.1063/1.1992473" TargetMode="External" /><Relationship Type="http://schemas.openxmlformats.org/officeDocument/2006/relationships/hyperlink" Id="rId198" Target="https://doi.org/10.1063/1.2159468" TargetMode="External" /><Relationship Type="http://schemas.openxmlformats.org/officeDocument/2006/relationships/hyperlink" Id="rId212" Target="https://doi.org/10.1073/pnas.0803850105" TargetMode="External" /><Relationship Type="http://schemas.openxmlformats.org/officeDocument/2006/relationships/hyperlink" Id="rId128" Target="https://doi.org/10.1093/nar/gkac235" TargetMode="External" /><Relationship Type="http://schemas.openxmlformats.org/officeDocument/2006/relationships/hyperlink" Id="rId100" Target="https://doi.org/10.1093/nar/gkaf295" TargetMode="External" /><Relationship Type="http://schemas.openxmlformats.org/officeDocument/2006/relationships/hyperlink" Id="rId208" Target="https://doi.org/10.1093/neuonc/nov029" TargetMode="External" /><Relationship Type="http://schemas.openxmlformats.org/officeDocument/2006/relationships/hyperlink" Id="rId204" Target="https://doi.org/10.1098/rsif.2008.0172" TargetMode="External" /><Relationship Type="http://schemas.openxmlformats.org/officeDocument/2006/relationships/hyperlink" Id="rId154" Target="https://doi.org/10.1098/rsif.2017.0467" TargetMode="External" /><Relationship Type="http://schemas.openxmlformats.org/officeDocument/2006/relationships/hyperlink" Id="rId140" Target="https://doi.org/10.1098/rsif.2021.0274" TargetMode="External" /><Relationship Type="http://schemas.openxmlformats.org/officeDocument/2006/relationships/hyperlink" Id="rId134" Target="https://doi.org/10.1098/rsos.172234" TargetMode="External" /><Relationship Type="http://schemas.openxmlformats.org/officeDocument/2006/relationships/hyperlink" Id="rId162" Target="https://doi.org/10.1098/rsos.191243" TargetMode="External" /><Relationship Type="http://schemas.openxmlformats.org/officeDocument/2006/relationships/hyperlink" Id="rId96" Target="https://doi.org/10.1101/2025.01.15.633183" TargetMode="External" /><Relationship Type="http://schemas.openxmlformats.org/officeDocument/2006/relationships/hyperlink" Id="rId222" Target="https://doi.org/10.1101/217737" TargetMode="External" /><Relationship Type="http://schemas.openxmlformats.org/officeDocument/2006/relationships/hyperlink" Id="rId150" Target="https://doi.org/10.1103/PhysRevE.101.032403" TargetMode="External" /><Relationship Type="http://schemas.openxmlformats.org/officeDocument/2006/relationships/hyperlink" Id="rId210" Target="https://doi.org/10.1103/PhysRevLett.97.168302" TargetMode="External" /><Relationship Type="http://schemas.openxmlformats.org/officeDocument/2006/relationships/hyperlink" Id="rId164" Target="https://doi.org/10.1103/mh5v-lcyw" TargetMode="External" /><Relationship Type="http://schemas.openxmlformats.org/officeDocument/2006/relationships/hyperlink" Id="rId166" Target="https://doi.org/10.1111/rssb.12312" TargetMode="External" /><Relationship Type="http://schemas.openxmlformats.org/officeDocument/2006/relationships/hyperlink" Id="rId138" Target="https://doi.org/10.1126/sciadv.adl4895" TargetMode="External" /><Relationship Type="http://schemas.openxmlformats.org/officeDocument/2006/relationships/hyperlink" Id="rId180" Target="https://doi.org/10.1158/0008-5472.CAN-20-0806" TargetMode="External" /><Relationship Type="http://schemas.openxmlformats.org/officeDocument/2006/relationships/hyperlink" Id="rId184" Target="https://doi.org/10.1158/1078-0432.CCR-03-0807" TargetMode="External" /><Relationship Type="http://schemas.openxmlformats.org/officeDocument/2006/relationships/hyperlink" Id="rId146" Target="https://doi.org/10.1186/s12859-022-04778-9" TargetMode="External" /><Relationship Type="http://schemas.openxmlformats.org/officeDocument/2006/relationships/hyperlink" Id="rId114" Target="https://doi.org/10.1186/s13059-017-1305-0" TargetMode="External" /><Relationship Type="http://schemas.openxmlformats.org/officeDocument/2006/relationships/hyperlink" Id="rId130" Target="https://doi.org/10.1186/s13059-020-02000-8" TargetMode="External" /><Relationship Type="http://schemas.openxmlformats.org/officeDocument/2006/relationships/hyperlink" Id="rId182" Target="https://doi.org/10.1200/JCO.2013.49.6968" TargetMode="External" /><Relationship Type="http://schemas.openxmlformats.org/officeDocument/2006/relationships/hyperlink" Id="rId142" Target="https://doi.org/10.1371/journal.pcbi.1005991" TargetMode="External" /><Relationship Type="http://schemas.openxmlformats.org/officeDocument/2006/relationships/hyperlink" Id="rId102" Target="https://doi.org/10.1371/journal.pcbi.1013014" TargetMode="External" /><Relationship Type="http://schemas.openxmlformats.org/officeDocument/2006/relationships/hyperlink" Id="rId92" Target="https://doi.org/10.1371/journal.pcbi.1013446" TargetMode="External" /><Relationship Type="http://schemas.openxmlformats.org/officeDocument/2006/relationships/hyperlink" Id="rId136" Target="https://doi.org/10.1371/journal.pcbi.1014366" TargetMode="External" /><Relationship Type="http://schemas.openxmlformats.org/officeDocument/2006/relationships/hyperlink" Id="rId218" Target="https://doi.org/10.1371/journal.pone.0012776" TargetMode="External" /><Relationship Type="http://schemas.openxmlformats.org/officeDocument/2006/relationships/hyperlink" Id="rId186" Target="https://doi.org/10.1592/phco.24.1.16.34800" TargetMode="External" /><Relationship Type="http://schemas.openxmlformats.org/officeDocument/2006/relationships/hyperlink" Id="rId47" Target="https://doi.org/10.5281/zenodo.22894285" TargetMode="External" /><Relationship Type="http://schemas.openxmlformats.org/officeDocument/2006/relationships/hyperlink" Id="rId46" Target="https://doi.org/10.5281/zenodo.22894286" TargetMode="External" /><Relationship Type="http://schemas.openxmlformats.org/officeDocument/2006/relationships/hyperlink" Id="rId214" Target="https://doi.org/10.5334/jors.151" TargetMode="External" /><Relationship Type="http://schemas.openxmlformats.org/officeDocument/2006/relationships/hyperlink" Id="rId110" Target="https://doi.org/10.64898/2026.02.04.703804" TargetMode="External" /><Relationship Type="http://schemas.openxmlformats.org/officeDocument/2006/relationships/hyperlink" Id="rId104" Target="https://doi.org/10.64898/2026.04.14.718485" TargetMode="External" /><Relationship Type="http://schemas.openxmlformats.org/officeDocument/2006/relationships/hyperlink" Id="rId108" Target="https://doi.org/10.64898/2026.04.20.719650" TargetMode="External" /><Relationship Type="http://schemas.openxmlformats.org/officeDocument/2006/relationships/hyperlink" Id="rId170" Target="https://doi.org/10.7554/eLife.51002" TargetMode="External" /><Relationship Type="http://schemas.openxmlformats.org/officeDocument/2006/relationships/hyperlink" Id="rId80" Target="https://orcid.org/0000-0003-0806-9072"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1097-0215(20001101)88:3&lt;469::AID-IJC21&gt;3.0.CO;2-7" TargetMode="External" /><Relationship Type="http://schemas.openxmlformats.org/officeDocument/2006/relationships/hyperlink" Id="rId206" Target="https://doi.org/10.1002/cncr.29957" TargetMode="External" /><Relationship Type="http://schemas.openxmlformats.org/officeDocument/2006/relationships/hyperlink" Id="rId148" Target="https://doi.org/10.1006/tpbi.1995.1027" TargetMode="External" /><Relationship Type="http://schemas.openxmlformats.org/officeDocument/2006/relationships/hyperlink" Id="rId82" Target="https://doi.org/10.1016/j.cell.2010.02.027" TargetMode="External" /><Relationship Type="http://schemas.openxmlformats.org/officeDocument/2006/relationships/hyperlink" Id="rId220" Target="https://doi.org/10.1016/j.cell.2018.05.061" TargetMode="External" /><Relationship Type="http://schemas.openxmlformats.org/officeDocument/2006/relationships/hyperlink" Id="rId202" Target="https://doi.org/10.1016/j.cell.2020.07.003" TargetMode="External" /><Relationship Type="http://schemas.openxmlformats.org/officeDocument/2006/relationships/hyperlink" Id="rId112" Target="https://doi.org/10.1016/j.cell.2024.11.015" TargetMode="External" /><Relationship Type="http://schemas.openxmlformats.org/officeDocument/2006/relationships/hyperlink" Id="rId120" Target="https://doi.org/10.1016/j.cels.2020.08.003" TargetMode="External" /><Relationship Type="http://schemas.openxmlformats.org/officeDocument/2006/relationships/hyperlink" Id="rId94" Target="https://doi.org/10.1016/j.cels.2026.101621" TargetMode="External" /><Relationship Type="http://schemas.openxmlformats.org/officeDocument/2006/relationships/hyperlink" Id="rId152" Target="https://doi.org/10.1016/j.isci.2022.105746" TargetMode="External" /><Relationship Type="http://schemas.openxmlformats.org/officeDocument/2006/relationships/hyperlink" Id="rId160" Target="https://doi.org/10.1016/j.jtbi.2020.110162" TargetMode="External" /><Relationship Type="http://schemas.openxmlformats.org/officeDocument/2006/relationships/hyperlink" Id="rId194" Target="https://doi.org/10.1021/j100540a008" TargetMode="External" /><Relationship Type="http://schemas.openxmlformats.org/officeDocument/2006/relationships/hyperlink" Id="rId178" Target="https://doi.org/10.1038/nature11814" TargetMode="External" /><Relationship Type="http://schemas.openxmlformats.org/officeDocument/2006/relationships/hyperlink" Id="rId168" Target="https://doi.org/10.1038/nature14318" TargetMode="External" /><Relationship Type="http://schemas.openxmlformats.org/officeDocument/2006/relationships/hyperlink" Id="rId84" Target="https://doi.org/10.1038/nature22794" TargetMode="External" /><Relationship Type="http://schemas.openxmlformats.org/officeDocument/2006/relationships/hyperlink" Id="rId216" Target="https://doi.org/10.1038/ng.729" TargetMode="External" /><Relationship Type="http://schemas.openxmlformats.org/officeDocument/2006/relationships/hyperlink" Id="rId86" Target="https://doi.org/10.1038/nm.4040" TargetMode="External" /><Relationship Type="http://schemas.openxmlformats.org/officeDocument/2006/relationships/hyperlink" Id="rId176" Target="https://doi.org/10.1038/s41467-017-01968-5" TargetMode="External" /><Relationship Type="http://schemas.openxmlformats.org/officeDocument/2006/relationships/hyperlink" Id="rId172" Target="https://doi.org/10.1038/s41467-018-07788-5" TargetMode="External" /><Relationship Type="http://schemas.openxmlformats.org/officeDocument/2006/relationships/hyperlink" Id="rId118" Target="https://doi.org/10.1038/s41467-019-10500-w" TargetMode="External" /><Relationship Type="http://schemas.openxmlformats.org/officeDocument/2006/relationships/hyperlink" Id="rId122" Target="https://doi.org/10.1038/s41467-021-24152-2" TargetMode="External" /><Relationship Type="http://schemas.openxmlformats.org/officeDocument/2006/relationships/hyperlink" Id="rId98" Target="https://doi.org/10.1038/s41467-023-41811-8" TargetMode="External" /><Relationship Type="http://schemas.openxmlformats.org/officeDocument/2006/relationships/hyperlink" Id="rId126" Target="https://doi.org/10.1038/s41467-024-48516-6" TargetMode="External" /><Relationship Type="http://schemas.openxmlformats.org/officeDocument/2006/relationships/hyperlink" Id="rId144" Target="https://doi.org/10.1038/s41540-023-00314-4" TargetMode="External" /><Relationship Type="http://schemas.openxmlformats.org/officeDocument/2006/relationships/hyperlink" Id="rId88" Target="https://doi.org/10.1038/s41586-021-03796-6" TargetMode="External" /><Relationship Type="http://schemas.openxmlformats.org/officeDocument/2006/relationships/hyperlink" Id="rId90" Target="https://doi.org/10.1038/s41586-024-07690-9" TargetMode="External" /><Relationship Type="http://schemas.openxmlformats.org/officeDocument/2006/relationships/hyperlink" Id="rId156" Target="https://doi.org/10.1038/s41587-021-00837-3" TargetMode="External" /><Relationship Type="http://schemas.openxmlformats.org/officeDocument/2006/relationships/hyperlink" Id="rId116" Target="https://doi.org/10.1038/s41587-023-01772-1" TargetMode="External" /><Relationship Type="http://schemas.openxmlformats.org/officeDocument/2006/relationships/hyperlink" Id="rId158" Target="https://doi.org/10.1038/s41588-020-00749-z" TargetMode="External" /><Relationship Type="http://schemas.openxmlformats.org/officeDocument/2006/relationships/hyperlink" Id="rId174" Target="https://doi.org/10.1038/s41591-020-1060-8" TargetMode="External" /><Relationship Type="http://schemas.openxmlformats.org/officeDocument/2006/relationships/hyperlink" Id="rId132" Target="https://doi.org/10.1038/s41592-019-0690-6" TargetMode="External" /><Relationship Type="http://schemas.openxmlformats.org/officeDocument/2006/relationships/hyperlink" Id="rId124" Target="https://doi.org/10.1038/s41592-025-02651-0" TargetMode="External" /><Relationship Type="http://schemas.openxmlformats.org/officeDocument/2006/relationships/hyperlink" Id="rId106" Target="https://doi.org/10.1038/s41592-025-02772-6" TargetMode="External" /><Relationship Type="http://schemas.openxmlformats.org/officeDocument/2006/relationships/hyperlink" Id="rId188" Target="https://doi.org/10.1038/sj.bjc.6600827" TargetMode="External" /><Relationship Type="http://schemas.openxmlformats.org/officeDocument/2006/relationships/hyperlink" Id="rId192" Target="https://doi.org/10.1038/sj.bjc.6605792" TargetMode="External" /><Relationship Type="http://schemas.openxmlformats.org/officeDocument/2006/relationships/hyperlink" Id="rId196" Target="https://doi.org/10.1063/1.1378322" TargetMode="External" /><Relationship Type="http://schemas.openxmlformats.org/officeDocument/2006/relationships/hyperlink" Id="rId200" Target="https://doi.org/10.1063/1.1992473" TargetMode="External" /><Relationship Type="http://schemas.openxmlformats.org/officeDocument/2006/relationships/hyperlink" Id="rId198" Target="https://doi.org/10.1063/1.2159468" TargetMode="External" /><Relationship Type="http://schemas.openxmlformats.org/officeDocument/2006/relationships/hyperlink" Id="rId212" Target="https://doi.org/10.1073/pnas.0803850105" TargetMode="External" /><Relationship Type="http://schemas.openxmlformats.org/officeDocument/2006/relationships/hyperlink" Id="rId128" Target="https://doi.org/10.1093/nar/gkac235" TargetMode="External" /><Relationship Type="http://schemas.openxmlformats.org/officeDocument/2006/relationships/hyperlink" Id="rId100" Target="https://doi.org/10.1093/nar/gkaf295" TargetMode="External" /><Relationship Type="http://schemas.openxmlformats.org/officeDocument/2006/relationships/hyperlink" Id="rId208" Target="https://doi.org/10.1093/neuonc/nov029" TargetMode="External" /><Relationship Type="http://schemas.openxmlformats.org/officeDocument/2006/relationships/hyperlink" Id="rId204" Target="https://doi.org/10.1098/rsif.2008.0172" TargetMode="External" /><Relationship Type="http://schemas.openxmlformats.org/officeDocument/2006/relationships/hyperlink" Id="rId154" Target="https://doi.org/10.1098/rsif.2017.0467" TargetMode="External" /><Relationship Type="http://schemas.openxmlformats.org/officeDocument/2006/relationships/hyperlink" Id="rId140" Target="https://doi.org/10.1098/rsif.2021.0274" TargetMode="External" /><Relationship Type="http://schemas.openxmlformats.org/officeDocument/2006/relationships/hyperlink" Id="rId134" Target="https://doi.org/10.1098/rsos.172234" TargetMode="External" /><Relationship Type="http://schemas.openxmlformats.org/officeDocument/2006/relationships/hyperlink" Id="rId162" Target="https://doi.org/10.1098/rsos.191243" TargetMode="External" /><Relationship Type="http://schemas.openxmlformats.org/officeDocument/2006/relationships/hyperlink" Id="rId96" Target="https://doi.org/10.1101/2025.01.15.633183" TargetMode="External" /><Relationship Type="http://schemas.openxmlformats.org/officeDocument/2006/relationships/hyperlink" Id="rId222" Target="https://doi.org/10.1101/217737" TargetMode="External" /><Relationship Type="http://schemas.openxmlformats.org/officeDocument/2006/relationships/hyperlink" Id="rId150" Target="https://doi.org/10.1103/PhysRevE.101.032403" TargetMode="External" /><Relationship Type="http://schemas.openxmlformats.org/officeDocument/2006/relationships/hyperlink" Id="rId210" Target="https://doi.org/10.1103/PhysRevLett.97.168302" TargetMode="External" /><Relationship Type="http://schemas.openxmlformats.org/officeDocument/2006/relationships/hyperlink" Id="rId164" Target="https://doi.org/10.1103/mh5v-lcyw" TargetMode="External" /><Relationship Type="http://schemas.openxmlformats.org/officeDocument/2006/relationships/hyperlink" Id="rId166" Target="https://doi.org/10.1111/rssb.12312" TargetMode="External" /><Relationship Type="http://schemas.openxmlformats.org/officeDocument/2006/relationships/hyperlink" Id="rId138" Target="https://doi.org/10.1126/sciadv.adl4895" TargetMode="External" /><Relationship Type="http://schemas.openxmlformats.org/officeDocument/2006/relationships/hyperlink" Id="rId180" Target="https://doi.org/10.1158/0008-5472.CAN-20-0806" TargetMode="External" /><Relationship Type="http://schemas.openxmlformats.org/officeDocument/2006/relationships/hyperlink" Id="rId184" Target="https://doi.org/10.1158/1078-0432.CCR-03-0807" TargetMode="External" /><Relationship Type="http://schemas.openxmlformats.org/officeDocument/2006/relationships/hyperlink" Id="rId146" Target="https://doi.org/10.1186/s12859-022-04778-9" TargetMode="External" /><Relationship Type="http://schemas.openxmlformats.org/officeDocument/2006/relationships/hyperlink" Id="rId114" Target="https://doi.org/10.1186/s13059-017-1305-0" TargetMode="External" /><Relationship Type="http://schemas.openxmlformats.org/officeDocument/2006/relationships/hyperlink" Id="rId130" Target="https://doi.org/10.1186/s13059-020-02000-8" TargetMode="External" /><Relationship Type="http://schemas.openxmlformats.org/officeDocument/2006/relationships/hyperlink" Id="rId182" Target="https://doi.org/10.1200/JCO.2013.49.6968" TargetMode="External" /><Relationship Type="http://schemas.openxmlformats.org/officeDocument/2006/relationships/hyperlink" Id="rId142" Target="https://doi.org/10.1371/journal.pcbi.1005991" TargetMode="External" /><Relationship Type="http://schemas.openxmlformats.org/officeDocument/2006/relationships/hyperlink" Id="rId102" Target="https://doi.org/10.1371/journal.pcbi.1013014" TargetMode="External" /><Relationship Type="http://schemas.openxmlformats.org/officeDocument/2006/relationships/hyperlink" Id="rId92" Target="https://doi.org/10.1371/journal.pcbi.1013446" TargetMode="External" /><Relationship Type="http://schemas.openxmlformats.org/officeDocument/2006/relationships/hyperlink" Id="rId136" Target="https://doi.org/10.1371/journal.pcbi.1014366" TargetMode="External" /><Relationship Type="http://schemas.openxmlformats.org/officeDocument/2006/relationships/hyperlink" Id="rId218" Target="https://doi.org/10.1371/journal.pone.0012776" TargetMode="External" /><Relationship Type="http://schemas.openxmlformats.org/officeDocument/2006/relationships/hyperlink" Id="rId186" Target="https://doi.org/10.1592/phco.24.1.16.34800" TargetMode="External" /><Relationship Type="http://schemas.openxmlformats.org/officeDocument/2006/relationships/hyperlink" Id="rId47" Target="https://doi.org/10.5281/zenodo.22894285" TargetMode="External" /><Relationship Type="http://schemas.openxmlformats.org/officeDocument/2006/relationships/hyperlink" Id="rId46" Target="https://doi.org/10.5281/zenodo.22894286" TargetMode="External" /><Relationship Type="http://schemas.openxmlformats.org/officeDocument/2006/relationships/hyperlink" Id="rId214" Target="https://doi.org/10.5334/jors.151" TargetMode="External" /><Relationship Type="http://schemas.openxmlformats.org/officeDocument/2006/relationships/hyperlink" Id="rId110" Target="https://doi.org/10.64898/2026.02.04.703804" TargetMode="External" /><Relationship Type="http://schemas.openxmlformats.org/officeDocument/2006/relationships/hyperlink" Id="rId104" Target="https://doi.org/10.64898/2026.04.14.718485" TargetMode="External" /><Relationship Type="http://schemas.openxmlformats.org/officeDocument/2006/relationships/hyperlink" Id="rId108" Target="https://doi.org/10.64898/2026.04.20.719650" TargetMode="External" /><Relationship Type="http://schemas.openxmlformats.org/officeDocument/2006/relationships/hyperlink" Id="rId170" Target="https://doi.org/10.7554/eLife.51002" TargetMode="External" /><Relationship Type="http://schemas.openxmlformats.org/officeDocument/2006/relationships/hyperlink" Id="rId80" Target="https://orcid.org/0000-0003-0806-90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2026-09-22T15:01:59Z</dcterms:created>
  <dcterms:modified xsi:type="dcterms:W3CDTF">2026-09-22T15:01:59Z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can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the ground truth that benchmarks of memory genes, network inference and perturbation prediction lack. Calibrated to time-lapse measurements of cisplatin-treated U2OS cells, the model reproduces their dose-invariance of single-cell timing and matches the kin fate correlations reported for HCT116 cells in the same study. That match is a consistency check across cell lines rather than an independent validation, because the memory timescale was taken from those correlations as a prior; six parameters fitted to six fate fractions leave it undetermined, and a cycle-gated hazard fits as well. The schedule optimiser reproduces the opposite rankings of intermittent dosing reported in a melanoma trial and in xenografts, the xenograft ranking as a lower tumour burden at the end of the 60-week simulation rather than as a longer time to loss of control, on which all three schedules are censored, and shows the ranking to turn on measurable properties of resistant cells: growth under drug, fitness without it, and whether the drug stabilises the resistant state.</vt:lpwstr>
  </property>
  <property fmtid="{D5CDD505-2E9C-101B-9397-08002B2CF9AE}" pid="3" name="bibliography">
    <vt:lpwstr>/home/user/Biomodelling.jl/paper/manuscript/references.bib</vt:lpwstr>
  </property>
  <property fmtid="{D5CDD505-2E9C-101B-9397-08002B2CF9AE}" pid="4" name="csl">
    <vt:lpwstr>/home/user/Biomodelling.jl/paper/manuscript/plos.csl</vt:lpwstr>
  </property>
  <property fmtid="{D5CDD505-2E9C-101B-9397-08002B2CF9AE}" pid="5" name="date">
    <vt:lpwstr>Berache Limited, Dublin, Ireland. Correspondence: alasri@berache.com</vt:lpwstr>
  </property>
</Properties>
</file>