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 simulation of heritable expression states, cell division and drug response in single-cell populations</w:t>
      </w:r>
    </w:p>
    <w:p>
      <w:pPr>
        <w:pStyle w:val="Author"/>
      </w:pPr>
      <w:r>
        <w:t xml:space="preserve">Ayoub Lasri</w:t>
      </w:r>
    </w:p>
    <w:p>
      <w:pPr>
        <w:pStyle w:val="Date"/>
      </w:pPr>
      <w:r>
        <w:t xml:space="preserve">Correspondence: alasri@berache.com</w:t>
      </w:r>
    </w:p>
    <w:p>
      <w:pPr>
        <w:pStyle w:val="AbstractTitle"/>
      </w:pPr>
      <w:r>
        <w:t xml:space="preserve">Abstract</w:t>
      </w:r>
    </w:p>
    <w:p>
      <w:pPr>
        <w:pStyle w:val="Abstract"/>
      </w:pPr>
      <w:r>
        <w:t xml:space="preserve">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w:t>
      </w:r>
    </w:p>
    <w:p>
      <w:pPr>
        <w:pStyle w:val="FirstParagraph"/>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rPr>
          <w:vertAlign w:val="superscript"/>
        </w:rP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rPr>
          <w:vertAlign w:val="superscript"/>
        </w:rP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rPr>
          <w:vertAlign w:val="superscript"/>
        </w:rPr>
        <w:t xml:space="preserve">10–12</w:t>
      </w:r>
      <w:r>
        <w:t xml:space="preserve">, and evaluations of</w:t>
      </w:r>
      <w:r>
        <w:t xml:space="preserve"> </w:t>
      </w:r>
      <w:r>
        <w:t xml:space="preserve">“virtual cell”</w:t>
      </w:r>
      <w:r>
        <w:t xml:space="preserve"> </w:t>
      </w:r>
      <w:r>
        <w:t xml:space="preserve">models for perturbation prediction keep finding that deep-learning approaches fail to beat simple baselines, largely for want of mechanism and causal structure</w:t>
      </w:r>
      <w:r>
        <w:rPr>
          <w:vertAlign w:val="superscript"/>
        </w:rPr>
        <w:t xml:space="preserve">13–16</w:t>
      </w:r>
      <w:r>
        <w:t xml:space="preserve">.</w:t>
      </w:r>
    </w:p>
    <w:p>
      <w:pPr>
        <w:pStyle w:val="BodyText"/>
      </w:pPr>
      <w:r>
        <w:t xml:space="preserve">These developments create a demand that existing simulators do not meet. The simulators used to benchmark single-cell methods, among them Splatter, SymSim, scDesign3, SERGIO, dyngen, scMultiSim and GRouNdGAN</w:t>
      </w:r>
      <w:r>
        <w:rPr>
          <w:vertAlign w:val="superscript"/>
        </w:rPr>
        <w:t xml:space="preserve">17–23</w:t>
      </w:r>
      <w:r>
        <w:t xml:space="preserve">, model regulation and technical noise but not cell growth, volume-dependent transcription, gene replication or the partitioning of molecules at division; the last of these do place cells on a differentiation trajectory, and lineage simulators such as TedSim and Cassiopeia</w:t>
      </w:r>
      <w:r>
        <w:rPr>
          <w:vertAlign w:val="superscript"/>
        </w:rP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rPr>
          <w:vertAlign w:val="superscript"/>
        </w:rPr>
        <w:t xml:space="preserve">26</w:t>
      </w:r>
      <w:r>
        <w:t xml:space="preserve">. Stochastic simulators of growing and dividing cells do exist, and the most complete of them couples reaction kinetics to growth, division and inference from lineage data</w:t>
      </w:r>
      <w:r>
        <w:rPr>
          <w:vertAlign w:val="superscript"/>
        </w:rP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rPr>
          <w:vertAlign w:val="superscript"/>
        </w:rP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rPr>
          <w:vertAlign w:val="superscript"/>
        </w:rP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Start w:id="17" w:name="results"/>
    <w:p>
      <w:pPr>
        <w:pStyle w:val="Heading1"/>
      </w:pPr>
      <w:r>
        <w:t xml:space="preserve">Results</w:t>
      </w:r>
    </w:p>
    <w:bookmarkStart w:id="9"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or a logistic hazard.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rPr>
          <w:vertAlign w:val="superscript"/>
        </w:rPr>
        <w:t xml:space="preserve">20</w:t>
      </w:r>
      <w:r>
        <w:t xml:space="preserve">, dyngen</w:t>
      </w:r>
      <w:r>
        <w:rPr>
          <w:vertAlign w:val="superscript"/>
        </w:rPr>
        <w:t xml:space="preserve">21</w:t>
      </w:r>
      <w:r>
        <w:t xml:space="preserve">, scMultiSim</w:t>
      </w:r>
      <w:r>
        <w:rPr>
          <w:vertAlign w:val="superscript"/>
        </w:rPr>
        <w:t xml:space="preserve">22</w:t>
      </w:r>
      <w:r>
        <w:t xml:space="preserve">, GRouNdGAN</w:t>
      </w:r>
      <w:r>
        <w:rPr>
          <w:vertAlign w:val="superscript"/>
        </w:rPr>
        <w:t xml:space="preserve">23</w:t>
      </w:r>
      <w:r>
        <w:t xml:space="preserve">, TedSim</w:t>
      </w:r>
      <w:r>
        <w:rPr>
          <w:vertAlign w:val="superscript"/>
        </w:rPr>
        <w:t xml:space="preserve">24</w:t>
      </w:r>
      <w:r>
        <w:t xml:space="preserve">, Cassiopeia</w:t>
      </w:r>
      <w:r>
        <w:rPr>
          <w:vertAlign w:val="superscript"/>
        </w:rPr>
        <w:t xml:space="preserve">25</w:t>
      </w:r>
      <w:r>
        <w:t xml:space="preserve">, ABM.jl (AgentBasedModeling.jl)</w:t>
      </w:r>
      <w:r>
        <w:rPr>
          <w:vertAlign w:val="superscript"/>
        </w:rPr>
        <w:t xml:space="preserve">28</w:t>
      </w:r>
      <w:r>
        <w:t xml:space="preserve">, Biomodelling.jl v1.x</w:t>
      </w:r>
      <w:r>
        <w:rPr>
          <w:vertAlign w:val="superscript"/>
        </w:rP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rPr>
          <w:vertAlign w:val="superscript"/>
        </w:rPr>
        <w:t xml:space="preserve">29</w:t>
      </w:r>
      <w:r>
        <w:t xml:space="preserve">, which the partial marks in an earlier version of this table understated;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ayout w:type="fixed"/>
        <w:tblLook w:firstRow="1" w:lastRow="0" w:firstColumn="0" w:lastColumn="0" w:noHBand="0" w:noVBand="0" w:val="0020"/>
      </w:tblPr>
      <w:tblGrid>
        <w:gridCol w:w="2527"/>
        <w:gridCol w:w="589"/>
        <w:gridCol w:w="589"/>
        <w:gridCol w:w="758"/>
        <w:gridCol w:w="674"/>
        <w:gridCol w:w="589"/>
        <w:gridCol w:w="758"/>
        <w:gridCol w:w="589"/>
        <w:gridCol w:w="421"/>
        <w:gridCol w:w="421"/>
      </w:tblGrid>
      <w:tr>
        <w:trPr>
          <w:tblHeader w:val="on"/>
        </w:trPr>
        <w:tc>
          <w:tcPr/>
          <w:p>
            <w:pPr>
              <w:pStyle w:val="Compact"/>
              <w:jc w:val="left"/>
            </w:pPr>
            <w:r>
              <w:t xml:space="preserve">Capability</w:t>
            </w:r>
          </w:p>
        </w:tc>
        <w:tc>
          <w:tcPr/>
          <w:p>
            <w:pPr>
              <w:pStyle w:val="Compact"/>
            </w:pPr>
            <w:r>
              <w:t xml:space="preserve">SERGIO</w:t>
            </w:r>
          </w:p>
        </w:tc>
        <w:tc>
          <w:tcPr/>
          <w:p>
            <w:pPr>
              <w:pStyle w:val="Compac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pPr>
            <w:r>
              <w:t xml:space="preserve">TedSim</w:t>
            </w:r>
          </w:p>
        </w:tc>
        <w:tc>
          <w:tcPr/>
          <w:p>
            <w:pPr>
              <w:pStyle w:val="Compact"/>
              <w:jc w:val="left"/>
            </w:pPr>
            <w:r>
              <w:t xml:space="preserve">Cassio-</w:t>
            </w:r>
            <w:r>
              <w:t xml:space="preserve"> </w:t>
            </w:r>
            <w:r>
              <w:t xml:space="preserve">peia</w:t>
            </w:r>
          </w:p>
        </w:tc>
        <w:tc>
          <w:tcPr/>
          <w:p>
            <w:pPr>
              <w:pStyle w:val="Compact"/>
            </w:pPr>
            <w:r>
              <w:t xml:space="preserve">ABM.jl</w:t>
            </w:r>
          </w:p>
        </w:tc>
        <w:tc>
          <w:tcPr/>
          <w:p>
            <w:pPr>
              <w:pStyle w:val="Compact"/>
            </w:pPr>
            <w:r>
              <w:t xml:space="preserve">v1.x</w:t>
            </w:r>
          </w:p>
        </w:tc>
        <w:tc>
          <w:tcPr/>
          <w:p>
            <w:pPr>
              <w:pStyle w:val="Compac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Cell growth, volume-scaled</w:t>
            </w:r>
            <w:r>
              <w:t xml:space="preserve"> </w:t>
            </w:r>
            <w:r>
              <w:t xml:space="preserve">transcription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 replication / cell-</w:t>
            </w:r>
            <w:r>
              <w:t xml:space="preserve"> </w:t>
            </w:r>
            <w:r>
              <w:t xml:space="preserve">cycle copy number</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Division with molecular</w:t>
            </w:r>
            <w:r>
              <w:t xml:space="preserve"> </w:t>
            </w:r>
            <w:r>
              <w:t xml:space="preserve">partitioning</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Heritable promoter states,</w:t>
            </w:r>
            <w:r>
              <w:t xml:space="preserve"> </w:t>
            </w:r>
            <w:r>
              <w:t xml:space="preserve">expression memory</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Lineage tree with per-cell</w:t>
            </w:r>
            <w:r>
              <w:t xml:space="preserve"> </w:t>
            </w:r>
            <w:r>
              <w:t xml:space="preserve">fates</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scRNA-seq observation model</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smFISH / time-lapse</w:t>
            </w:r>
            <w:r>
              <w:t xml:space="preserve"> </w:t>
            </w:r>
            <w:r>
              <w:t xml:space="preserve">observation</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Parameter inference from</w:t>
            </w:r>
            <w:r>
              <w:t xml:space="preserve"> </w:t>
            </w:r>
            <w:r>
              <w:t xml:space="preserve">data</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jc w:val="left"/>
            </w:pPr>
            <w:r>
              <w:t xml:space="preserve">AnnData output</w:t>
            </w:r>
          </w:p>
        </w:tc>
        <w:tc>
          <w:tcPr/>
          <w:p>
            <w:pPr>
              <w:pStyle w:val="Compact"/>
            </w:pPr>
            <w:r>
              <w:t xml:space="preserve">–</w:t>
            </w:r>
          </w:p>
        </w:tc>
        <w:tc>
          <w:tcPr/>
          <w:p>
            <w:pPr>
              <w:pStyle w:val="Compact"/>
            </w:pPr>
            <w:r>
              <w:t xml:space="preserve">✓</w:t>
            </w:r>
          </w:p>
        </w:tc>
        <w:tc>
          <w:tcPr/>
          <w:p>
            <w:pPr>
              <w:pStyle w:val="Compact"/>
              <w:jc w:val="left"/>
            </w:pPr>
            <w:r>
              <w:t xml:space="preserve">–</w:t>
            </w:r>
          </w:p>
        </w:tc>
        <w:tc>
          <w:tcPr/>
          <w:p>
            <w:pPr>
              <w:pStyle w:val="Compact"/>
              <w:jc w:val="left"/>
            </w:pPr>
            <w:r>
              <w:t xml:space="preserve">✓</w:t>
            </w:r>
          </w:p>
        </w:tc>
        <w:tc>
          <w:tcPr/>
          <w:p>
            <w:pPr>
              <w:pStyle w:val="Compact"/>
            </w:pPr>
            <w:r>
              <w:t xml:space="preserve">○</w:t>
            </w:r>
          </w:p>
        </w:tc>
        <w:tc>
          <w:tcPr/>
          <w:p>
            <w:pPr>
              <w:pStyle w:val="Compact"/>
              <w:jc w:val="lef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9"/>
    <w:bookmarkStart w:id="10"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rPr>
          <w:vertAlign w:val="superscript"/>
        </w:rP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rPr>
          <w:vertAlign w:val="superscript"/>
        </w:rP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Over the four models those means sit within 2.5 standard errors of the exact values (18 of the 20 individual samples also fall below the independent critical value, the largest distance being 0.0170).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10"/>
    <w:bookmarkStart w:id="11"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rPr>
          <w:vertAlign w:val="superscript"/>
        </w:rP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As reported for real lineages</w:t>
      </w:r>
      <w:r>
        <w:rPr>
          <w:vertAlign w:val="superscript"/>
        </w:rPr>
        <w:t xml:space="preserve">11</w:t>
      </w:r>
      <w:r>
        <w:t xml:space="preserve">,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1.5 and 2 transcripts per unit volume per allele, against 0.59, 1.89 and 2.4 fitted to the one-copy cells and 0.65, 3.27 and 4.8 pooled). What the panel demonstrates is that a cell-cycle-blind fit is biased, not how large the copy-number effect is.</w:t>
      </w:r>
    </w:p>
    <w:bookmarkEnd w:id="11"/>
    <w:bookmarkStart w:id="12"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0.0% and the mean time to death of killed cells moves only from 8.5 to 6.2 time units (Fig. 4c; the single-cell timing distributions are in Supplementary Fig. 1). This reproduces the observation that population decay depends strongly on dose even though single-cell division and death times barely do</w:t>
      </w:r>
      <w:r>
        <w:rPr>
          <w:vertAlign w:val="superscript"/>
        </w:rPr>
        <w:t xml:space="preserve">6</w:t>
      </w:r>
      <w:r>
        <w:t xml:space="preserve">, because fate is biased by states that exist before the drug arrives. Unlike the growth-arrested persisters of the canonical definition</w:t>
      </w:r>
      <w:r>
        <w:rPr>
          <w:vertAlign w:val="superscript"/>
        </w:rP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conditional and marginal probabilities coincide (0.03 versus 0.02; Fig. 4d). When tolerance pre-exists, survivors descend from a minority of founder clones and the effective number of clones drops from 491 to 89; when tolerance is drug-induced, so that the drug raises the promoter activation rate of every cell, barcode diversity is largely preserved (165 of 492; Fig. 4e). This is the signature that distinguishes the two origins in barcoding experiments</w:t>
      </w:r>
      <w:r>
        <w:rPr>
          <w:vertAlign w:val="superscript"/>
        </w:rPr>
        <w:t xml:space="preserve">2,6</w:t>
      </w:r>
      <w:r>
        <w:t xml:space="preserve">; the follow-up method that traces resistant fates back to their drug-naive precursors puts those precursors at an initial frequency of about 1 in 1,000 to 1 in 10,000 cells</w:t>
      </w:r>
      <w:r>
        <w:rPr>
          <w:vertAlign w:val="superscript"/>
        </w:rPr>
        <w:t xml:space="preserve">38</w:t>
      </w:r>
      <w:r>
        <w:t xml:space="preserve">, the regime the pre-resistant fraction of the melanoma case study below is set to.</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and moves the resistant fraction towards its stationary value (0.09 to 0.11), so more clones carry a protected cell when the drug arrives, even though protection itself is untouched.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
          <w:iCs/>
        </w:rPr>
        <w:t xml:space="preserve">before</w:t>
      </w:r>
      <w:r>
        <w:t xml:space="preserve"> </w:t>
      </w:r>
      <w:r>
        <w:t xml:space="preserve">adding a BRAF inhibitor produced more therapy resistance than giving the two together</w:t>
      </w:r>
      <w:r>
        <w:rPr>
          <w:vertAlign w:val="superscript"/>
        </w:rP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rPr>
          <w:vertAlign w:val="superscript"/>
        </w:rP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rPr>
          <w:vertAlign w:val="superscript"/>
        </w:rP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rPr>
          <w:vertAlign w:val="superscript"/>
        </w:rP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The gap between the best schedule and the next best is 0.0003 to 0.0006 per time unit, against a standard error of 0.0001 to 0.0008 on the difference, so the ranking of the top two schedules is resolved in 1 of the 3 mechanisms; elsewhere the scan identifies a region of good schedules rather than a single best one.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 0.5, and release periods of up to 10 time units match continuous dosing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rPr>
          <w:vertAlign w:val="superscript"/>
        </w:rP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9.9 against 6.2 to 8.5 time units),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The schedule conclusions are the fragile ones, because the best dose is unchanged in 3 of 3 models, but the best release period is not. With a fitness cost of resistance and with drug-induced tolerance, the holidays that won without the gate collapse to continuous dosing, because a gated hazard kills the reverting cells more slowly on re-exposure (Supplementary Note 13 and Supplementary Fig. 5).</w:t>
      </w:r>
    </w:p>
    <w:bookmarkEnd w:id="12"/>
    <w:bookmarkStart w:id="13"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rPr>
          <w:vertAlign w:val="superscript"/>
        </w:rP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rPr>
          <w:vertAlign w:val="superscript"/>
        </w:rPr>
        <w:t xml:space="preserve">13,14</w:t>
      </w:r>
      <w:r>
        <w:t xml:space="preserve">.</w:t>
      </w:r>
    </w:p>
    <w:bookmarkEnd w:id="13"/>
    <w:bookmarkStart w:id="14"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rPr>
          <w:vertAlign w:val="superscript"/>
        </w:rPr>
        <w:t xml:space="preserve">43</w:t>
      </w:r>
      <w:r>
        <w:t xml:space="preserve"> </w:t>
      </w:r>
      <w:r>
        <w:t xml:space="preserve">concentrates on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14"/>
    <w:bookmarkStart w:id="15"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rPr>
          <w:vertAlign w:val="superscript"/>
        </w:rPr>
        <w:t xml:space="preserve">6</w:t>
      </w:r>
      <w:r>
        <w:t xml:space="preserve"> </w:t>
      </w:r>
      <w:r>
        <w:t xml:space="preserve">(Supplementary Table 4).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two to three generations that the same study inferred from lineage correlations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here and at the held-out concentration, is the residual of the seed-averaged fate fractions pooled over every fraction of the concentrations named, four seeds per condition. The colour scale of Fig. 7f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Death fates are correlated between sisters (0.09), first cousins (0.06) and second cousins (0.05), and the correlation decays to 0.02 for third cousins (95% confidence interval +0.000 to +0.043 over 3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rPr>
          <w:vertAlign w:val="superscript"/>
        </w:rPr>
        <w:t xml:space="preserve">6</w:t>
      </w:r>
      <w:r>
        <w:t xml:space="preserve">; the comparison is qualitative on both sides, because the source reports these correlations graphically and gives no numeric coefficients or confidence intervals to match. One caveat belongs beside this agreement.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rPr>
          <w:vertAlign w:val="superscript"/>
        </w:rPr>
        <w:t xml:space="preserve">44–46</w:t>
      </w:r>
      <w:r>
        <w:t xml:space="preserve">. Coupled to a cycle-gated hazard, that is a complete alternative explanation for the correlations fitted here, and the model as built cannot produce it. The mean time to death changes by 8% between 7 and 13 µM while the death fraction rises from 0.13 to 0.59 (Fig. 7d), the dose-invariance of single-cell timing that motivated the original study, and it arises here because dose changes the fraction of unprotected cells rather than their kinetics. The plateau the kill curves miss is the clearest failure of the minimal model: reproducing it requires cells to stay in the resistant state for longer than the memory of 2.8 generations allows, and that memory was set by the prior taken from the lineage correlations rather than by the kill curves. The two observations therefore pull in opposite directions within this minimal model: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rPr>
          <w:vertAlign w:val="superscript"/>
        </w:rP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15"/>
    <w:bookmarkStart w:id="16"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rPr>
          <w:vertAlign w:val="superscript"/>
        </w:rP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rPr>
          <w:vertAlign w:val="superscript"/>
        </w:rPr>
        <w:t xml:space="preserve">47</w:t>
      </w:r>
      <w:r>
        <w:t xml:space="preserve">, and adaptive therapy, in which the drug is withdrawn when the population has halved and resumed when it regrows to its initial size</w:t>
      </w:r>
      <w:r>
        <w:rPr>
          <w:vertAlign w:val="superscript"/>
        </w:rP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two properties of the resistant cells (Fig. 8a–d). When the resistant state is fully protective and carries no fitness cost, as lineage data indicate for pre-existing tolerance</w:t>
      </w:r>
      <w:r>
        <w:rPr>
          <w:vertAlign w:val="superscript"/>
        </w:rP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rPr>
          <w:vertAlign w:val="superscript"/>
        </w:rPr>
        <w:t xml:space="preserve">49</w:t>
      </w:r>
      <w:r>
        <w:t xml:space="preserve">, holidays let sensitive cells outcompete them: none of the three schedules loses control within the 52-week follow-up (52+, 52+ and 52+ weeks, censored), and adaptive therapy achieves this with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and narrows the advantage of holidays from 9 weeks at 2 net doublings of memory to 1.7 weeks at 12 (Supplementary Note 15). That the benefit of holidays should depend on a cost of resistance is established by compartment models of adaptive therapy, which also show that tumour turnover modulates how large that cost must be</w:t>
      </w:r>
      <w:r>
        <w:rPr>
          <w:vertAlign w:val="superscript"/>
        </w:rP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is a period of 2.2 weeks with 39% of the time on drug (27 weeks to loss of control) without a fitness cost, a period of 1.0 weeks with 47% of the time on drug (52 weeks to loss of control) with a fitness cost and a period of 1.0 weeks with 100% of the time on drug (52 weeks to loss of control) with partial protection. A bacterial-persistence model adapted to colorectal-cancer lines reaches the same conclusion by another route: an intermediate dose with release periods is optimal, because the rate of transition into the persistent state rises with concentration and then saturates</w:t>
      </w:r>
      <w:r>
        <w:rPr>
          <w:vertAlign w:val="superscript"/>
        </w:rP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and shows their difference to depend on measurable properties of the resistant cells, their growth under drug and their fitness without it, both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rPr>
          <w:vertAlign w:val="superscript"/>
        </w:rPr>
        <w:t xml:space="preserve">51</w:t>
      </w:r>
      <w:r>
        <w:t xml:space="preserve">. We simulated both regimens with one-compartment pharmacokinetics (elimination half-life 2.1 h in the cerebrospinal-fluid population model used here</w:t>
      </w:r>
      <w:r>
        <w:rPr>
          <w:vertAlign w:val="superscript"/>
        </w:rPr>
        <w:t xml:space="preserve">52</w:t>
      </w:r>
      <w:r>
        <w:t xml:space="preserve">; the plasma value is 1.8 h</w:t>
      </w:r>
      <w:r>
        <w:rPr>
          <w:vertAlign w:val="superscript"/>
        </w:rP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rPr>
          <w:vertAlign w:val="superscript"/>
        </w:rP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“one molecule per lesion”</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predicts a clear dose-dense advantage in both populations, which RTOG 0525 did not find. Read as a bound rather than as a fit, that disagreement is informative: either temozolomide consumes MGMT in tumours far more slowly than this stoichiometry allows, or the benefit of depleting it is offset by something the model leaves out.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What they add is a sharper version of the rationale for dose-dense dosing: the benefit it is supposed to deliver exists in the model only at consumption rates that the trial’s null result appears to exclude.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rPr>
          <w:vertAlign w:val="superscript"/>
        </w:rPr>
        <w:t xml:space="preserve">54</w:t>
      </w:r>
      <w:r>
        <w:t xml:space="preserve">, a compressed 1,000 mg/m² schedule takes it to 18% of initial levels while O⁶-methylguanine accumulates in both blood cells and tumour biopsies</w:t>
      </w:r>
      <w:r>
        <w:rPr>
          <w:vertAlign w:val="superscript"/>
        </w:rPr>
        <w:t xml:space="preserve">55</w:t>
      </w:r>
      <w:r>
        <w:t xml:space="preserve">, and in orthotopic GBM43 xenografts tumour MGMT activity is depleted by day 6 on both the standard and the 21-day schedule and stays suppressed only on the 21-day one</w:t>
      </w:r>
      <w:r>
        <w:rPr>
          <w:vertAlign w:val="superscript"/>
        </w:rP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16"/>
    <w:bookmarkEnd w:id="17"/>
    <w:bookmarkStart w:id="18"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rPr>
          <w:vertAlign w:val="superscript"/>
        </w:rPr>
        <w:t xml:space="preserve">27,28,33</w:t>
      </w:r>
      <w:r>
        <w:t xml:space="preserve">, lineage-tracing data have their own simulators</w:t>
      </w:r>
      <w:r>
        <w:rPr>
          <w:vertAlign w:val="superscript"/>
        </w:rPr>
        <w:t xml:space="preserve">24,25</w:t>
      </w:r>
      <w:r>
        <w:t xml:space="preserve">, compartment models of adaptive therapy established that the benefit of treatment holidays depends on a cost of resistance and on turnover</w:t>
      </w:r>
      <w:r>
        <w:rPr>
          <w:vertAlign w:val="superscript"/>
        </w:rPr>
        <w:t xml:space="preserve">48,50</w:t>
      </w:r>
      <w:r>
        <w:t xml:space="preserve">, and phenotypic-switching theory established that perturbing the retention of a resistant state can decide a treatment outcome</w:t>
      </w:r>
      <w:r>
        <w:rPr>
          <w:vertAlign w:val="superscript"/>
        </w:rPr>
        <w:t xml:space="preserve">40</w:t>
      </w:r>
      <w:r>
        <w:t xml:space="preserve">. What is new is that this is the first package to combine these mechanisms with joint inference and schedule optimisation in a single forward model. Version 1 of this framework already simulated stochastic gene networks in growing and dividing cells and generated synthetic scRNA-seq for imputation and network-inference benchmarking</w:t>
      </w:r>
      <w:r>
        <w:rPr>
          <w:vertAlign w:val="superscript"/>
        </w:rP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rPr>
          <w:vertAlign w:val="superscript"/>
        </w:rP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and their residual growth under drug as the two properties that decide whether holidays help, and points to the rate at which temozolomide consumes MGMT as the measurement that would separate the two glioblastoma regimens. That difference has practical consequences. As a hypothesis engine for non-genetic drug tolerance, the framework answers which schedule, which combination or which memory-modulating pretreatment minimises the long-term fitness of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two properties of the resistant cells, their growth under drug and their fitness without it, and a trial result and a xenograft result that appeared to contradict each other are both reproduced once those properties are set.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did not carry through to survival after progression, which favoured the intermittent arm</w:t>
      </w:r>
      <w:r>
        <w:rPr>
          <w:vertAlign w:val="superscript"/>
        </w:rPr>
        <w:t xml:space="preserve">47</w:t>
      </w:r>
      <w:r>
        <w:t xml:space="preserve">; and in the xenografts the resistant tumours were drug-addicted, regressing on withdrawal rather than merely growing more slowly</w:t>
      </w:r>
      <w:r>
        <w:rPr>
          <w:vertAlign w:val="superscript"/>
        </w:rP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rPr>
          <w:vertAlign w:val="superscript"/>
        </w:rP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“one molecule per lesion”</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rPr>
          <w:vertAlign w:val="superscript"/>
        </w:rPr>
        <w:t xml:space="preserve">54–56</w:t>
      </w:r>
      <w:r>
        <w:t xml:space="preserve"> </w:t>
      </w:r>
      <w:r>
        <w:t xml:space="preserve">and bound it loosely, and that is why we name the per-lesion constant as the quantity that separates the regimens.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rPr>
          <w:vertAlign w:val="superscript"/>
        </w:rP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18"/>
    <w:bookmarkStart w:id="36" w:name="methods"/>
    <w:p>
      <w:pPr>
        <w:pStyle w:val="Heading1"/>
      </w:pPr>
      <w:r>
        <w:t xml:space="preserve">Methods</w:t>
      </w:r>
    </w:p>
    <w:bookmarkStart w:id="19"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sepChr m:val=""/>
                  <m:end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r>
          <m:rPr>
            <m:sty m:val="p"/>
          </m:rPr>
          <m:t>(</m:t>
        </m:r>
        <m:r>
          <m:t>1</m:t>
        </m:r>
        <m:r>
          <m:rPr>
            <m:sty m:val="p"/>
          </m:rPr>
          <m:t>−</m:t>
        </m:r>
        <m:r>
          <m:t>b</m:t>
        </m:r>
        <m:r>
          <m:rPr>
            <m:sty m:val="p"/>
          </m:rPr>
          <m:t>)</m:t>
        </m:r>
        <m:r>
          <m:t>F</m:t>
        </m:r>
        <m:r>
          <m:rPr>
            <m:sty m:val="p"/>
          </m:rPr>
          <m:t>(</m:t>
        </m:r>
        <m:r>
          <m:rPr>
            <m:sty m:val="bi"/>
          </m:rPr>
          <m:t>c</m:t>
        </m:r>
        <m:r>
          <m:rPr>
            <m:sty m:val="p"/>
          </m:rPr>
          <m:t>)</m:t>
        </m:r>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r>
          <m:rPr>
            <m:sty m:val="p"/>
          </m:rPr>
          <m:t>(</m:t>
        </m:r>
        <m:sSubSup>
          <m:e>
            <m:r>
              <m:t>K</m:t>
            </m:r>
          </m:e>
          <m:sub>
            <m:r>
              <m:t>j</m:t>
            </m:r>
          </m:sub>
          <m:sup>
            <m:sSub>
              <m:e>
                <m:r>
                  <m:t>n</m:t>
                </m:r>
              </m:e>
              <m:sub>
                <m:r>
                  <m:t>j</m:t>
                </m:r>
              </m:sub>
            </m:sSub>
          </m:sup>
        </m:sSubSup>
        <m:r>
          <m:rPr>
            <m:sty m:val="p"/>
          </m:rPr>
          <m:t>+</m:t>
        </m:r>
        <m:sSubSup>
          <m:e>
            <m:r>
              <m:t>c</m:t>
            </m:r>
          </m:e>
          <m:sub>
            <m:r>
              <m:t>j</m:t>
            </m:r>
          </m:sub>
          <m:sup>
            <m:sSub>
              <m:e>
                <m:r>
                  <m:t>n</m:t>
                </m:r>
              </m:e>
              <m:sub>
                <m:r>
                  <m:t>j</m:t>
                </m:r>
              </m:sub>
            </m:sSub>
          </m:sup>
        </m:sSubSup>
        <m:r>
          <m:rPr>
            <m:sty m:val="p"/>
          </m:rPr>
          <m:t>)</m:t>
        </m:r>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r>
              <m:rPr>
                <m:sty m:val="p"/>
              </m:rPr>
              <m:t>(</m:t>
            </m:r>
          </m:e>
        </m:nary>
        <m:r>
          <m:t>1</m:t>
        </m:r>
        <m:r>
          <m:rPr>
            <m:sty m:val="p"/>
          </m:rPr>
          <m:t>−</m:t>
        </m:r>
        <m:sSub>
          <m:e>
            <m:r>
              <m:t>h</m:t>
            </m:r>
          </m:e>
          <m:sub>
            <m:r>
              <m:t>j</m:t>
            </m:r>
          </m:sub>
        </m:sSub>
        <m:r>
          <m:rPr>
            <m:sty m:val="p"/>
          </m:rPr>
          <m:t>)</m:t>
        </m:r>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19"/>
    <w:bookmarkStart w:id="20"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rPr>
          <w:vertAlign w:val="superscript"/>
        </w:rPr>
        <w:t xml:space="preserve">57</w:t>
      </w:r>
      <w:r>
        <w:t xml:space="preserve"> </w:t>
      </w:r>
      <w:r>
        <w:t xml:space="preserve">with propensities updated through a species-reaction dependency graph; fixed-step Poisson tau-leaping</w:t>
      </w:r>
      <w:r>
        <w:rPr>
          <w:vertAlign w:val="superscript"/>
        </w:rPr>
        <w:t xml:space="preserve">58</w:t>
      </w:r>
      <w:r>
        <w:t xml:space="preserve">; a hybrid scheme in which a leap that would drive any species negative is discarded and that interval is simulated exactly instead (the</w:t>
      </w:r>
      <w:r>
        <w:t xml:space="preserve"> </w:t>
      </w:r>
      <w:r>
        <w:t xml:space="preserve">“switching”</w:t>
      </w:r>
      <w:r>
        <w:t xml:space="preserve"> </w:t>
      </w:r>
      <w:r>
        <w:t xml:space="preserve">scheme of version 1, with the discarded interval resolved exactly rather than clipped); and adaptive tau-leaping with the step-size selection of</w:t>
      </w:r>
      <w:r>
        <w:rPr>
          <w:vertAlign w:val="superscript"/>
        </w:rPr>
        <w:t xml:space="preserve">59</w:t>
      </w:r>
      <w:r>
        <w:t xml:space="preserve"> </w:t>
      </w:r>
      <w:r>
        <w:t xml:space="preserve">and the critical-reaction partition of</w:t>
      </w:r>
      <w:r>
        <w:rPr>
          <w:vertAlign w:val="superscript"/>
        </w:rP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20"/>
    <w:bookmarkStart w:id="21"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rPr>
            <m:sty m:val="p"/>
          </m:rP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cr m:val="script"/>
            <m:sty m:val="p"/>
          </m:rPr>
          <m:t>N</m:t>
        </m:r>
        <m:r>
          <m:rPr>
            <m:sty m:val="p"/>
          </m:rPr>
          <m:t>(</m:t>
        </m:r>
        <m:r>
          <m:t>0.5</m:t>
        </m:r>
        <m:r>
          <m:rPr>
            <m:sty m:val="p"/>
          </m:rPr>
          <m:t>,</m:t>
        </m:r>
        <m:sSup>
          <m:e>
            <m:r>
              <m:t>σ</m:t>
            </m:r>
          </m:e>
          <m:sup>
            <m:r>
              <m:t>2</m:t>
            </m:r>
          </m:sup>
        </m:sSup>
        <m:r>
          <m:rPr>
            <m:sty m:val="p"/>
          </m:rPr>
          <m:t>)</m:t>
        </m:r>
      </m:oMath>
      <w:r>
        <w:t xml:space="preserve"> </w:t>
      </w:r>
      <w:r>
        <w:t xml:space="preserve">(clipped to</w:t>
      </w:r>
      <w:r>
        <w:t xml:space="preserve"> </w:t>
      </w:r>
      <m:oMath>
        <m:r>
          <m:rPr>
            <m:sty m:val="p"/>
          </m:rPr>
          <m:t>[</m:t>
        </m:r>
        <m:r>
          <m:t>0.05</m:t>
        </m:r>
        <m:r>
          <m:rPr>
            <m:sty m:val="p"/>
          </m:rPr>
          <m:t>,</m:t>
        </m:r>
        <m:r>
          <m:t>0.95</m:t>
        </m:r>
        <m:r>
          <m:rPr>
            <m:sty m:val="p"/>
          </m:rPr>
          <m:t>]</m:t>
        </m:r>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or logistic (free growth with an additional hazard</w:t>
      </w:r>
      <w:r>
        <w:t xml:space="preserve"> </w:t>
      </w:r>
      <m:oMath>
        <m:r>
          <m:t>λ</m:t>
        </m:r>
        <m:r>
          <m:t>N</m:t>
        </m:r>
        <m:r>
          <m:rPr>
            <m:sty m:val="p"/>
          </m:rPr>
          <m:t>/</m:t>
        </m:r>
        <m:r>
          <m:t>K</m:t>
        </m:r>
      </m:oMath>
      <w:r>
        <w:t xml:space="preserve">).</w:t>
      </w:r>
    </w:p>
    <w:bookmarkEnd w:id="21"/>
    <w:bookmarkStart w:id="22" w:name="drug-and-perturbation-layer"/>
    <w:p>
      <w:pPr>
        <w:pStyle w:val="Heading2"/>
      </w:pPr>
      <w:r>
        <w:t xml:space="preserve">Drug and perturbation layer</w:t>
      </w:r>
    </w:p>
    <w:p>
      <w:pPr>
        <w:pStyle w:val="FirstParagraph"/>
      </w:pPr>
      <w:r>
        <w:t xml:space="preserve">A perturbation combines a dose schedule</w:t>
      </w:r>
      <w:r>
        <w:t xml:space="preserve"> </w:t>
      </w:r>
      <m:oMath>
        <m:r>
          <m:t>d</m:t>
        </m:r>
        <m:r>
          <m:rPr>
            <m:sty m:val="p"/>
          </m:rPr>
          <m:t>(</m:t>
        </m:r>
        <m:r>
          <m:t>t</m:t>
        </m:r>
        <m:r>
          <m:rPr>
            <m:sty m:val="p"/>
          </m:rPr>
          <m:t>)</m:t>
        </m:r>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rPr>
                <m:sty m:val="p"/>
              </m:rPr>
              <m:t>Δ</m:t>
            </m:r>
            <m:r>
              <m:t>t</m:t>
            </m:r>
          </m:sup>
        </m:sSup>
      </m:oMath>
      <w:r>
        <w:t xml:space="preserve">); growth inhibition by</w:t>
      </w:r>
      <w:r>
        <w:t xml:space="preserve"> </w:t>
      </w:r>
      <m:oMath>
        <m:r>
          <m:t>1</m:t>
        </m:r>
        <m:r>
          <m:rPr>
            <m:sty m:val="p"/>
          </m:rPr>
          <m:t>/</m:t>
        </m:r>
        <m:r>
          <m:rPr>
            <m:sty m:val="p"/>
          </m:rPr>
          <m:t>(</m:t>
        </m:r>
        <m:r>
          <m:t>1</m:t>
        </m:r>
        <m:r>
          <m:rPr>
            <m:sty m:val="p"/>
          </m:rPr>
          <m:t>+</m:t>
        </m:r>
        <m:r>
          <m:rPr>
            <m:sty m:val="p"/>
          </m:rPr>
          <m:t>(</m:t>
        </m:r>
        <m:r>
          <m:t>d</m:t>
        </m:r>
        <m:r>
          <m:rPr>
            <m:sty m:val="p"/>
          </m:rPr>
          <m:t>/</m:t>
        </m:r>
        <m:sSub>
          <m:e>
            <m:r>
              <m:rPr>
                <m:sty m:val="p"/>
              </m:rPr>
              <m:t>I</m:t>
            </m:r>
            <m:r>
              <m:rPr>
                <m:sty m:val="p"/>
              </m:rPr>
              <m:t>C</m:t>
            </m:r>
          </m:e>
          <m:sub>
            <m:r>
              <m:t>50</m:t>
            </m:r>
          </m:sub>
        </m:sSub>
        <m:sSup>
          <m:e>
            <m:r>
              <m:rPr>
                <m:sty m:val="p"/>
              </m:rPr>
              <m:t>)</m:t>
            </m:r>
          </m:e>
          <m:sup>
            <m:r>
              <m:t>m</m:t>
            </m:r>
          </m:sup>
        </m:sSup>
        <m:r>
          <m:rPr>
            <m:sty m:val="p"/>
          </m:rPr>
          <m:t>)</m:t>
        </m:r>
      </m:oMath>
      <w:r>
        <w:t xml:space="preserv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r>
          <m:rPr>
            <m:sty m:val="p"/>
          </m:rPr>
          <m:t>(</m:t>
        </m:r>
        <m:sSup>
          <m:e>
            <m:r>
              <m:t>K</m:t>
            </m:r>
          </m:e>
          <m:sup>
            <m:r>
              <m:t>q</m:t>
            </m:r>
          </m:sup>
        </m:sSup>
        <m:r>
          <m:rPr>
            <m:sty m:val="p"/>
          </m:rPr>
          <m:t>+</m:t>
        </m:r>
        <m:sSubSup>
          <m:e>
            <m:r>
              <m:t>c</m:t>
            </m:r>
          </m:e>
          <m:sub>
            <m:r>
              <m:t>P</m:t>
            </m:r>
          </m:sub>
          <m:sup>
            <m:r>
              <m:t> </m:t>
            </m:r>
            <m:r>
              <m:t>q</m:t>
            </m:r>
          </m:sup>
        </m:sSubSup>
        <m:r>
          <m:rPr>
            <m:sty m:val="p"/>
          </m:rPr>
          <m:t>)</m:t>
        </m:r>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r>
            <m:rPr>
              <m:sty m:val="p"/>
            </m:rPr>
            <m:t>(</m:t>
          </m:r>
          <m:r>
            <m:t>1</m:t>
          </m:r>
          <m:r>
            <m:rPr>
              <m:sty m:val="p"/>
            </m:rPr>
            <m:t>−</m:t>
          </m:r>
          <m:r>
            <m:t>β</m:t>
          </m:r>
          <m:r>
            <m:rPr>
              <m:sty m:val="p"/>
            </m:rPr>
            <m:t>)</m:t>
          </m:r>
          <m:r>
            <m:rPr>
              <m:sty m:val="p"/>
            </m:rPr>
            <m:t>exp</m:t>
          </m:r>
          <m:r>
            <m:t>​</m:t>
          </m:r>
          <m:d>
            <m:dPr>
              <m:begChr m:val="["/>
              <m:sepChr m:val=""/>
              <m:endChr m:val="]"/>
              <m:grow/>
            </m:dPr>
            <m:e>
              <m:r>
                <m:rPr>
                  <m:sty m:val="p"/>
                </m:rPr>
                <m:t>−</m:t>
              </m:r>
              <m:f>
                <m:fPr>
                  <m:type m:val="lin"/>
                </m:fPr>
                <m:num>
                  <m:r>
                    <m:t>1</m:t>
                  </m:r>
                </m:num>
                <m:den>
                  <m:r>
                    <m:t>2</m:t>
                  </m:r>
                </m:den>
              </m:f>
              <m:sSup>
                <m:e>
                  <m:d>
                    <m:dPr>
                      <m:begChr m:val="("/>
                      <m:sepChr m:val=""/>
                      <m:end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cell’s progress through its division cycle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22"/>
    <w:bookmarkStart w:id="23"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rPr>
          <w:vertAlign w:val="superscript"/>
        </w:rPr>
        <w:t xml:space="preserve">61</w:t>
      </w:r>
      <w:r>
        <w:t xml:space="preserve">, the variance of clone-mean expression divided by its permutation-null expectation.</w:t>
      </w:r>
    </w:p>
    <w:bookmarkEnd w:id="23"/>
    <w:bookmarkStart w:id="24"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24"/>
    <w:bookmarkStart w:id="25" w:name="inference"/>
    <w:p>
      <w:pPr>
        <w:pStyle w:val="Heading2"/>
      </w:pPr>
      <w:r>
        <w:t xml:space="preserve">Inference</w:t>
      </w:r>
    </w:p>
    <w:p>
      <w:pPr>
        <w:pStyle w:val="FirstParagraph"/>
      </w:pPr>
      <w:r>
        <w:t xml:space="preserve">Snapshot counts of a gene in non-dividing cells follow the Beta-Poisson law of the telegraph model</w:t>
      </w:r>
      <w:r>
        <w:rPr>
          <w:vertAlign w:val="superscript"/>
        </w:rP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rPr>
          <w:vertAlign w:val="superscript"/>
        </w:rP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rPr>
          <w:vertAlign w:val="superscript"/>
        </w:rPr>
        <w:t xml:space="preserve">43</w:t>
      </w:r>
      <w:r>
        <w:t xml:space="preserve">.</w:t>
      </w:r>
    </w:p>
    <w:bookmarkEnd w:id="25"/>
    <w:bookmarkStart w:id="26"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rPr>
          <w:vertAlign w:val="superscript"/>
        </w:rP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two to three generations inferred from lineage correlations, was minimised with the bounded optimiser described below using common random numbers (the same seeds for every candidate). Validation used only quantities not fitted: the fate fractions at the held-out concentration (10 µM), the biphasic kill curve and its plateau, the extent of lineage correlations in fate (sisters, first, second and third cousins) and the invariance of single-cell division and death times across concentrations.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26"/>
    <w:bookmarkStart w:id="27"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rPr>
          <w:vertAlign w:val="superscript"/>
        </w:rP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1.2, times its running minimum, the analogue of RECIST progression from the nadir;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rPr>
          <w:vertAlign w:val="superscript"/>
        </w:rP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rPr>
          <w:vertAlign w:val="superscript"/>
        </w:rP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rPr>
          <w:vertAlign w:val="superscript"/>
        </w:rPr>
        <w:t xml:space="preserve">2</w:t>
      </w:r>
      <w:r>
        <w:t xml:space="preserve"> </w:t>
      </w:r>
      <w:r>
        <w:t xml:space="preserve">used as a proxy for the functional pre-resistant fraction, which is not the same quantity), with a memory of five net doublings (the model’s generation is the net doubling of the tumour, a modelling choice rather than the cell-division-counted memory of memory sequencing</w:t>
      </w:r>
      <w:r>
        <w:rPr>
          <w:vertAlign w:val="superscript"/>
        </w:rP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rPr>
          <w:vertAlign w:val="superscript"/>
        </w:rPr>
        <w:t xml:space="preserve">2</w:t>
      </w:r>
      <w:r>
        <w:t xml:space="preserve">). Three variants of the resistant state are compared: full protection without cost; a 50% fitness cost in the absence of drug</w:t>
      </w:r>
      <w:r>
        <w:rPr>
          <w:vertAlign w:val="superscript"/>
        </w:rP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temozolomide case uses a one-compartment elimination half-life of 2.1 h</w:t>
      </w:r>
      <w:r>
        <w:rPr>
          <w:vertAlign w:val="superscript"/>
        </w:rPr>
        <w:t xml:space="preserve">52</w:t>
      </w:r>
      <w:r>
        <w:t xml:space="preserve"> </w:t>
      </w:r>
      <w:r>
        <w:t xml:space="preserve">(a plasma value from a three-compartment study; the brain-tumour compartment sees roughly a fifth of the plasma exposure with slower kinetics, so this is a surrogate), the regimens of RTOG 0525</w:t>
      </w:r>
      <w:r>
        <w:rPr>
          <w:vertAlign w:val="superscript"/>
        </w:rP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the dose-scaled first-order degradation used in an earlier version of this model, which isolates the consequence of letting depletion follow the cumulative exposure instead of the peak concentration; this is the suicide-enzyme behaviour that motivated dose-dense schedules.</w:t>
      </w:r>
    </w:p>
    <w:bookmarkEnd w:id="27"/>
    <w:bookmarkStart w:id="2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28"/>
    <w:bookmarkStart w:id="2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rPr>
          <w:vertAlign w:val="superscript"/>
        </w:rPr>
        <w:t xml:space="preserve">65,66</w:t>
      </w:r>
      <w:r>
        <w:t xml:space="preserve">), by agreement between kernels, and by a two-sample comparison against JumpProcesses.jl</w:t>
      </w:r>
      <w:r>
        <w:rPr>
          <w:vertAlign w:val="superscript"/>
        </w:rP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rPr>
          <w:vertAlign w:val="superscript"/>
        </w:rP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rPr>
          <w:vertAlign w:val="superscript"/>
        </w:rPr>
        <w:t xml:space="preserve">27</w:t>
      </w:r>
      <w:r>
        <w:t xml:space="preserve">, partitioning noise</w:t>
      </w:r>
      <w:r>
        <w:rPr>
          <w:vertAlign w:val="superscript"/>
        </w:rPr>
        <w:t xml:space="preserve">68</w:t>
      </w:r>
      <w:r>
        <w:t xml:space="preserve">, lineage versus population statistics</w:t>
      </w:r>
      <w:r>
        <w:rPr>
          <w:vertAlign w:val="superscript"/>
        </w:rPr>
        <w:t xml:space="preserve">11</w:t>
      </w:r>
      <w:r>
        <w:t xml:space="preserve"> </w:t>
      </w:r>
      <w:r>
        <w:t xml:space="preserve">and cell-cycle-dependent burst parameters</w:t>
      </w:r>
      <w:r>
        <w:rPr>
          <w:vertAlign w:val="superscript"/>
        </w:rPr>
        <w:t xml:space="preserve">10</w:t>
      </w:r>
      <w:r>
        <w:t xml:space="preserve">. Persister simulations were compared with the quantitative signatures reported by</w:t>
      </w:r>
      <w:r>
        <w:rPr>
          <w:vertAlign w:val="superscript"/>
        </w:rPr>
        <w:t xml:space="preserve">6</w:t>
      </w:r>
      <w:r>
        <w:t xml:space="preserve">,</w:t>
      </w:r>
      <w:r>
        <w:rPr>
          <w:vertAlign w:val="superscript"/>
        </w:rPr>
        <w:t xml:space="preserve">42</w:t>
      </w:r>
      <w:r>
        <w:t xml:space="preserve"> </w:t>
      </w:r>
      <w:r>
        <w:t xml:space="preserve">and</w:t>
      </w:r>
      <w:r>
        <w:rPr>
          <w:vertAlign w:val="superscript"/>
        </w:rPr>
        <w:t xml:space="preserve">9</w:t>
      </w:r>
      <w:r>
        <w:t xml:space="preserve">, and with the phenotypic-selection model of</w:t>
      </w:r>
      <w:r>
        <w:rPr>
          <w:vertAlign w:val="superscript"/>
        </w:rP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29"/>
    <w:bookmarkStart w:id="3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at the middle of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30"/>
    <w:bookmarkStart w:id="3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Multithreaded runs give results identical to single-threaded runs, because each cell carries its own random number generator seeded from its parent.</w:t>
      </w:r>
    </w:p>
    <w:bookmarkEnd w:id="31"/>
    <w:bookmarkStart w:id="32"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model is not an author, in keeping with journal policy on generative artificial intelligence.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32"/>
    <w:bookmarkStart w:id="33"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and are regenerated from fixed seeds by the scripts in the</w:t>
      </w:r>
      <w:r>
        <w:t xml:space="preserve"> </w:t>
      </w:r>
      <w:r>
        <w:rPr>
          <w:rStyle w:val="VerbatimChar"/>
        </w:rPr>
        <w:t xml:space="preserve">paper/</w:t>
      </w:r>
      <w:r>
        <w:t xml:space="preserve"> </w:t>
      </w:r>
      <w:r>
        <w:t xml:space="preserve">directory; the generated tables are archived with the software release.</w:t>
      </w:r>
    </w:p>
    <w:bookmarkEnd w:id="33"/>
    <w:bookmarkStart w:id="34"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timings of Supplementary Table 3, are in</w:t>
      </w:r>
      <w:r>
        <w:t xml:space="preserve"> </w:t>
      </w:r>
      <w:r>
        <w:rPr>
          <w:rStyle w:val="VerbatimChar"/>
        </w:rPr>
        <w:t xml:space="preserve">paper/README.md</w:t>
      </w:r>
      <w:r>
        <w:t xml:space="preserve">.</w:t>
      </w:r>
    </w:p>
    <w:bookmarkEnd w:id="34"/>
    <w:bookmarkStart w:id="35"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rPr>
          <w:vertAlign w:val="superscript"/>
        </w:rPr>
        <w:t xml:space="preserve">69</w:t>
      </w:r>
      <w:r>
        <w:t xml:space="preserve">, MAGIC</w:t>
      </w:r>
      <w:r>
        <w:rPr>
          <w:vertAlign w:val="superscript"/>
        </w:rPr>
        <w:t xml:space="preserve">70</w:t>
      </w:r>
      <w:r>
        <w:t xml:space="preserve"> </w:t>
      </w:r>
      <w:r>
        <w:t xml:space="preserve">and kNN-smoothing</w:t>
      </w:r>
      <w:r>
        <w:rPr>
          <w:vertAlign w:val="superscript"/>
        </w:rPr>
        <w:t xml:space="preserve">71</w:t>
      </w:r>
      <w:r>
        <w:t xml:space="preserve">. The test suite (Aqua quality checks and statistical tests) runs under GitHub Actions on Julia 1.10 and the latest release.</w:t>
      </w:r>
    </w:p>
    <w:bookmarkEnd w:id="35"/>
    <w:bookmarkEnd w:id="36"/>
    <w:bookmarkStart w:id="61" w:name="figure-legends"/>
    <w:p>
      <w:pPr>
        <w:pStyle w:val="Heading1"/>
      </w:pPr>
      <w:r>
        <w:t xml:space="preserve">Figure legends</w:t>
      </w:r>
    </w:p>
    <w:p>
      <w:pPr>
        <w:pStyle w:val="FirstParagraph"/>
      </w:pPr>
      <w:r>
        <w:drawing>
          <wp:inline>
            <wp:extent cx="5334000" cy="3630083"/>
            <wp:effectExtent b="0" l="0" r="0" t="0"/>
            <wp:docPr descr="" title="" id="38" name="Picture"/>
            <a:graphic>
              <a:graphicData uri="http://schemas.openxmlformats.org/drawingml/2006/picture">
                <pic:pic>
                  <pic:nvPicPr>
                    <pic:cNvPr descr="fig1_framework.png" id="39" name="Picture"/>
                    <pic:cNvPicPr>
                      <a:picLocks noChangeArrowheads="1" noChangeAspect="1"/>
                    </pic:cNvPicPr>
                  </pic:nvPicPr>
                  <pic:blipFill>
                    <a:blip r:embed="rId37"/>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
          <w:bCs/>
        </w:rPr>
        <w:t xml:space="preserve">Fig. 1 | The Biomodelling.jl 2.0 framework.</w:t>
      </w:r>
      <w:r>
        <w:t xml:space="preserve"> </w:t>
      </w:r>
      <w:r>
        <w:rPr>
          <w:b/>
          <w:bCs/>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
          <w:bCs/>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
          <w:bCs/>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
          <w:bCs/>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
          <w:bCs/>
        </w:rPr>
        <w:t xml:space="preserve">e</w:t>
      </w:r>
      <w:r>
        <w:t xml:space="preserve">, A complete experiment in twelve lines of code.</w:t>
      </w:r>
    </w:p>
    <w:p>
      <w:pPr>
        <w:pStyle w:val="BodyText"/>
      </w:pPr>
      <w:r>
        <w:drawing>
          <wp:inline>
            <wp:extent cx="5334000" cy="3389118"/>
            <wp:effectExtent b="0" l="0" r="0" t="0"/>
            <wp:docPr descr="" title="" id="41" name="Picture"/>
            <a:graphic>
              <a:graphicData uri="http://schemas.openxmlformats.org/drawingml/2006/picture">
                <pic:pic>
                  <pic:nvPicPr>
                    <pic:cNvPr descr="fig2_engine.png" id="42" name="Picture"/>
                    <pic:cNvPicPr>
                      <a:picLocks noChangeArrowheads="1" noChangeAspect="1"/>
                    </pic:cNvPicPr>
                  </pic:nvPicPr>
                  <pic:blipFill>
                    <a:blip r:embed="rId40"/>
                    <a:stretch>
                      <a:fillRect/>
                    </a:stretch>
                  </pic:blipFill>
                  <pic:spPr bwMode="auto">
                    <a:xfrm>
                      <a:off x="0" y="0"/>
                      <a:ext cx="5334000" cy="3389118"/>
                    </a:xfrm>
                    <a:prstGeom prst="rect">
                      <a:avLst/>
                    </a:prstGeom>
                    <a:noFill/>
                    <a:ln w="9525">
                      <a:noFill/>
                      <a:headEnd/>
                      <a:tailEnd/>
                    </a:ln>
                  </pic:spPr>
                </pic:pic>
              </a:graphicData>
            </a:graphic>
          </wp:inline>
        </w:drawing>
      </w:r>
    </w:p>
    <w:p>
      <w:pPr>
        <w:pStyle w:val="BodyText"/>
      </w:pPr>
      <w:r>
        <w:rPr>
          <w:b/>
          <w:bCs/>
        </w:rPr>
        <w:t xml:space="preserve">Fig. 2 | The engine matches exact laws and an independent implementation.</w:t>
      </w:r>
      <w:r>
        <w:t xml:space="preserve"> </w:t>
      </w:r>
      <w:r>
        <w:rPr>
          <w:b/>
          <w:bCs/>
        </w:rPr>
        <w:t xml:space="preserve">a</w:t>
      </w:r>
      <w:r>
        <w:t xml:space="preserve">, Stationary distribution of a birth-death process (bars, 50,000 simulated cells; line, Poisson law).</w:t>
      </w:r>
      <w:r>
        <w:t xml:space="preserve"> </w:t>
      </w:r>
      <w:r>
        <w:rPr>
          <w:b/>
          <w:bCs/>
        </w:rPr>
        <w:t xml:space="preserve">b</w:t>
      </w:r>
      <w:r>
        <w:t xml:space="preserve">, Telegraph model in an intermediate and a bursty regime against the Beta-Poisson law.</w:t>
      </w:r>
      <w:r>
        <w:t xml:space="preserve"> </w:t>
      </w:r>
      <w:r>
        <w:rPr>
          <w:b/>
          <w:bCs/>
        </w:rPr>
        <w:t xml:space="preserve">c</w:t>
      </w:r>
      <w:r>
        <w:t xml:space="preserve">, Bursty protein production against the negative binomial.</w:t>
      </w:r>
      <w:r>
        <w:t xml:space="preserve"> </w:t>
      </w:r>
      <w:r>
        <w:rPr>
          <w:b/>
          <w:bCs/>
        </w:rPr>
        <w:t xml:space="preserve">d</w:t>
      </w:r>
      <w:r>
        <w:t xml:space="preserve">, Kolmogorov-Smirnov distance to the exact law for every kernel (n = 20,000; dotted line, 99% critical value) with wall-clock time per 10⁴ cells.</w:t>
      </w:r>
      <w:r>
        <w:t xml:space="preserve"> </w:t>
      </w:r>
      <w:r>
        <w:rPr>
          <w:b/>
          <w:bCs/>
        </w:rPr>
        <w:t xml:space="preserve">e</w:t>
      </w:r>
      <w:r>
        <w:t xml:space="preserve">, Telegraph model simulated with Biomodelling.jl and with JumpProcesses.jl on the same model; the two-sample Kolmogorov-Smirnov statistic lies below its 99% critical value.</w:t>
      </w:r>
      <w:r>
        <w:t xml:space="preserve"> </w:t>
      </w:r>
      <w:r>
        <w:rPr>
          <w:b/>
          <w:bCs/>
        </w:rPr>
        <w:t xml:space="preserve">f</w:t>
      </w:r>
      <w:r>
        <w:t xml:space="preserve">, Runtime of population simulations against the number of cells (10 genes) and genes (1,000 cells) for the exact and hybrid kernels.</w:t>
      </w:r>
    </w:p>
    <w:p>
      <w:pPr>
        <w:pStyle w:val="BodyText"/>
      </w:pPr>
      <w:r>
        <w:drawing>
          <wp:inline>
            <wp:extent cx="5334000" cy="3916386"/>
            <wp:effectExtent b="0" l="0" r="0" t="0"/>
            <wp:docPr descr="" title="" id="44" name="Picture"/>
            <a:graphic>
              <a:graphicData uri="http://schemas.openxmlformats.org/drawingml/2006/picture">
                <pic:pic>
                  <pic:nvPicPr>
                    <pic:cNvPr descr="fig3_growth.png" id="45" name="Picture"/>
                    <pic:cNvPicPr>
                      <a:picLocks noChangeArrowheads="1" noChangeAspect="1"/>
                    </pic:cNvPicPr>
                  </pic:nvPicPr>
                  <pic:blipFill>
                    <a:blip r:embed="rId43"/>
                    <a:stretch>
                      <a:fillRect/>
                    </a:stretch>
                  </pic:blipFill>
                  <pic:spPr bwMode="auto">
                    <a:xfrm>
                      <a:off x="0" y="0"/>
                      <a:ext cx="5334000" cy="3916386"/>
                    </a:xfrm>
                    <a:prstGeom prst="rect">
                      <a:avLst/>
                    </a:prstGeom>
                    <a:noFill/>
                    <a:ln w="9525">
                      <a:noFill/>
                      <a:headEnd/>
                      <a:tailEnd/>
                    </a:ln>
                  </pic:spPr>
                </pic:pic>
              </a:graphicData>
            </a:graphic>
          </wp:inline>
        </w:drawing>
      </w:r>
    </w:p>
    <w:p>
      <w:pPr>
        <w:pStyle w:val="BodyText"/>
      </w:pPr>
      <w:r>
        <w:rPr>
          <w:b/>
          <w:bCs/>
        </w:rPr>
        <w:t xml:space="preserve">Fig. 3 | Growth, division and partitioning generate memory, size scaling and cell-cycle effects.</w:t>
      </w:r>
      <w:r>
        <w:t xml:space="preserve"> </w:t>
      </w:r>
      <w:r>
        <w:rPr>
          <w:b/>
          <w:bCs/>
        </w:rPr>
        <w:t xml:space="preserve">a</w:t>
      </w:r>
      <w:r>
        <w:t xml:space="preserve">, A single lineage: volume, mRNA and protein of a slowly switching gene, with the promoter-on state shaded.</w:t>
      </w:r>
      <w:r>
        <w:t xml:space="preserve"> </w:t>
      </w:r>
      <w:r>
        <w:rPr>
          <w:b/>
          <w:bCs/>
        </w:rPr>
        <w:t xml:space="preserve">b</w:t>
      </w:r>
      <w:r>
        <w:t xml:space="preserve">, mRNA count against cell volume for a fast-switching gene without replication (points; line, mean concentration × V) and with gene replication at mid-cycle (binned means).</w:t>
      </w:r>
      <w:r>
        <w:t xml:space="preserve"> </w:t>
      </w:r>
      <w:r>
        <w:rPr>
          <w:b/>
          <w:bCs/>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
          <w:bCs/>
        </w:rPr>
        <w:t xml:space="preserve">d</w:t>
      </w:r>
      <w:r>
        <w:t xml:space="preserve">, Memory timescale against the measured cell-cycle time for two switching rates; dotted lines,</w:t>
      </w:r>
      <w:r>
        <w:t xml:space="preserve"> </w:t>
      </w:r>
      <m:oMath>
        <m:r>
          <m:t>1</m:t>
        </m:r>
        <m:r>
          <m:rPr>
            <m:sty m:val="p"/>
          </m:rPr>
          <m:t>/</m:t>
        </m:r>
        <m:r>
          <m:rPr>
            <m:sty m:val="p"/>
          </m:rPr>
          <m:t>(</m:t>
        </m:r>
        <m:sSub>
          <m:e>
            <m:r>
              <m:t>k</m:t>
            </m:r>
          </m:e>
          <m:sub>
            <m:r>
              <m:rPr>
                <m:sty m:val="p"/>
              </m:rPr>
              <m:t>o</m:t>
            </m:r>
            <m:r>
              <m:rPr>
                <m:sty m:val="p"/>
              </m:rPr>
              <m:t>n</m:t>
            </m:r>
          </m:sub>
        </m:sSub>
        <m:r>
          <m:rPr>
            <m:sty m:val="p"/>
          </m:rPr>
          <m:t>+</m:t>
        </m:r>
        <m:sSub>
          <m:e>
            <m:r>
              <m:t>k</m:t>
            </m:r>
          </m:e>
          <m:sub>
            <m:r>
              <m:rPr>
                <m:sty m:val="p"/>
              </m:rPr>
              <m:t>o</m:t>
            </m:r>
            <m:r>
              <m:rPr>
                <m:sty m:val="p"/>
              </m:rPr>
              <m:t>f</m:t>
            </m:r>
            <m:r>
              <m:rPr>
                <m:sty m:val="p"/>
              </m:rPr>
              <m:t>f</m:t>
            </m:r>
          </m:sub>
        </m:sSub>
        <m:r>
          <m:rPr>
            <m:sty m:val="p"/>
          </m:rPr>
          <m:t>)</m:t>
        </m:r>
      </m:oMath>
      <w:r>
        <w:t xml:space="preserve">.</w:t>
      </w:r>
      <w:r>
        <w:t xml:space="preserve"> </w:t>
      </w:r>
      <w:r>
        <w:rPr>
          <w:b/>
          <w:bCs/>
        </w:rPr>
        <w:t xml:space="preserve">e</w:t>
      </w:r>
      <w:r>
        <w:t xml:space="preserve">, Squared coefficient of variation of a stable protein’s concentration across the population and along single lineages, for increasing partitioning noise and cell-cycle-time noise.</w:t>
      </w:r>
      <w:r>
        <w:t xml:space="preserve"> </w:t>
      </w:r>
      <w:r>
        <w:rPr>
          <w:b/>
          <w:bCs/>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fig3f_copynumber.csv</w:t>
      </w:r>
      <w:r>
        <w:t xml:space="preserve">.</w:t>
      </w:r>
    </w:p>
    <w:p>
      <w:pPr>
        <w:pStyle w:val="BodyText"/>
      </w:pPr>
      <w:r>
        <w:drawing>
          <wp:inline>
            <wp:extent cx="5334000" cy="4961953"/>
            <wp:effectExtent b="0" l="0" r="0" t="0"/>
            <wp:docPr descr="" title="" id="47" name="Picture"/>
            <a:graphic>
              <a:graphicData uri="http://schemas.openxmlformats.org/drawingml/2006/picture">
                <pic:pic>
                  <pic:nvPicPr>
                    <pic:cNvPr descr="fig4_persisters.png" id="48" name="Picture"/>
                    <pic:cNvPicPr>
                      <a:picLocks noChangeArrowheads="1" noChangeAspect="1"/>
                    </pic:cNvPicPr>
                  </pic:nvPicPr>
                  <pic:blipFill>
                    <a:blip r:embed="rId46"/>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
          <w:bCs/>
        </w:rPr>
        <w:t xml:space="preserve">Fig. 4 | A single resistance gene with slow promoter switching reproduces persister biology.</w:t>
      </w:r>
      <w:r>
        <w:t xml:space="preserve"> </w:t>
      </w:r>
      <w:r>
        <w:rPr>
          <w:b/>
          <w:bCs/>
        </w:rPr>
        <w:t xml:space="preserve">a</w:t>
      </w:r>
      <w:r>
        <w:t xml:space="preserve">, Population size under continuous, pulsed and reduced-dose schedules (shading, treatment window).</w:t>
      </w:r>
      <w:r>
        <w:t xml:space="preserve"> </w:t>
      </w:r>
      <w:r>
        <w:rPr>
          <w:b/>
          <w:bCs/>
        </w:rPr>
        <w:t xml:space="preserve">b</w:t>
      </w:r>
      <w:r>
        <w:t xml:space="preserve">, Kill curves at increasing dose.</w:t>
      </w:r>
      <w:r>
        <w:t xml:space="preserve"> </w:t>
      </w:r>
      <w:r>
        <w:rPr>
          <w:b/>
          <w:bCs/>
        </w:rPr>
        <w:t xml:space="preserve">c</w:t>
      </w:r>
      <w:r>
        <w:t xml:space="preserve">, Net population decay rate over the first 30 time units of treatment against dose, with the mean division time of cells born under drug (inset), which is unchanged.</w:t>
      </w:r>
      <w:r>
        <w:t xml:space="preserve"> </w:t>
      </w:r>
      <w:r>
        <w:rPr>
          <w:b/>
          <w:bCs/>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
          <w:bCs/>
        </w:rPr>
        <w:t xml:space="preserve">e</w:t>
      </w:r>
      <w:r>
        <w:t xml:space="preserve">, Effective number of clones (barcodes) before and after drug for pre-existing and drug-induced tolerance (mean ± s.d. of three seeds).</w:t>
      </w:r>
      <w:r>
        <w:t xml:space="preserve"> </w:t>
      </w:r>
      <w:r>
        <w:rPr>
          <w:b/>
          <w:bCs/>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
          <w:bCs/>
        </w:rPr>
        <w:t xml:space="preserve">g</w:t>
      </w:r>
      <w:r>
        <w:t xml:space="preserve">, Fraction of high-expressing cells before, during and after a drug pulse for slow and fast switching.</w:t>
      </w:r>
      <w:r>
        <w:t xml:space="preserve"> </w:t>
      </w:r>
      <w:r>
        <w:rPr>
          <w:b/>
          <w:bCs/>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most effective schedule.</w:t>
      </w:r>
    </w:p>
    <w:p>
      <w:pPr>
        <w:pStyle w:val="BodyText"/>
      </w:pPr>
      <w:r>
        <w:drawing>
          <wp:inline>
            <wp:extent cx="5334000" cy="3816125"/>
            <wp:effectExtent b="0" l="0" r="0" t="0"/>
            <wp:docPr descr="" title="" id="50" name="Picture"/>
            <a:graphic>
              <a:graphicData uri="http://schemas.openxmlformats.org/drawingml/2006/picture">
                <pic:pic>
                  <pic:nvPicPr>
                    <pic:cNvPr descr="fig5_benchmarks.png" id="51" name="Picture"/>
                    <pic:cNvPicPr>
                      <a:picLocks noChangeArrowheads="1" noChangeAspect="1"/>
                    </pic:cNvPicPr>
                  </pic:nvPicPr>
                  <pic:blipFill>
                    <a:blip r:embed="rId49"/>
                    <a:stretch>
                      <a:fillRect/>
                    </a:stretch>
                  </pic:blipFill>
                  <pic:spPr bwMode="auto">
                    <a:xfrm>
                      <a:off x="0" y="0"/>
                      <a:ext cx="5334000" cy="3816125"/>
                    </a:xfrm>
                    <a:prstGeom prst="rect">
                      <a:avLst/>
                    </a:prstGeom>
                    <a:noFill/>
                    <a:ln w="9525">
                      <a:noFill/>
                      <a:headEnd/>
                      <a:tailEnd/>
                    </a:ln>
                  </pic:spPr>
                </pic:pic>
              </a:graphicData>
            </a:graphic>
          </wp:inline>
        </w:drawing>
      </w:r>
    </w:p>
    <w:p>
      <w:pPr>
        <w:pStyle w:val="BodyText"/>
      </w:pPr>
      <w:r>
        <w:rPr>
          <w:b/>
          <w:bCs/>
        </w:rPr>
        <w:t xml:space="preserve">Fig. 5 | Ground-truth benchmarks.</w:t>
      </w:r>
      <w:r>
        <w:t xml:space="preserve"> </w:t>
      </w:r>
      <w:r>
        <w:rPr>
          <w:b/>
          <w:bCs/>
        </w:rPr>
        <w:t xml:space="preserve">a</w:t>
      </w:r>
      <w:r>
        <w:t xml:space="preserve">, Clonal variance score against the known memory time of 40 independent genes, from true concentrations and from sequenced counts; dotted line, cell-cycle time.</w:t>
      </w:r>
      <w:r>
        <w:t xml:space="preserve"> </w:t>
      </w:r>
      <w:r>
        <w:rPr>
          <w:b/>
          <w:bCs/>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 random ranking.</w:t>
      </w:r>
      <w:r>
        <w:t xml:space="preserve"> </w:t>
      </w:r>
      <w:r>
        <w:rPr>
          <w:b/>
          <w:bCs/>
        </w:rPr>
        <w:t xml:space="preserve">c</w:t>
      </w:r>
      <w:r>
        <w:t xml:space="preserve">, Effect of kNN-smoothing and MAGIC imputation before inference.</w:t>
      </w:r>
      <w:r>
        <w:t xml:space="preserve"> </w:t>
      </w:r>
      <w:r>
        <w:rPr>
          <w:b/>
          <w:bCs/>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24320"/>
            <wp:effectExtent b="0" l="0" r="0" t="0"/>
            <wp:docPr descr="" title="" id="53" name="Picture"/>
            <a:graphic>
              <a:graphicData uri="http://schemas.openxmlformats.org/drawingml/2006/picture">
                <pic:pic>
                  <pic:nvPicPr>
                    <pic:cNvPr descr="fig6_inference.png" id="54" name="Picture"/>
                    <pic:cNvPicPr>
                      <a:picLocks noChangeArrowheads="1" noChangeAspect="1"/>
                    </pic:cNvPicPr>
                  </pic:nvPicPr>
                  <pic:blipFill>
                    <a:blip r:embed="rId52"/>
                    <a:stretch>
                      <a:fillRect/>
                    </a:stretch>
                  </pic:blipFill>
                  <pic:spPr bwMode="auto">
                    <a:xfrm>
                      <a:off x="0" y="0"/>
                      <a:ext cx="5334000" cy="5124320"/>
                    </a:xfrm>
                    <a:prstGeom prst="rect">
                      <a:avLst/>
                    </a:prstGeom>
                    <a:noFill/>
                    <a:ln w="9525">
                      <a:noFill/>
                      <a:headEnd/>
                      <a:tailEnd/>
                    </a:ln>
                  </pic:spPr>
                </pic:pic>
              </a:graphicData>
            </a:graphic>
          </wp:inline>
        </w:drawing>
      </w:r>
    </w:p>
    <w:p>
      <w:pPr>
        <w:pStyle w:val="BodyText"/>
      </w:pPr>
      <w:r>
        <w:rPr>
          <w:b/>
          <w:bCs/>
        </w:rPr>
        <w:t xml:space="preserve">Fig. 6 | Inference with the forward model.</w:t>
      </w:r>
      <w:r>
        <w:t xml:space="preserve"> </w:t>
      </w:r>
      <w:r>
        <w:rPr>
          <w:b/>
          <w:bCs/>
        </w:rPr>
        <w:t xml:space="preserve">a</w:t>
      </w:r>
      <w:r>
        <w:t xml:space="preserve">, Posterior distributions of telegraph parameters from ABC-SMC on a snapshot of non-dividing cells, with the truth and the exact maximum-likelihood estimate.</w:t>
      </w:r>
      <w:r>
        <w:t xml:space="preserve"> </w:t>
      </w:r>
      <w:r>
        <w:rPr>
          <w:b/>
          <w:bCs/>
        </w:rPr>
        <w:t xml:space="preserve">b</w:t>
      </w:r>
      <w:r>
        <w:t xml:space="preserve">, The same for a snapshot of a growing and dividing population: the naive telegraph fit is biased while division-aware ABC recovers the truth.</w:t>
      </w:r>
      <w:r>
        <w:t xml:space="preserve"> </w:t>
      </w:r>
      <w:r>
        <w:rPr>
          <w:b/>
          <w:bCs/>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
          <w:bCs/>
        </w:rPr>
        <w:t xml:space="preserve">d</w:t>
      </w:r>
      <w:r>
        <w:t xml:space="preserve">, Posterior predictive kill curves simulated at the posterior median against the observed curve.</w:t>
      </w:r>
    </w:p>
    <w:p>
      <w:pPr>
        <w:pStyle w:val="BodyText"/>
      </w:pPr>
      <w:r>
        <w:drawing>
          <wp:inline>
            <wp:extent cx="5334000" cy="4255692"/>
            <wp:effectExtent b="0" l="0" r="0" t="0"/>
            <wp:docPr descr="" title="" id="56" name="Picture"/>
            <a:graphic>
              <a:graphicData uri="http://schemas.openxmlformats.org/drawingml/2006/picture">
                <pic:pic>
                  <pic:nvPicPr>
                    <pic:cNvPr descr="fig7_calibration.png" id="57" name="Picture"/>
                    <pic:cNvPicPr>
                      <a:picLocks noChangeArrowheads="1" noChangeAspect="1"/>
                    </pic:cNvPicPr>
                  </pic:nvPicPr>
                  <pic:blipFill>
                    <a:blip r:embed="rId55"/>
                    <a:stretch>
                      <a:fillRect/>
                    </a:stretch>
                  </pic:blipFill>
                  <pic:spPr bwMode="auto">
                    <a:xfrm>
                      <a:off x="0" y="0"/>
                      <a:ext cx="5334000" cy="4255692"/>
                    </a:xfrm>
                    <a:prstGeom prst="rect">
                      <a:avLst/>
                    </a:prstGeom>
                    <a:noFill/>
                    <a:ln w="9525">
                      <a:noFill/>
                      <a:headEnd/>
                      <a:tailEnd/>
                    </a:ln>
                  </pic:spPr>
                </pic:pic>
              </a:graphicData>
            </a:graphic>
          </wp:inline>
        </w:drawing>
      </w:r>
    </w:p>
    <w:p>
      <w:pPr>
        <w:pStyle w:val="BodyText"/>
      </w:pPr>
      <w:r>
        <w:rPr>
          <w:b/>
          <w:bCs/>
        </w:rPr>
        <w:t xml:space="preserve">Fig. 7 | Calibration to laboratory time-lapse data and validation on held-out conditions.</w:t>
      </w:r>
      <w:r>
        <w:t xml:space="preserve"> </w:t>
      </w:r>
      <w:r>
        <w:rPr>
          <w:b/>
          <w:bCs/>
        </w:rPr>
        <w:t xml:space="preserve">a</w:t>
      </w:r>
      <w:r>
        <w:t xml:space="preserve">, Fates over 72 h of cisplatin of U2OS cells present at drug addition, observed by time-lapse microscopy (grey; ref.</w:t>
      </w:r>
      <w:r>
        <w:rPr>
          <w:vertAlign w:val="superscript"/>
        </w:rPr>
        <w:t xml:space="preserve">6</w:t>
      </w:r>
      <w:r>
        <w:t xml:space="preserve">) and simulated by the calibrated model (colours; mean ± s.d. of four seeds); the model was calibrated on 7 and 13 µM and the 10 µM condition is predicted.</w:t>
      </w:r>
      <w:r>
        <w:t xml:space="preserve"> </w:t>
      </w:r>
      <w:r>
        <w:rPr>
          <w:b/>
          <w:bCs/>
        </w:rPr>
        <w:t xml:space="preserve">b</w:t>
      </w:r>
      <w:r>
        <w:t xml:space="preserve">, Predicted population size at the three concentrations and at 11.5 µM, from two days before the drug to seven days of exposure.</w:t>
      </w:r>
      <w:r>
        <w:t xml:space="preserve"> </w:t>
      </w:r>
      <w:r>
        <w:rPr>
          <w:b/>
          <w:bCs/>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is reported graphically in ref.</w:t>
      </w:r>
      <w:r>
        <w:rPr>
          <w:vertAlign w:val="superscript"/>
        </w:rPr>
        <w:t xml:space="preserve">6</w:t>
      </w:r>
      <w:r>
        <w:t xml:space="preserve"> </w:t>
      </w:r>
      <w:r>
        <w:t xml:space="preserve">with no numeric coefficients, so the comparison is of pattern rather than of value.</w:t>
      </w:r>
      <w:r>
        <w:t xml:space="preserve"> </w:t>
      </w:r>
      <w:r>
        <w:rPr>
          <w:b/>
          <w:bCs/>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
          <w:bCs/>
        </w:rPr>
        <w:t xml:space="preserve">e</w:t>
      </w:r>
      <w:r>
        <w:t xml:space="preserve">, Calibration landscape: every parameter set evaluated by the optimiser, coloured by its distance to the training data.</w:t>
      </w:r>
      <w:r>
        <w:t xml:space="preserve"> </w:t>
      </w:r>
      <w:r>
        <w:rPr>
          <w:b/>
          <w:bCs/>
        </w:rPr>
        <w:t xml:space="preserve">f</w:t>
      </w:r>
      <w:r>
        <w:t xml:space="preserve">, Calibrated parameters.</w:t>
      </w:r>
    </w:p>
    <w:p>
      <w:pPr>
        <w:pStyle w:val="BodyText"/>
      </w:pPr>
      <w:r>
        <w:drawing>
          <wp:inline>
            <wp:extent cx="5334000" cy="5440370"/>
            <wp:effectExtent b="0" l="0" r="0" t="0"/>
            <wp:docPr descr="" title="" id="59" name="Picture"/>
            <a:graphic>
              <a:graphicData uri="http://schemas.openxmlformats.org/drawingml/2006/picture">
                <pic:pic>
                  <pic:nvPicPr>
                    <pic:cNvPr descr="fig8_schedules.png" id="60" name="Picture"/>
                    <pic:cNvPicPr>
                      <a:picLocks noChangeArrowheads="1" noChangeAspect="1"/>
                    </pic:cNvPicPr>
                  </pic:nvPicPr>
                  <pic:blipFill>
                    <a:blip r:embed="rId58"/>
                    <a:stretch>
                      <a:fillRect/>
                    </a:stretch>
                  </pic:blipFill>
                  <pic:spPr bwMode="auto">
                    <a:xfrm>
                      <a:off x="0" y="0"/>
                      <a:ext cx="5334000" cy="5440370"/>
                    </a:xfrm>
                    <a:prstGeom prst="rect">
                      <a:avLst/>
                    </a:prstGeom>
                    <a:noFill/>
                    <a:ln w="9525">
                      <a:noFill/>
                      <a:headEnd/>
                      <a:tailEnd/>
                    </a:ln>
                  </pic:spPr>
                </pic:pic>
              </a:graphicData>
            </a:graphic>
          </wp:inline>
        </w:drawing>
      </w:r>
    </w:p>
    <w:p>
      <w:pPr>
        <w:pStyle w:val="BodyText"/>
      </w:pPr>
      <w:r>
        <w:rPr>
          <w:b/>
          <w:bCs/>
        </w:rPr>
        <w:t xml:space="preserve">Fig. 8 | Dose and schedule optimisation against clinical regimens.</w:t>
      </w:r>
      <w:r>
        <w:t xml:space="preserve"> </w:t>
      </w:r>
      <w:r>
        <w:rPr>
          <w:b/>
          <w:bCs/>
        </w:rPr>
        <w:t xml:space="preserve">a</w:t>
      </w:r>
      <w:r>
        <w:t xml:space="preserve">–</w:t>
      </w:r>
      <w:r>
        <w:rPr>
          <w:b/>
          <w:bCs/>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
          <w:bCs/>
        </w:rPr>
        <w:t xml:space="preserve">a</w:t>
      </w:r>
      <w:r>
        <w:t xml:space="preserve">), when resistant cells grow 50% slower in the absence of drug (</w:t>
      </w:r>
      <w:r>
        <w:rPr>
          <w:b/>
          <w:bCs/>
        </w:rPr>
        <w:t xml:space="preserve">b</w:t>
      </w:r>
      <w:r>
        <w:t xml:space="preserve">), and when resistant cells are only partly protected and grow at half speed under drug (</w:t>
      </w:r>
      <w:r>
        <w:rPr>
          <w:b/>
          <w:bCs/>
        </w:rPr>
        <w:t xml:space="preserve">c</w:t>
      </w:r>
      <w:r>
        <w:t xml:space="preserve">); dotted line, 120% of the initial size.</w:t>
      </w:r>
      <w:r>
        <w:t xml:space="preserve"> </w:t>
      </w:r>
      <w:r>
        <w:rPr>
          <w:b/>
          <w:bCs/>
        </w:rPr>
        <w:t xml:space="preserve">d</w:t>
      </w:r>
      <w:r>
        <w:t xml:space="preserve">, Weeks after randomisation until the population exceeds 120% of its pre-treatment size (loss of control; mean ± s.d. of four seeds, censored at 52 weeks).</w:t>
      </w:r>
      <w:r>
        <w:t xml:space="preserve"> </w:t>
      </w:r>
      <w:r>
        <w:rPr>
          <w:b/>
          <w:bCs/>
        </w:rPr>
        <w:t xml:space="preserve">e</w:t>
      </w:r>
      <w:r>
        <w:t xml:space="preserve">, The same end point over intermittent schedules of given period and fraction of time on drug after the lead-in, for every schedule evaluated by the optimiser (star, best), for the three mechanisms.</w:t>
      </w:r>
      <w:r>
        <w:t xml:space="preserve"> </w:t>
      </w:r>
      <w:r>
        <w:rPr>
          <w:b/>
          <w:bCs/>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the value of the cerebrospinal-fluid population model; the plasma value is 1.8 h) and stoichiometric consumption of MGMT by the drug, one molecule per lesion repaired, for populations in which 1% (methylated promoter, solid) or 30% (unmethylated, dashed) of cells express MGMT.</w:t>
      </w:r>
      <w:r>
        <w:t xml:space="preserve"> </w:t>
      </w:r>
      <w:r>
        <w:rPr>
          <w:b/>
          <w:bCs/>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
          <w:bCs/>
        </w:rPr>
        <w:t xml:space="preserve">h</w:t>
      </w:r>
      <w:r>
        <w:t xml:space="preserve">, Final population size against the number of dosing days per 28-day cycle at the standard cumulative dose.</w:t>
      </w:r>
    </w:p>
    <w:bookmarkEnd w:id="61"/>
    <w:bookmarkStart w:id="62"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rPr>
          <w:vertAlign w:val="superscript"/>
        </w:rP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62"/>
    <w:bookmarkStart w:id="63"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63"/>
    <w:bookmarkStart w:id="64" w:name="competing-interests"/>
    <w:p>
      <w:pPr>
        <w:pStyle w:val="Heading1"/>
      </w:pPr>
      <w:r>
        <w:t xml:space="preserve">Competing interests</w:t>
      </w:r>
    </w:p>
    <w:p>
      <w:pPr>
        <w:pStyle w:val="FirstParagraph"/>
      </w:pPr>
      <w:r>
        <w:t xml:space="preserve">The author declares no competing interests.</w:t>
      </w:r>
    </w:p>
    <w:bookmarkEnd w:id="64"/>
    <w:bookmarkStart w:id="65" w:name="additional-information"/>
    <w:p>
      <w:pPr>
        <w:pStyle w:val="Heading1"/>
      </w:pPr>
      <w:r>
        <w:t xml:space="preserve">Additional information</w:t>
      </w:r>
    </w:p>
    <w:p>
      <w:pPr>
        <w:pStyle w:val="FirstParagraph"/>
      </w:pPr>
      <w:r>
        <w:rPr>
          <w:b/>
          <w:bCs/>
        </w:rPr>
        <w:t xml:space="preserve">Supplementary information</w:t>
      </w:r>
      <w:r>
        <w:t xml:space="preserve"> </w:t>
      </w:r>
      <w:r>
        <w:t xml:space="preserve">accompanies this Article. Correspondence and requests for materials should be addressed to A.L.</w:t>
      </w:r>
    </w:p>
    <w:bookmarkEnd w:id="65"/>
    <w:bookmarkStart w:id="209" w:name="references"/>
    <w:p>
      <w:pPr>
        <w:pStyle w:val="Heading1"/>
      </w:pPr>
      <w:r>
        <w:t xml:space="preserve">References</w:t>
      </w:r>
    </w:p>
    <w:bookmarkStart w:id="208" w:name="refs"/>
    <w:bookmarkStart w:id="67" w:name="ref-sharma2010"/>
    <w:p>
      <w:pPr>
        <w:pStyle w:val="Bibliography"/>
      </w:pPr>
      <w:r>
        <w:t xml:space="preserve">1.</w:t>
      </w:r>
      <w:r>
        <w:t xml:space="preserve"> </w:t>
      </w:r>
      <w:r>
        <w:t xml:space="preserve">	</w:t>
      </w:r>
      <w:r>
        <w:t xml:space="preserve">Sharma, S. V.</w:t>
      </w:r>
      <w:r>
        <w:t xml:space="preserve"> </w:t>
      </w:r>
      <w:r>
        <w:rPr>
          <w:i/>
          <w:iCs/>
        </w:rPr>
        <w:t xml:space="preserve">et al.</w:t>
      </w:r>
      <w:r>
        <w:t xml:space="preserve"> </w:t>
      </w:r>
      <w:hyperlink r:id="rId66">
        <w:r>
          <w:rPr>
            <w:rStyle w:val="Hyperlink"/>
          </w:rPr>
          <w:t xml:space="preserve">A chromatin-mediated reversible drug-tolerant state in cancer cell subpopulations</w:t>
        </w:r>
      </w:hyperlink>
      <w:r>
        <w:t xml:space="preserve">.</w:t>
      </w:r>
      <w:r>
        <w:t xml:space="preserve"> </w:t>
      </w:r>
      <w:r>
        <w:rPr>
          <w:i/>
          <w:iCs/>
        </w:rPr>
        <w:t xml:space="preserve">Cell</w:t>
      </w:r>
      <w:r>
        <w:t xml:space="preserve"> </w:t>
      </w:r>
      <w:r>
        <w:rPr>
          <w:b/>
          <w:bCs/>
        </w:rPr>
        <w:t xml:space="preserve">141</w:t>
      </w:r>
      <w:r>
        <w:t xml:space="preserve">, 69–80 (2010).</w:t>
      </w:r>
    </w:p>
    <w:bookmarkEnd w:id="67"/>
    <w:bookmarkStart w:id="69" w:name="ref-shaffer2017"/>
    <w:p>
      <w:pPr>
        <w:pStyle w:val="Bibliography"/>
      </w:pPr>
      <w:r>
        <w:t xml:space="preserve">2.</w:t>
      </w:r>
      <w:r>
        <w:t xml:space="preserve"> </w:t>
      </w:r>
      <w:r>
        <w:t xml:space="preserve">	</w:t>
      </w:r>
      <w:r>
        <w:t xml:space="preserve">Shaffer, S. M.</w:t>
      </w:r>
      <w:r>
        <w:t xml:space="preserve"> </w:t>
      </w:r>
      <w:r>
        <w:rPr>
          <w:i/>
          <w:iCs/>
        </w:rPr>
        <w:t xml:space="preserve">et al.</w:t>
      </w:r>
      <w:r>
        <w:t xml:space="preserve"> </w:t>
      </w:r>
      <w:hyperlink r:id="rId68">
        <w:r>
          <w:rPr>
            <w:rStyle w:val="Hyperlink"/>
          </w:rPr>
          <w:t xml:space="preserve">Rare cell variability and drug-induced reprogramming as a mode of cancer drug resistance</w:t>
        </w:r>
      </w:hyperlink>
      <w:r>
        <w:t xml:space="preserve">.</w:t>
      </w:r>
      <w:r>
        <w:t xml:space="preserve"> </w:t>
      </w:r>
      <w:r>
        <w:rPr>
          <w:i/>
          <w:iCs/>
        </w:rPr>
        <w:t xml:space="preserve">Nature</w:t>
      </w:r>
      <w:r>
        <w:t xml:space="preserve"> </w:t>
      </w:r>
      <w:r>
        <w:rPr>
          <w:b/>
          <w:bCs/>
        </w:rPr>
        <w:t xml:space="preserve">546</w:t>
      </w:r>
      <w:r>
        <w:t xml:space="preserve">, 431–435 (2017).</w:t>
      </w:r>
    </w:p>
    <w:bookmarkEnd w:id="69"/>
    <w:bookmarkStart w:id="71" w:name="ref-hata2016"/>
    <w:p>
      <w:pPr>
        <w:pStyle w:val="Bibliography"/>
      </w:pPr>
      <w:r>
        <w:t xml:space="preserve">3.</w:t>
      </w:r>
      <w:r>
        <w:t xml:space="preserve"> </w:t>
      </w:r>
      <w:r>
        <w:t xml:space="preserve">	</w:t>
      </w:r>
      <w:r>
        <w:t xml:space="preserve">Hata, A. N.</w:t>
      </w:r>
      <w:r>
        <w:t xml:space="preserve"> </w:t>
      </w:r>
      <w:r>
        <w:rPr>
          <w:i/>
          <w:iCs/>
        </w:rPr>
        <w:t xml:space="preserve">et al.</w:t>
      </w:r>
      <w:r>
        <w:t xml:space="preserve"> </w:t>
      </w:r>
      <w:hyperlink r:id="rId70">
        <w:r>
          <w:rPr>
            <w:rStyle w:val="Hyperlink"/>
          </w:rPr>
          <w:t xml:space="preserve">Tumor cells can follow distinct evolutionary paths to become resistant to epidermal growth factor receptor inhibition</w:t>
        </w:r>
      </w:hyperlink>
      <w:r>
        <w:t xml:space="preserve">.</w:t>
      </w:r>
      <w:r>
        <w:t xml:space="preserve"> </w:t>
      </w:r>
      <w:r>
        <w:rPr>
          <w:i/>
          <w:iCs/>
        </w:rPr>
        <w:t xml:space="preserve">Nature Medicine</w:t>
      </w:r>
      <w:r>
        <w:t xml:space="preserve"> </w:t>
      </w:r>
      <w:r>
        <w:rPr>
          <w:b/>
          <w:bCs/>
        </w:rPr>
        <w:t xml:space="preserve">22</w:t>
      </w:r>
      <w:r>
        <w:t xml:space="preserve">, 262–269 (2016).</w:t>
      </w:r>
    </w:p>
    <w:bookmarkEnd w:id="71"/>
    <w:bookmarkStart w:id="73" w:name="ref-oren2021"/>
    <w:p>
      <w:pPr>
        <w:pStyle w:val="Bibliography"/>
      </w:pPr>
      <w:r>
        <w:t xml:space="preserve">4.</w:t>
      </w:r>
      <w:r>
        <w:t xml:space="preserve"> </w:t>
      </w:r>
      <w:r>
        <w:t xml:space="preserve">	</w:t>
      </w:r>
      <w:r>
        <w:t xml:space="preserve">Oren, Y.</w:t>
      </w:r>
      <w:r>
        <w:t xml:space="preserve"> </w:t>
      </w:r>
      <w:r>
        <w:rPr>
          <w:i/>
          <w:iCs/>
        </w:rPr>
        <w:t xml:space="preserve">et al.</w:t>
      </w:r>
      <w:r>
        <w:t xml:space="preserve"> </w:t>
      </w:r>
      <w:hyperlink r:id="rId72">
        <w:r>
          <w:rPr>
            <w:rStyle w:val="Hyperlink"/>
          </w:rPr>
          <w:t xml:space="preserve">Cycling cancer persister cells arise from lineages with distinct programs</w:t>
        </w:r>
      </w:hyperlink>
      <w:r>
        <w:t xml:space="preserve">.</w:t>
      </w:r>
      <w:r>
        <w:t xml:space="preserve"> </w:t>
      </w:r>
      <w:r>
        <w:rPr>
          <w:i/>
          <w:iCs/>
        </w:rPr>
        <w:t xml:space="preserve">Nature</w:t>
      </w:r>
      <w:r>
        <w:t xml:space="preserve"> </w:t>
      </w:r>
      <w:r>
        <w:rPr>
          <w:b/>
          <w:bCs/>
        </w:rPr>
        <w:t xml:space="preserve">596</w:t>
      </w:r>
      <w:r>
        <w:t xml:space="preserve">, 576–582 (2021).</w:t>
      </w:r>
    </w:p>
    <w:bookmarkEnd w:id="73"/>
    <w:bookmarkStart w:id="75" w:name="ref-franca2024"/>
    <w:p>
      <w:pPr>
        <w:pStyle w:val="Bibliography"/>
      </w:pPr>
      <w:r>
        <w:t xml:space="preserve">5.</w:t>
      </w:r>
      <w:r>
        <w:t xml:space="preserve"> </w:t>
      </w:r>
      <w:r>
        <w:t xml:space="preserve">	</w:t>
      </w:r>
      <w:r>
        <w:t xml:space="preserve">França, G. S.</w:t>
      </w:r>
      <w:r>
        <w:t xml:space="preserve"> </w:t>
      </w:r>
      <w:r>
        <w:rPr>
          <w:i/>
          <w:iCs/>
        </w:rPr>
        <w:t xml:space="preserve">et al.</w:t>
      </w:r>
      <w:r>
        <w:t xml:space="preserve"> </w:t>
      </w:r>
      <w:hyperlink r:id="rId74">
        <w:r>
          <w:rPr>
            <w:rStyle w:val="Hyperlink"/>
          </w:rPr>
          <w:t xml:space="preserve">Cellular adaptation to cancer therapy along a resistance continuum</w:t>
        </w:r>
      </w:hyperlink>
      <w:r>
        <w:t xml:space="preserve">.</w:t>
      </w:r>
      <w:r>
        <w:t xml:space="preserve"> </w:t>
      </w:r>
      <w:r>
        <w:rPr>
          <w:i/>
          <w:iCs/>
        </w:rPr>
        <w:t xml:space="preserve">Nature</w:t>
      </w:r>
      <w:r>
        <w:t xml:space="preserve"> </w:t>
      </w:r>
      <w:r>
        <w:rPr>
          <w:b/>
          <w:bCs/>
        </w:rPr>
        <w:t xml:space="preserve">631</w:t>
      </w:r>
      <w:r>
        <w:t xml:space="preserve">, 876–883 (2024).</w:t>
      </w:r>
    </w:p>
    <w:bookmarkEnd w:id="75"/>
    <w:bookmarkStart w:id="77" w:name="ref-iyer2025"/>
    <w:p>
      <w:pPr>
        <w:pStyle w:val="Bibliography"/>
      </w:pPr>
      <w:r>
        <w:t xml:space="preserve">6.</w:t>
      </w:r>
      <w:r>
        <w:t xml:space="preserve"> </w:t>
      </w:r>
      <w:r>
        <w:t xml:space="preserve">	</w:t>
      </w:r>
      <w:r>
        <w:t xml:space="preserve">Iyer, A., Alva, A., Granada, A. E. &amp; Chakrabarti, S.</w:t>
      </w:r>
      <w:r>
        <w:t xml:space="preserve"> </w:t>
      </w:r>
      <w:hyperlink r:id="rId76">
        <w:r>
          <w:rPr>
            <w:rStyle w:val="Hyperlink"/>
          </w:rPr>
          <w:t xml:space="preserve">Inheritable cell-states shape drug-persister correlations and population dynamics in cancer cells</w:t>
        </w:r>
      </w:hyperlink>
      <w:r>
        <w:t xml:space="preserve">.</w:t>
      </w:r>
      <w:r>
        <w:t xml:space="preserve"> </w:t>
      </w:r>
      <w:r>
        <w:rPr>
          <w:i/>
          <w:iCs/>
        </w:rPr>
        <w:t xml:space="preserve">PLoS Computational Biology</w:t>
      </w:r>
      <w:r>
        <w:t xml:space="preserve"> </w:t>
      </w:r>
      <w:r>
        <w:rPr>
          <w:b/>
          <w:bCs/>
        </w:rPr>
        <w:t xml:space="preserve">21</w:t>
      </w:r>
      <w:r>
        <w:t xml:space="preserve">, e1013446 (2025).</w:t>
      </w:r>
    </w:p>
    <w:bookmarkEnd w:id="77"/>
    <w:bookmarkStart w:id="79" w:name="ref-lin2025memory"/>
    <w:p>
      <w:pPr>
        <w:pStyle w:val="Bibliography"/>
      </w:pPr>
      <w:r>
        <w:t xml:space="preserve">7.</w:t>
      </w:r>
      <w:r>
        <w:t xml:space="preserve"> </w:t>
      </w:r>
      <w:r>
        <w:t xml:space="preserve">	</w:t>
      </w:r>
      <w:r>
        <w:t xml:space="preserve">Lin, Y., Chen, X., Wu, L., Zhou, Y. &amp; Lin, Y.</w:t>
      </w:r>
      <w:r>
        <w:t xml:space="preserve"> </w:t>
      </w:r>
      <w:hyperlink r:id="rId78">
        <w:r>
          <w:rPr>
            <w:rStyle w:val="Hyperlink"/>
          </w:rPr>
          <w:t xml:space="preserve">Widespread transcriptional memory shapes heritable states and functional heterogeneity in cancer and stem cells</w:t>
        </w:r>
      </w:hyperlink>
      <w:r>
        <w:t xml:space="preserve">.</w:t>
      </w:r>
      <w:r>
        <w:t xml:space="preserve"> </w:t>
      </w:r>
      <w:r>
        <w:rPr>
          <w:i/>
          <w:iCs/>
        </w:rPr>
        <w:t xml:space="preserve">Cell Systems</w:t>
      </w:r>
      <w:r>
        <w:t xml:space="preserve"> </w:t>
      </w:r>
      <w:r>
        <w:rPr>
          <w:b/>
          <w:bCs/>
        </w:rPr>
        <w:t xml:space="preserve">17</w:t>
      </w:r>
      <w:r>
        <w:t xml:space="preserve">, 101621 (2026).</w:t>
      </w:r>
    </w:p>
    <w:bookmarkEnd w:id="79"/>
    <w:bookmarkStart w:id="81" w:name="ref-ghosh2025powerseek"/>
    <w:p>
      <w:pPr>
        <w:pStyle w:val="Bibliography"/>
      </w:pPr>
      <w:r>
        <w:t xml:space="preserve">8.</w:t>
      </w:r>
      <w:r>
        <w:t xml:space="preserve"> </w:t>
      </w:r>
      <w:r>
        <w:t xml:space="preserve">	</w:t>
      </w:r>
      <w:r>
        <w:t xml:space="preserve">Ghosh, S., Chakrabarti, S. &amp; Raju, A. Identifying memory gene expression from single sample</w:t>
      </w:r>
      <w:r>
        <w:t xml:space="preserve"> </w:t>
      </w:r>
      <w:r>
        <w:t xml:space="preserve">scRNA-seq</w:t>
      </w:r>
      <w:r>
        <w:t xml:space="preserve"> </w:t>
      </w:r>
      <w:r>
        <w:t xml:space="preserve">data using power law signatures.</w:t>
      </w:r>
      <w:r>
        <w:t xml:space="preserve"> </w:t>
      </w:r>
      <w:r>
        <w:rPr>
          <w:i/>
          <w:iCs/>
        </w:rPr>
        <w:t xml:space="preserve">bioRxiv</w:t>
      </w:r>
      <w:r>
        <w:t xml:space="preserve"> </w:t>
      </w:r>
      <w:hyperlink r:id="rId80">
        <w:r>
          <w:rPr>
            <w:rStyle w:val="Hyperlink"/>
          </w:rPr>
          <w:t xml:space="preserve">https://doi.org/10.1101/2025.01.15.633183</w:t>
        </w:r>
      </w:hyperlink>
      <w:r>
        <w:t xml:space="preserve"> </w:t>
      </w:r>
      <w:r>
        <w:t xml:space="preserve">(2025) doi:</w:t>
      </w:r>
      <w:hyperlink r:id="rId80">
        <w:r>
          <w:rPr>
            <w:rStyle w:val="Hyperlink"/>
          </w:rPr>
          <w:t xml:space="preserve">10.1101/2025.01.15.633183</w:t>
        </w:r>
      </w:hyperlink>
      <w:r>
        <w:t xml:space="preserve">.</w:t>
      </w:r>
    </w:p>
    <w:bookmarkEnd w:id="81"/>
    <w:bookmarkStart w:id="83" w:name="ref-harmange2023"/>
    <w:p>
      <w:pPr>
        <w:pStyle w:val="Bibliography"/>
      </w:pPr>
      <w:r>
        <w:t xml:space="preserve">9.</w:t>
      </w:r>
      <w:r>
        <w:t xml:space="preserve"> </w:t>
      </w:r>
      <w:r>
        <w:t xml:space="preserve">	</w:t>
      </w:r>
      <w:r>
        <w:t xml:space="preserve">Harmange, G.</w:t>
      </w:r>
      <w:r>
        <w:t xml:space="preserve"> </w:t>
      </w:r>
      <w:r>
        <w:rPr>
          <w:i/>
          <w:iCs/>
        </w:rPr>
        <w:t xml:space="preserve">et al.</w:t>
      </w:r>
      <w:r>
        <w:t xml:space="preserve"> </w:t>
      </w:r>
      <w:hyperlink r:id="rId82">
        <w:r>
          <w:rPr>
            <w:rStyle w:val="Hyperlink"/>
          </w:rPr>
          <w:t xml:space="preserve">Disrupting cellular memory to overcome drug resistance</w:t>
        </w:r>
      </w:hyperlink>
      <w:r>
        <w:t xml:space="preserve">.</w:t>
      </w:r>
      <w:r>
        <w:t xml:space="preserve"> </w:t>
      </w:r>
      <w:r>
        <w:rPr>
          <w:i/>
          <w:iCs/>
        </w:rPr>
        <w:t xml:space="preserve">Nature Communications</w:t>
      </w:r>
      <w:r>
        <w:t xml:space="preserve"> </w:t>
      </w:r>
      <w:r>
        <w:rPr>
          <w:b/>
          <w:bCs/>
        </w:rPr>
        <w:t xml:space="preserve">14</w:t>
      </w:r>
      <w:r>
        <w:t xml:space="preserve">, 7130 (2023).</w:t>
      </w:r>
    </w:p>
    <w:bookmarkEnd w:id="83"/>
    <w:bookmarkStart w:id="85" w:name="ref-sukys2025"/>
    <w:p>
      <w:pPr>
        <w:pStyle w:val="Bibliography"/>
      </w:pPr>
      <w:r>
        <w:t xml:space="preserve">10.</w:t>
      </w:r>
      <w:r>
        <w:t xml:space="preserve"> </w:t>
      </w:r>
      <w:r>
        <w:t xml:space="preserve">	</w:t>
      </w:r>
      <w:r>
        <w:t xml:space="preserve">Sukys, A. &amp; Grima, R.</w:t>
      </w:r>
      <w:r>
        <w:t xml:space="preserve"> </w:t>
      </w:r>
      <w:hyperlink r:id="rId84">
        <w:r>
          <w:rPr>
            <w:rStyle w:val="Hyperlink"/>
          </w:rPr>
          <w:t xml:space="preserve">Cell-cycle dependence of bursty gene expression: Insights from fitting mechanistic models to single-cell</w:t>
        </w:r>
        <w:r>
          <w:rPr>
            <w:rStyle w:val="Hyperlink"/>
          </w:rPr>
          <w:t xml:space="preserve"> </w:t>
        </w:r>
        <w:r>
          <w:rPr>
            <w:rStyle w:val="Hyperlink"/>
          </w:rPr>
          <w:t xml:space="preserve">RNA-seq</w:t>
        </w:r>
        <w:r>
          <w:rPr>
            <w:rStyle w:val="Hyperlink"/>
          </w:rPr>
          <w:t xml:space="preserve"> </w:t>
        </w:r>
        <w:r>
          <w:rPr>
            <w:rStyle w:val="Hyperlink"/>
          </w:rPr>
          <w:t xml:space="preserve">data</w:t>
        </w:r>
      </w:hyperlink>
      <w:r>
        <w:t xml:space="preserve">.</w:t>
      </w:r>
      <w:r>
        <w:t xml:space="preserve"> </w:t>
      </w:r>
      <w:r>
        <w:rPr>
          <w:i/>
          <w:iCs/>
        </w:rPr>
        <w:t xml:space="preserve">Nucleic Acids Research</w:t>
      </w:r>
      <w:r>
        <w:t xml:space="preserve"> </w:t>
      </w:r>
      <w:r>
        <w:rPr>
          <w:b/>
          <w:bCs/>
        </w:rPr>
        <w:t xml:space="preserve">53</w:t>
      </w:r>
      <w:r>
        <w:t xml:space="preserve">, gkaf295 (2025).</w:t>
      </w:r>
    </w:p>
    <w:bookmarkEnd w:id="85"/>
    <w:bookmarkStart w:id="87" w:name="ref-zhang2025"/>
    <w:p>
      <w:pPr>
        <w:pStyle w:val="Bibliography"/>
      </w:pPr>
      <w:r>
        <w:t xml:space="preserve">11.</w:t>
      </w:r>
      <w:r>
        <w:t xml:space="preserve"> </w:t>
      </w:r>
      <w:r>
        <w:t xml:space="preserve">	</w:t>
      </w:r>
      <w:r>
        <w:t xml:space="preserve">Zhang, Z.</w:t>
      </w:r>
      <w:r>
        <w:t xml:space="preserve"> </w:t>
      </w:r>
      <w:r>
        <w:rPr>
          <w:i/>
          <w:iCs/>
        </w:rPr>
        <w:t xml:space="preserve">et al.</w:t>
      </w:r>
      <w:r>
        <w:t xml:space="preserve"> </w:t>
      </w:r>
      <w:hyperlink r:id="rId86">
        <w:r>
          <w:rPr>
            <w:rStyle w:val="Hyperlink"/>
          </w:rPr>
          <w:t xml:space="preserve">Stochastic gene expression in proliferating cells: Differing noise intensity in single-cell and population perspectives</w:t>
        </w:r>
      </w:hyperlink>
      <w:r>
        <w:t xml:space="preserve">.</w:t>
      </w:r>
      <w:r>
        <w:t xml:space="preserve"> </w:t>
      </w:r>
      <w:r>
        <w:rPr>
          <w:i/>
          <w:iCs/>
        </w:rPr>
        <w:t xml:space="preserve">PLoS Computational Biology</w:t>
      </w:r>
      <w:r>
        <w:t xml:space="preserve"> </w:t>
      </w:r>
      <w:r>
        <w:rPr>
          <w:b/>
          <w:bCs/>
        </w:rPr>
        <w:t xml:space="preserve">21</w:t>
      </w:r>
      <w:r>
        <w:t xml:space="preserve">, e1013014 (2025).</w:t>
      </w:r>
    </w:p>
    <w:bookmarkEnd w:id="87"/>
    <w:bookmarkStart w:id="89" w:name="ref-okochi2026scdivide"/>
    <w:p>
      <w:pPr>
        <w:pStyle w:val="Bibliography"/>
      </w:pPr>
      <w:r>
        <w:t xml:space="preserve">12.</w:t>
      </w:r>
      <w:r>
        <w:t xml:space="preserve"> </w:t>
      </w:r>
      <w:r>
        <w:t xml:space="preserve">	</w:t>
      </w:r>
      <w:r>
        <w:t xml:space="preserve">Okochi, Y., Sawazaki, Y., Kondo, Y. &amp; Naoki, H. Inferring division-associated stochasticity from time-series single-cell transcriptomes.</w:t>
      </w:r>
      <w:r>
        <w:t xml:space="preserve"> </w:t>
      </w:r>
      <w:r>
        <w:rPr>
          <w:i/>
          <w:iCs/>
        </w:rPr>
        <w:t xml:space="preserve">bioRxiv</w:t>
      </w:r>
      <w:r>
        <w:t xml:space="preserve"> </w:t>
      </w:r>
      <w:hyperlink r:id="rId88">
        <w:r>
          <w:rPr>
            <w:rStyle w:val="Hyperlink"/>
          </w:rPr>
          <w:t xml:space="preserve">https://doi.org/10.64898/2026.04.14.718485</w:t>
        </w:r>
      </w:hyperlink>
      <w:r>
        <w:t xml:space="preserve"> </w:t>
      </w:r>
      <w:r>
        <w:t xml:space="preserve">(2026) doi:</w:t>
      </w:r>
      <w:hyperlink r:id="rId88">
        <w:r>
          <w:rPr>
            <w:rStyle w:val="Hyperlink"/>
          </w:rPr>
          <w:t xml:space="preserve">10.64898/2026.04.14.718485</w:t>
        </w:r>
      </w:hyperlink>
      <w:r>
        <w:t xml:space="preserve">.</w:t>
      </w:r>
    </w:p>
    <w:bookmarkEnd w:id="89"/>
    <w:bookmarkStart w:id="91" w:name="ref-ahlmanneltze2025"/>
    <w:p>
      <w:pPr>
        <w:pStyle w:val="Bibliography"/>
      </w:pPr>
      <w:r>
        <w:t xml:space="preserve">13.</w:t>
      </w:r>
      <w:r>
        <w:t xml:space="preserve"> </w:t>
      </w:r>
      <w:r>
        <w:t xml:space="preserve">	</w:t>
      </w:r>
      <w:r>
        <w:t xml:space="preserve">Ahlmann-Eltze, C., Huber, W. &amp; Anders, S.</w:t>
      </w:r>
      <w:r>
        <w:t xml:space="preserve"> </w:t>
      </w:r>
      <w:hyperlink r:id="rId90">
        <w:r>
          <w:rPr>
            <w:rStyle w:val="Hyperlink"/>
          </w:rPr>
          <w:t xml:space="preserve">Deep-learning-based gene perturbation effect prediction does not yet outperform simple linear baselines</w:t>
        </w:r>
      </w:hyperlink>
      <w:r>
        <w:t xml:space="preserve">.</w:t>
      </w:r>
      <w:r>
        <w:t xml:space="preserve"> </w:t>
      </w:r>
      <w:r>
        <w:rPr>
          <w:i/>
          <w:iCs/>
        </w:rPr>
        <w:t xml:space="preserve">Nature Methods</w:t>
      </w:r>
      <w:r>
        <w:t xml:space="preserve"> </w:t>
      </w:r>
      <w:r>
        <w:rPr>
          <w:b/>
          <w:bCs/>
        </w:rPr>
        <w:t xml:space="preserve">22</w:t>
      </w:r>
      <w:r>
        <w:t xml:space="preserve">, (2025).</w:t>
      </w:r>
    </w:p>
    <w:bookmarkEnd w:id="91"/>
    <w:bookmarkStart w:id="93" w:name="ref-vollenweider2026"/>
    <w:p>
      <w:pPr>
        <w:pStyle w:val="Bibliography"/>
      </w:pPr>
      <w:r>
        <w:t xml:space="preserve">14.</w:t>
      </w:r>
      <w:r>
        <w:t xml:space="preserve"> </w:t>
      </w:r>
      <w:r>
        <w:t xml:space="preserve">	</w:t>
      </w:r>
      <w:r>
        <w:t xml:space="preserve">Vollenweider, M. S. &amp; Bühlmann, P. Signal, bounds, and baselines: Principles for rigorous evaluation of high-dimensional biological perturbation prediction.</w:t>
      </w:r>
      <w:r>
        <w:t xml:space="preserve"> </w:t>
      </w:r>
      <w:r>
        <w:rPr>
          <w:i/>
          <w:iCs/>
        </w:rPr>
        <w:t xml:space="preserve">bioRxiv</w:t>
      </w:r>
      <w:r>
        <w:t xml:space="preserve"> </w:t>
      </w:r>
      <w:hyperlink r:id="rId92">
        <w:r>
          <w:rPr>
            <w:rStyle w:val="Hyperlink"/>
          </w:rPr>
          <w:t xml:space="preserve">https://doi.org/10.64898/2026.04.20.719650</w:t>
        </w:r>
      </w:hyperlink>
      <w:r>
        <w:t xml:space="preserve"> </w:t>
      </w:r>
      <w:r>
        <w:t xml:space="preserve">(2026) doi:</w:t>
      </w:r>
      <w:hyperlink r:id="rId92">
        <w:r>
          <w:rPr>
            <w:rStyle w:val="Hyperlink"/>
          </w:rPr>
          <w:t xml:space="preserve">10.64898/2026.04.20.719650</w:t>
        </w:r>
      </w:hyperlink>
      <w:r>
        <w:t xml:space="preserve">.</w:t>
      </w:r>
    </w:p>
    <w:bookmarkEnd w:id="93"/>
    <w:bookmarkStart w:id="95" w:name="ref-dibaeinia2026context"/>
    <w:p>
      <w:pPr>
        <w:pStyle w:val="Bibliography"/>
      </w:pPr>
      <w:r>
        <w:t xml:space="preserve">15.</w:t>
      </w:r>
      <w:r>
        <w:t xml:space="preserve"> </w:t>
      </w:r>
      <w:r>
        <w:t xml:space="preserve">	</w:t>
      </w:r>
      <w:r>
        <w:t xml:space="preserve">Dibaeinia, P.</w:t>
      </w:r>
      <w:r>
        <w:t xml:space="preserve"> </w:t>
      </w:r>
      <w:r>
        <w:rPr>
          <w:i/>
          <w:iCs/>
        </w:rPr>
        <w:t xml:space="preserve">et al.</w:t>
      </w:r>
      <w:r>
        <w:t xml:space="preserve"> Virtual cells need context, not just scale.</w:t>
      </w:r>
      <w:r>
        <w:t xml:space="preserve"> </w:t>
      </w:r>
      <w:r>
        <w:rPr>
          <w:i/>
          <w:iCs/>
        </w:rPr>
        <w:t xml:space="preserve">bioRxiv</w:t>
      </w:r>
      <w:r>
        <w:t xml:space="preserve"> </w:t>
      </w:r>
      <w:hyperlink r:id="rId94">
        <w:r>
          <w:rPr>
            <w:rStyle w:val="Hyperlink"/>
          </w:rPr>
          <w:t xml:space="preserve">https://doi.org/10.64898/2026.02.04.703804</w:t>
        </w:r>
      </w:hyperlink>
      <w:r>
        <w:t xml:space="preserve"> </w:t>
      </w:r>
      <w:r>
        <w:t xml:space="preserve">(2026) doi:</w:t>
      </w:r>
      <w:hyperlink r:id="rId94">
        <w:r>
          <w:rPr>
            <w:rStyle w:val="Hyperlink"/>
          </w:rPr>
          <w:t xml:space="preserve">10.64898/2026.02.04.703804</w:t>
        </w:r>
      </w:hyperlink>
      <w:r>
        <w:t xml:space="preserve">.</w:t>
      </w:r>
    </w:p>
    <w:bookmarkEnd w:id="95"/>
    <w:bookmarkStart w:id="97" w:name="ref-bunne2024"/>
    <w:p>
      <w:pPr>
        <w:pStyle w:val="Bibliography"/>
      </w:pPr>
      <w:r>
        <w:t xml:space="preserve">16.</w:t>
      </w:r>
      <w:r>
        <w:t xml:space="preserve"> </w:t>
      </w:r>
      <w:r>
        <w:t xml:space="preserve">	</w:t>
      </w:r>
      <w:r>
        <w:t xml:space="preserve">Bunne, C.</w:t>
      </w:r>
      <w:r>
        <w:t xml:space="preserve"> </w:t>
      </w:r>
      <w:r>
        <w:rPr>
          <w:i/>
          <w:iCs/>
        </w:rPr>
        <w:t xml:space="preserve">et al.</w:t>
      </w:r>
      <w:r>
        <w:t xml:space="preserve"> </w:t>
      </w:r>
      <w:hyperlink r:id="rId96">
        <w:r>
          <w:rPr>
            <w:rStyle w:val="Hyperlink"/>
          </w:rPr>
          <w:t xml:space="preserve">How to build the virtual cell with artificial intelligence: Priorities and opportunities</w:t>
        </w:r>
      </w:hyperlink>
      <w:r>
        <w:t xml:space="preserve">.</w:t>
      </w:r>
      <w:r>
        <w:t xml:space="preserve"> </w:t>
      </w:r>
      <w:r>
        <w:rPr>
          <w:i/>
          <w:iCs/>
        </w:rPr>
        <w:t xml:space="preserve">Cell</w:t>
      </w:r>
      <w:r>
        <w:t xml:space="preserve"> </w:t>
      </w:r>
      <w:r>
        <w:rPr>
          <w:b/>
          <w:bCs/>
        </w:rPr>
        <w:t xml:space="preserve">187</w:t>
      </w:r>
      <w:r>
        <w:t xml:space="preserve">, 7045–7063 (2024).</w:t>
      </w:r>
    </w:p>
    <w:bookmarkEnd w:id="97"/>
    <w:bookmarkStart w:id="99" w:name="ref-zappia2017"/>
    <w:p>
      <w:pPr>
        <w:pStyle w:val="Bibliography"/>
      </w:pPr>
      <w:r>
        <w:t xml:space="preserve">17.</w:t>
      </w:r>
      <w:r>
        <w:t xml:space="preserve"> </w:t>
      </w:r>
      <w:r>
        <w:t xml:space="preserve">	</w:t>
      </w:r>
      <w:r>
        <w:t xml:space="preserve">Zappia, L., Phipson, B. &amp; Oshlack, A.</w:t>
      </w:r>
      <w:r>
        <w:t xml:space="preserve"> </w:t>
      </w:r>
      <w:hyperlink r:id="rId98">
        <w:r>
          <w:rPr>
            <w:rStyle w:val="Hyperlink"/>
          </w:rPr>
          <w:t xml:space="preserve">Splatter: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w:t>
        </w:r>
      </w:hyperlink>
      <w:r>
        <w:t xml:space="preserve">.</w:t>
      </w:r>
      <w:r>
        <w:t xml:space="preserve"> </w:t>
      </w:r>
      <w:r>
        <w:rPr>
          <w:i/>
          <w:iCs/>
        </w:rPr>
        <w:t xml:space="preserve">Genome Biology</w:t>
      </w:r>
      <w:r>
        <w:t xml:space="preserve"> </w:t>
      </w:r>
      <w:r>
        <w:rPr>
          <w:b/>
          <w:bCs/>
        </w:rPr>
        <w:t xml:space="preserve">18</w:t>
      </w:r>
      <w:r>
        <w:t xml:space="preserve">, 174 (2017).</w:t>
      </w:r>
    </w:p>
    <w:bookmarkEnd w:id="99"/>
    <w:bookmarkStart w:id="101" w:name="ref-zhang2019symsim"/>
    <w:p>
      <w:pPr>
        <w:pStyle w:val="Bibliography"/>
      </w:pPr>
      <w:r>
        <w:t xml:space="preserve">18.</w:t>
      </w:r>
      <w:r>
        <w:t xml:space="preserve"> </w:t>
      </w:r>
      <w:r>
        <w:t xml:space="preserve">	</w:t>
      </w:r>
      <w:r>
        <w:t xml:space="preserve">Zhang, X., Xu, C. &amp; Yosef, N.</w:t>
      </w:r>
      <w:r>
        <w:t xml:space="preserve"> </w:t>
      </w:r>
      <w:hyperlink r:id="rId100">
        <w:r>
          <w:rPr>
            <w:rStyle w:val="Hyperlink"/>
          </w:rPr>
          <w:t xml:space="preserve">Simulating multiple faceted variability in single cell</w:t>
        </w:r>
        <w:r>
          <w:rPr>
            <w:rStyle w:val="Hyperlink"/>
          </w:rPr>
          <w:t xml:space="preserve"> </w:t>
        </w:r>
        <w:r>
          <w:rPr>
            <w:rStyle w:val="Hyperlink"/>
          </w:rPr>
          <w:t xml:space="preserve">RNA</w:t>
        </w:r>
        <w:r>
          <w:rPr>
            <w:rStyle w:val="Hyperlink"/>
          </w:rPr>
          <w:t xml:space="preserve"> </w:t>
        </w:r>
        <w:r>
          <w:rPr>
            <w:rStyle w:val="Hyperlink"/>
          </w:rPr>
          <w:t xml:space="preserve">sequencing</w:t>
        </w:r>
      </w:hyperlink>
      <w:r>
        <w:t xml:space="preserve">.</w:t>
      </w:r>
      <w:r>
        <w:t xml:space="preserve"> </w:t>
      </w:r>
      <w:r>
        <w:rPr>
          <w:i/>
          <w:iCs/>
        </w:rPr>
        <w:t xml:space="preserve">Nature Communications</w:t>
      </w:r>
      <w:r>
        <w:t xml:space="preserve"> </w:t>
      </w:r>
      <w:r>
        <w:rPr>
          <w:b/>
          <w:bCs/>
        </w:rPr>
        <w:t xml:space="preserve">10</w:t>
      </w:r>
      <w:r>
        <w:t xml:space="preserve">, 2611 (2019).</w:t>
      </w:r>
    </w:p>
    <w:bookmarkEnd w:id="101"/>
    <w:bookmarkStart w:id="103" w:name="ref-song2024scdesign3"/>
    <w:p>
      <w:pPr>
        <w:pStyle w:val="Bibliography"/>
      </w:pPr>
      <w:r>
        <w:t xml:space="preserve">19.</w:t>
      </w:r>
      <w:r>
        <w:t xml:space="preserve"> </w:t>
      </w:r>
      <w:r>
        <w:t xml:space="preserve">	</w:t>
      </w:r>
      <w:r>
        <w:t xml:space="preserve">Song, D.</w:t>
      </w:r>
      <w:r>
        <w:t xml:space="preserve"> </w:t>
      </w:r>
      <w:r>
        <w:rPr>
          <w:i/>
          <w:iCs/>
        </w:rPr>
        <w:t xml:space="preserve">et al.</w:t>
      </w:r>
      <w:r>
        <w:t xml:space="preserve"> </w:t>
      </w:r>
      <w:hyperlink r:id="rId102">
        <w:r>
          <w:rPr>
            <w:rStyle w:val="Hyperlink"/>
          </w:rPr>
          <w:t xml:space="preserve">scDesign3</w:t>
        </w:r>
        <w:r>
          <w:rPr>
            <w:rStyle w:val="Hyperlink"/>
          </w:rPr>
          <w:t xml:space="preserve"> </w:t>
        </w:r>
        <w:r>
          <w:rPr>
            <w:rStyle w:val="Hyperlink"/>
          </w:rPr>
          <w:t xml:space="preserve">generates realistic in silico data for multimodal single-cell and spatial omics</w:t>
        </w:r>
      </w:hyperlink>
      <w:r>
        <w:t xml:space="preserve">.</w:t>
      </w:r>
      <w:r>
        <w:t xml:space="preserve"> </w:t>
      </w:r>
      <w:r>
        <w:rPr>
          <w:i/>
          <w:iCs/>
        </w:rPr>
        <w:t xml:space="preserve">Nature Biotechnology</w:t>
      </w:r>
      <w:r>
        <w:t xml:space="preserve"> </w:t>
      </w:r>
      <w:r>
        <w:rPr>
          <w:b/>
          <w:bCs/>
        </w:rPr>
        <w:t xml:space="preserve">42</w:t>
      </w:r>
      <w:r>
        <w:t xml:space="preserve">, 247–252 (2024).</w:t>
      </w:r>
    </w:p>
    <w:bookmarkEnd w:id="103"/>
    <w:bookmarkStart w:id="105" w:name="ref-dibaeinia2020"/>
    <w:p>
      <w:pPr>
        <w:pStyle w:val="Bibliography"/>
      </w:pPr>
      <w:r>
        <w:t xml:space="preserve">20.</w:t>
      </w:r>
      <w:r>
        <w:t xml:space="preserve"> </w:t>
      </w:r>
      <w:r>
        <w:t xml:space="preserve">	</w:t>
      </w:r>
      <w:r>
        <w:t xml:space="preserve">Dibaeinia, P. &amp; Sinha, S.</w:t>
      </w:r>
      <w:r>
        <w:t xml:space="preserve"> </w:t>
      </w:r>
      <w:hyperlink r:id="rId104">
        <w:r>
          <w:rPr>
            <w:rStyle w:val="Hyperlink"/>
          </w:rPr>
          <w:t xml:space="preserve">SERGIO</w:t>
        </w:r>
        <w:r>
          <w:rPr>
            <w:rStyle w:val="Hyperlink"/>
          </w:rPr>
          <w:t xml:space="preserve">: A single-cell expression simulator guided by gene regulatory networks</w:t>
        </w:r>
      </w:hyperlink>
      <w:r>
        <w:t xml:space="preserve">.</w:t>
      </w:r>
      <w:r>
        <w:t xml:space="preserve"> </w:t>
      </w:r>
      <w:r>
        <w:rPr>
          <w:i/>
          <w:iCs/>
        </w:rPr>
        <w:t xml:space="preserve">Cell Systems</w:t>
      </w:r>
      <w:r>
        <w:t xml:space="preserve"> </w:t>
      </w:r>
      <w:r>
        <w:rPr>
          <w:b/>
          <w:bCs/>
        </w:rPr>
        <w:t xml:space="preserve">11</w:t>
      </w:r>
      <w:r>
        <w:t xml:space="preserve">, 252–271 (2020).</w:t>
      </w:r>
    </w:p>
    <w:bookmarkEnd w:id="105"/>
    <w:bookmarkStart w:id="107" w:name="ref-cannoodt2021"/>
    <w:p>
      <w:pPr>
        <w:pStyle w:val="Bibliography"/>
      </w:pPr>
      <w:r>
        <w:t xml:space="preserve">21.</w:t>
      </w:r>
      <w:r>
        <w:t xml:space="preserve"> </w:t>
      </w:r>
      <w:r>
        <w:t xml:space="preserve">	</w:t>
      </w:r>
      <w:r>
        <w:t xml:space="preserve">Cannoodt, R., Saelens, W., Deconinck, L. &amp; Saeys, Y.</w:t>
      </w:r>
      <w:r>
        <w:t xml:space="preserve"> </w:t>
      </w:r>
      <w:hyperlink r:id="rId106">
        <w:r>
          <w:rPr>
            <w:rStyle w:val="Hyperlink"/>
          </w:rPr>
          <w:t xml:space="preserve">Spearheading future omics analyses using dyngen, a multi-modal simulator of single cells</w:t>
        </w:r>
      </w:hyperlink>
      <w:r>
        <w:t xml:space="preserve">.</w:t>
      </w:r>
      <w:r>
        <w:t xml:space="preserve"> </w:t>
      </w:r>
      <w:r>
        <w:rPr>
          <w:i/>
          <w:iCs/>
        </w:rPr>
        <w:t xml:space="preserve">Nature Communications</w:t>
      </w:r>
      <w:r>
        <w:t xml:space="preserve"> </w:t>
      </w:r>
      <w:r>
        <w:rPr>
          <w:b/>
          <w:bCs/>
        </w:rPr>
        <w:t xml:space="preserve">12</w:t>
      </w:r>
      <w:r>
        <w:t xml:space="preserve">, 3942 (2021).</w:t>
      </w:r>
    </w:p>
    <w:bookmarkEnd w:id="107"/>
    <w:bookmarkStart w:id="109" w:name="ref-li2025scmultisim"/>
    <w:p>
      <w:pPr>
        <w:pStyle w:val="Bibliography"/>
      </w:pPr>
      <w:r>
        <w:t xml:space="preserve">22.</w:t>
      </w:r>
      <w:r>
        <w:t xml:space="preserve"> </w:t>
      </w:r>
      <w:r>
        <w:t xml:space="preserve">	</w:t>
      </w:r>
      <w:r>
        <w:t xml:space="preserve">Li, H., Zhang, Z., Squires, M., Chen, X. &amp; Zhang, X.</w:t>
      </w:r>
      <w:r>
        <w:t xml:space="preserve"> </w:t>
      </w:r>
      <w:r>
        <w:t xml:space="preserve">scMultiSim</w:t>
      </w:r>
      <w:r>
        <w:t xml:space="preserve">: Simulation of single-cell multi-omics and spatial data guided by gene regulatory networks and cell–cell interactions.</w:t>
      </w:r>
      <w:r>
        <w:t xml:space="preserve"> </w:t>
      </w:r>
      <w:r>
        <w:rPr>
          <w:i/>
          <w:iCs/>
        </w:rPr>
        <w:t xml:space="preserve">Nature Methods</w:t>
      </w:r>
      <w:r>
        <w:t xml:space="preserve"> </w:t>
      </w:r>
      <w:hyperlink r:id="rId108">
        <w:r>
          <w:rPr>
            <w:rStyle w:val="Hyperlink"/>
          </w:rPr>
          <w:t xml:space="preserve">https://doi.org/10.1038/s41592-025-02651-0</w:t>
        </w:r>
      </w:hyperlink>
      <w:r>
        <w:t xml:space="preserve"> </w:t>
      </w:r>
      <w:r>
        <w:t xml:space="preserve">(2025) doi:</w:t>
      </w:r>
      <w:hyperlink r:id="rId108">
        <w:r>
          <w:rPr>
            <w:rStyle w:val="Hyperlink"/>
          </w:rPr>
          <w:t xml:space="preserve">10.1038/s41592-025-02651-0</w:t>
        </w:r>
      </w:hyperlink>
      <w:r>
        <w:t xml:space="preserve">.</w:t>
      </w:r>
    </w:p>
    <w:bookmarkEnd w:id="109"/>
    <w:bookmarkStart w:id="111" w:name="ref-zinati2024groundgan"/>
    <w:p>
      <w:pPr>
        <w:pStyle w:val="Bibliography"/>
      </w:pPr>
      <w:r>
        <w:t xml:space="preserve">23.</w:t>
      </w:r>
      <w:r>
        <w:t xml:space="preserve"> </w:t>
      </w:r>
      <w:r>
        <w:t xml:space="preserve">	</w:t>
      </w:r>
      <w:r>
        <w:t xml:space="preserve">Zinati, Y., Takiddeen, A. &amp; Emad, A.</w:t>
      </w:r>
      <w:r>
        <w:t xml:space="preserve"> </w:t>
      </w:r>
      <w:hyperlink r:id="rId110">
        <w:r>
          <w:rPr>
            <w:rStyle w:val="Hyperlink"/>
          </w:rPr>
          <w:t xml:space="preserve">GRouNdGAN</w:t>
        </w:r>
        <w:r>
          <w:rPr>
            <w:rStyle w:val="Hyperlink"/>
          </w:rPr>
          <w:t xml:space="preserve">:</w:t>
        </w:r>
        <w:r>
          <w:rPr>
            <w:rStyle w:val="Hyperlink"/>
          </w:rPr>
          <w:t xml:space="preserve"> </w:t>
        </w:r>
        <w:r>
          <w:rPr>
            <w:rStyle w:val="Hyperlink"/>
          </w:rPr>
          <w:t xml:space="preserve">GRN</w:t>
        </w:r>
        <w:r>
          <w:rPr>
            <w:rStyle w:val="Hyperlink"/>
          </w:rPr>
          <w:t xml:space="preserve">-guided simulation of single-cell</w:t>
        </w:r>
        <w:r>
          <w:rPr>
            <w:rStyle w:val="Hyperlink"/>
          </w:rPr>
          <w:t xml:space="preserve"> </w:t>
        </w:r>
        <w:r>
          <w:rPr>
            <w:rStyle w:val="Hyperlink"/>
          </w:rPr>
          <w:t xml:space="preserve">RNA-seq</w:t>
        </w:r>
        <w:r>
          <w:rPr>
            <w:rStyle w:val="Hyperlink"/>
          </w:rPr>
          <w:t xml:space="preserve"> </w:t>
        </w:r>
        <w:r>
          <w:rPr>
            <w:rStyle w:val="Hyperlink"/>
          </w:rPr>
          <w:t xml:space="preserve">data using causal generative adversarial networks</w:t>
        </w:r>
      </w:hyperlink>
      <w:r>
        <w:t xml:space="preserve">.</w:t>
      </w:r>
      <w:r>
        <w:t xml:space="preserve"> </w:t>
      </w:r>
      <w:r>
        <w:rPr>
          <w:i/>
          <w:iCs/>
        </w:rPr>
        <w:t xml:space="preserve">Nature Communications</w:t>
      </w:r>
      <w:r>
        <w:t xml:space="preserve"> </w:t>
      </w:r>
      <w:r>
        <w:rPr>
          <w:b/>
          <w:bCs/>
        </w:rPr>
        <w:t xml:space="preserve">15</w:t>
      </w:r>
      <w:r>
        <w:t xml:space="preserve">, 4055 (2024).</w:t>
      </w:r>
    </w:p>
    <w:bookmarkEnd w:id="111"/>
    <w:bookmarkStart w:id="113" w:name="ref-pan2022tedsim"/>
    <w:p>
      <w:pPr>
        <w:pStyle w:val="Bibliography"/>
      </w:pPr>
      <w:r>
        <w:t xml:space="preserve">24.</w:t>
      </w:r>
      <w:r>
        <w:t xml:space="preserve"> </w:t>
      </w:r>
      <w:r>
        <w:t xml:space="preserve">	</w:t>
      </w:r>
      <w:r>
        <w:t xml:space="preserve">Pan, X., Li, H. &amp; Zhang, X.</w:t>
      </w:r>
      <w:r>
        <w:t xml:space="preserve"> </w:t>
      </w:r>
      <w:hyperlink r:id="rId112">
        <w:r>
          <w:rPr>
            <w:rStyle w:val="Hyperlink"/>
          </w:rPr>
          <w:t xml:space="preserve">TedSim</w:t>
        </w:r>
        <w:r>
          <w:rPr>
            <w:rStyle w:val="Hyperlink"/>
          </w:rPr>
          <w:t xml:space="preserve">: Temporal dynamics simulation of single-cell</w:t>
        </w:r>
        <w:r>
          <w:rPr>
            <w:rStyle w:val="Hyperlink"/>
          </w:rPr>
          <w:t xml:space="preserve"> </w:t>
        </w:r>
        <w:r>
          <w:rPr>
            <w:rStyle w:val="Hyperlink"/>
          </w:rPr>
          <w:t xml:space="preserve">RNA</w:t>
        </w:r>
        <w:r>
          <w:rPr>
            <w:rStyle w:val="Hyperlink"/>
          </w:rPr>
          <w:t xml:space="preserve"> </w:t>
        </w:r>
        <w:r>
          <w:rPr>
            <w:rStyle w:val="Hyperlink"/>
          </w:rPr>
          <w:t xml:space="preserve">sequencing data and cell division history</w:t>
        </w:r>
      </w:hyperlink>
      <w:r>
        <w:t xml:space="preserve">.</w:t>
      </w:r>
      <w:r>
        <w:t xml:space="preserve"> </w:t>
      </w:r>
      <w:r>
        <w:rPr>
          <w:i/>
          <w:iCs/>
        </w:rPr>
        <w:t xml:space="preserve">Nucleic Acids Research</w:t>
      </w:r>
      <w:r>
        <w:t xml:space="preserve"> </w:t>
      </w:r>
      <w:r>
        <w:rPr>
          <w:b/>
          <w:bCs/>
        </w:rPr>
        <w:t xml:space="preserve">50</w:t>
      </w:r>
      <w:r>
        <w:t xml:space="preserve">, 4272–4288 (2022).</w:t>
      </w:r>
    </w:p>
    <w:bookmarkEnd w:id="113"/>
    <w:bookmarkStart w:id="115" w:name="ref-jones2020cassiopeia"/>
    <w:p>
      <w:pPr>
        <w:pStyle w:val="Bibliography"/>
      </w:pPr>
      <w:r>
        <w:t xml:space="preserve">25.</w:t>
      </w:r>
      <w:r>
        <w:t xml:space="preserve"> </w:t>
      </w:r>
      <w:r>
        <w:t xml:space="preserve">	</w:t>
      </w:r>
      <w:r>
        <w:t xml:space="preserve">Jones, M. G.</w:t>
      </w:r>
      <w:r>
        <w:t xml:space="preserve"> </w:t>
      </w:r>
      <w:r>
        <w:rPr>
          <w:i/>
          <w:iCs/>
        </w:rPr>
        <w:t xml:space="preserve">et al.</w:t>
      </w:r>
      <w:r>
        <w:t xml:space="preserve"> </w:t>
      </w:r>
      <w:hyperlink r:id="rId114">
        <w:r>
          <w:rPr>
            <w:rStyle w:val="Hyperlink"/>
          </w:rPr>
          <w:t xml:space="preserve">Inference of single-cell phylogenies from lineage tracing data using</w:t>
        </w:r>
        <w:r>
          <w:rPr>
            <w:rStyle w:val="Hyperlink"/>
          </w:rPr>
          <w:t xml:space="preserve"> </w:t>
        </w:r>
        <w:r>
          <w:rPr>
            <w:rStyle w:val="Hyperlink"/>
          </w:rPr>
          <w:t xml:space="preserve">Cassiopeia</w:t>
        </w:r>
      </w:hyperlink>
      <w:r>
        <w:t xml:space="preserve">.</w:t>
      </w:r>
      <w:r>
        <w:t xml:space="preserve"> </w:t>
      </w:r>
      <w:r>
        <w:rPr>
          <w:i/>
          <w:iCs/>
        </w:rPr>
        <w:t xml:space="preserve">Genome Biology</w:t>
      </w:r>
      <w:r>
        <w:t xml:space="preserve"> </w:t>
      </w:r>
      <w:r>
        <w:rPr>
          <w:b/>
          <w:bCs/>
        </w:rPr>
        <w:t xml:space="preserve">21</w:t>
      </w:r>
      <w:r>
        <w:t xml:space="preserve">, 92 (2020).</w:t>
      </w:r>
    </w:p>
    <w:bookmarkEnd w:id="115"/>
    <w:bookmarkStart w:id="117" w:name="ref-pratapa2020"/>
    <w:p>
      <w:pPr>
        <w:pStyle w:val="Bibliography"/>
      </w:pPr>
      <w:r>
        <w:t xml:space="preserve">26.</w:t>
      </w:r>
      <w:r>
        <w:t xml:space="preserve"> </w:t>
      </w:r>
      <w:r>
        <w:t xml:space="preserve">	</w:t>
      </w:r>
      <w:r>
        <w:t xml:space="preserve">Pratapa, A., Jalihal, A. P., Law, J. N., Bharadwaj, A. &amp; Murali, T. M.</w:t>
      </w:r>
      <w:r>
        <w:t xml:space="preserve"> </w:t>
      </w:r>
      <w:hyperlink r:id="rId116">
        <w:r>
          <w:rPr>
            <w:rStyle w:val="Hyperlink"/>
          </w:rPr>
          <w:t xml:space="preserve">Benchmarking algorithms for gene regulatory network inference from single-cell transcriptomic data</w:t>
        </w:r>
      </w:hyperlink>
      <w:r>
        <w:t xml:space="preserve">.</w:t>
      </w:r>
      <w:r>
        <w:t xml:space="preserve"> </w:t>
      </w:r>
      <w:r>
        <w:rPr>
          <w:i/>
          <w:iCs/>
        </w:rPr>
        <w:t xml:space="preserve">Nature Methods</w:t>
      </w:r>
      <w:r>
        <w:t xml:space="preserve"> </w:t>
      </w:r>
      <w:r>
        <w:rPr>
          <w:b/>
          <w:bCs/>
        </w:rPr>
        <w:t xml:space="preserve">17</w:t>
      </w:r>
      <w:r>
        <w:t xml:space="preserve">, 147–154 (2020).</w:t>
      </w:r>
    </w:p>
    <w:bookmarkEnd w:id="117"/>
    <w:bookmarkStart w:id="119" w:name="ref-bertaux2018"/>
    <w:p>
      <w:pPr>
        <w:pStyle w:val="Bibliography"/>
      </w:pPr>
      <w:r>
        <w:t xml:space="preserve">27.</w:t>
      </w:r>
      <w:r>
        <w:t xml:space="preserve"> </w:t>
      </w:r>
      <w:r>
        <w:t xml:space="preserve">	</w:t>
      </w:r>
      <w:r>
        <w:t xml:space="preserve">Bertaux, F., Marguerat, S. &amp; Shahrezaei, V.</w:t>
      </w:r>
      <w:r>
        <w:t xml:space="preserve"> </w:t>
      </w:r>
      <w:hyperlink r:id="rId118">
        <w:r>
          <w:rPr>
            <w:rStyle w:val="Hyperlink"/>
          </w:rPr>
          <w:t xml:space="preserve">Division rate, cell size and proteome allocation: Impact on gene expression noise and implications for the dynamics of genetic circuits</w:t>
        </w:r>
      </w:hyperlink>
      <w:r>
        <w:t xml:space="preserve">.</w:t>
      </w:r>
      <w:r>
        <w:t xml:space="preserve"> </w:t>
      </w:r>
      <w:r>
        <w:rPr>
          <w:i/>
          <w:iCs/>
        </w:rPr>
        <w:t xml:space="preserve">Royal Society Open Science</w:t>
      </w:r>
      <w:r>
        <w:t xml:space="preserve"> </w:t>
      </w:r>
      <w:r>
        <w:rPr>
          <w:b/>
          <w:bCs/>
        </w:rPr>
        <w:t xml:space="preserve">5</w:t>
      </w:r>
      <w:r>
        <w:t xml:space="preserve">, 172234 (2018).</w:t>
      </w:r>
    </w:p>
    <w:bookmarkEnd w:id="119"/>
    <w:bookmarkStart w:id="121" w:name="ref-piho2025abm"/>
    <w:p>
      <w:pPr>
        <w:pStyle w:val="Bibliography"/>
      </w:pPr>
      <w:r>
        <w:t xml:space="preserve">28.</w:t>
      </w:r>
      <w:r>
        <w:t xml:space="preserve"> </w:t>
      </w:r>
      <w:r>
        <w:t xml:space="preserve">	</w:t>
      </w:r>
      <w:r>
        <w:t xml:space="preserve">Piho, P. &amp; Thomas, P.</w:t>
      </w:r>
      <w:r>
        <w:t xml:space="preserve"> </w:t>
      </w:r>
      <w:hyperlink r:id="rId120">
        <w:r>
          <w:rPr>
            <w:rStyle w:val="Hyperlink"/>
          </w:rPr>
          <w:t xml:space="preserve">AgentBasedModeling.jl</w:t>
        </w:r>
        <w:r>
          <w:rPr>
            <w:rStyle w:val="Hyperlink"/>
          </w:rPr>
          <w:t xml:space="preserve">: A tool for stochastic simulation of structured population dynamics</w:t>
        </w:r>
      </w:hyperlink>
      <w:r>
        <w:t xml:space="preserve">.</w:t>
      </w:r>
      <w:r>
        <w:t xml:space="preserve"> </w:t>
      </w:r>
      <w:r>
        <w:rPr>
          <w:i/>
          <w:iCs/>
        </w:rPr>
        <w:t xml:space="preserve">PLoS Computational Biology</w:t>
      </w:r>
      <w:r>
        <w:t xml:space="preserve"> </w:t>
      </w:r>
      <w:r>
        <w:rPr>
          <w:b/>
          <w:bCs/>
        </w:rPr>
        <w:t xml:space="preserve">22</w:t>
      </w:r>
      <w:r>
        <w:t xml:space="preserve">, e1014366 (2026).</w:t>
      </w:r>
    </w:p>
    <w:bookmarkEnd w:id="121"/>
    <w:bookmarkStart w:id="123" w:name="ref-piho2024feedback"/>
    <w:p>
      <w:pPr>
        <w:pStyle w:val="Bibliography"/>
      </w:pPr>
      <w:r>
        <w:t xml:space="preserve">29.</w:t>
      </w:r>
      <w:r>
        <w:t xml:space="preserve"> </w:t>
      </w:r>
      <w:r>
        <w:t xml:space="preserve">	</w:t>
      </w:r>
      <w:r>
        <w:t xml:space="preserve">Piho, P. &amp; Thomas, P.</w:t>
      </w:r>
      <w:r>
        <w:t xml:space="preserve"> </w:t>
      </w:r>
      <w:hyperlink r:id="rId122">
        <w:r>
          <w:rPr>
            <w:rStyle w:val="Hyperlink"/>
          </w:rPr>
          <w:t xml:space="preserve">Feedback between stochastic gene networks and population dynamics enables cellular decision-making</w:t>
        </w:r>
      </w:hyperlink>
      <w:r>
        <w:t xml:space="preserve">.</w:t>
      </w:r>
      <w:r>
        <w:t xml:space="preserve"> </w:t>
      </w:r>
      <w:r>
        <w:rPr>
          <w:i/>
          <w:iCs/>
        </w:rPr>
        <w:t xml:space="preserve">Science Advances</w:t>
      </w:r>
      <w:r>
        <w:t xml:space="preserve"> </w:t>
      </w:r>
      <w:r>
        <w:rPr>
          <w:b/>
          <w:bCs/>
        </w:rPr>
        <w:t xml:space="preserve">10</w:t>
      </w:r>
      <w:r>
        <w:t xml:space="preserve">, eadl4895 (2024).</w:t>
      </w:r>
    </w:p>
    <w:bookmarkEnd w:id="123"/>
    <w:bookmarkStart w:id="125" w:name="ref-thomas2021"/>
    <w:p>
      <w:pPr>
        <w:pStyle w:val="Bibliography"/>
      </w:pPr>
      <w:r>
        <w:t xml:space="preserve">30.</w:t>
      </w:r>
      <w:r>
        <w:t xml:space="preserve"> </w:t>
      </w:r>
      <w:r>
        <w:t xml:space="preserve">	</w:t>
      </w:r>
      <w:r>
        <w:t xml:space="preserve">Thomas, P. &amp; Shahrezaei, V.</w:t>
      </w:r>
      <w:r>
        <w:t xml:space="preserve"> </w:t>
      </w:r>
      <w:hyperlink r:id="rId124">
        <w:r>
          <w:rPr>
            <w:rStyle w:val="Hyperlink"/>
          </w:rPr>
          <w:t xml:space="preserve">Coordination of gene expression noise with cell size: Analytical results for agent-based models of growing cell populations</w:t>
        </w:r>
      </w:hyperlink>
      <w:r>
        <w:t xml:space="preserve">.</w:t>
      </w:r>
      <w:r>
        <w:t xml:space="preserve"> </w:t>
      </w:r>
      <w:r>
        <w:rPr>
          <w:i/>
          <w:iCs/>
        </w:rPr>
        <w:t xml:space="preserve">Journal of the Royal Society Interface</w:t>
      </w:r>
      <w:r>
        <w:t xml:space="preserve"> </w:t>
      </w:r>
      <w:r>
        <w:rPr>
          <w:b/>
          <w:bCs/>
        </w:rPr>
        <w:t xml:space="preserve">18</w:t>
      </w:r>
      <w:r>
        <w:t xml:space="preserve">, 20210274 (2021).</w:t>
      </w:r>
    </w:p>
    <w:bookmarkEnd w:id="125"/>
    <w:bookmarkStart w:id="127" w:name="ref-ghaffarizadeh2018"/>
    <w:p>
      <w:pPr>
        <w:pStyle w:val="Bibliography"/>
      </w:pPr>
      <w:r>
        <w:t xml:space="preserve">31.</w:t>
      </w:r>
      <w:r>
        <w:t xml:space="preserve"> </w:t>
      </w:r>
      <w:r>
        <w:t xml:space="preserve">	</w:t>
      </w:r>
      <w:r>
        <w:t xml:space="preserve">Ghaffarizadeh, A., Heiland, R., Friedman, S. H., Mumenthaler, S. M. &amp; Macklin, P.</w:t>
      </w:r>
      <w:r>
        <w:t xml:space="preserve"> </w:t>
      </w:r>
      <w:hyperlink r:id="rId126">
        <w:r>
          <w:rPr>
            <w:rStyle w:val="Hyperlink"/>
          </w:rPr>
          <w:t xml:space="preserve">PhysiCell</w:t>
        </w:r>
        <w:r>
          <w:rPr>
            <w:rStyle w:val="Hyperlink"/>
          </w:rPr>
          <w:t xml:space="preserve">: An open source physics-based cell simulator for 3-</w:t>
        </w:r>
        <w:r>
          <w:rPr>
            <w:rStyle w:val="Hyperlink"/>
          </w:rPr>
          <w:t xml:space="preserve">D</w:t>
        </w:r>
        <w:r>
          <w:rPr>
            <w:rStyle w:val="Hyperlink"/>
          </w:rPr>
          <w:t xml:space="preserve"> </w:t>
        </w:r>
        <w:r>
          <w:rPr>
            <w:rStyle w:val="Hyperlink"/>
          </w:rPr>
          <w:t xml:space="preserve">multicellular systems</w:t>
        </w:r>
      </w:hyperlink>
      <w:r>
        <w:t xml:space="preserve">.</w:t>
      </w:r>
      <w:r>
        <w:t xml:space="preserve"> </w:t>
      </w:r>
      <w:r>
        <w:rPr>
          <w:i/>
          <w:iCs/>
        </w:rPr>
        <w:t xml:space="preserve">PLoS Computational Biology</w:t>
      </w:r>
      <w:r>
        <w:t xml:space="preserve"> </w:t>
      </w:r>
      <w:r>
        <w:rPr>
          <w:b/>
          <w:bCs/>
        </w:rPr>
        <w:t xml:space="preserve">14</w:t>
      </w:r>
      <w:r>
        <w:t xml:space="preserve">, e1005991 (2018).</w:t>
      </w:r>
    </w:p>
    <w:bookmarkEnd w:id="127"/>
    <w:bookmarkStart w:id="129" w:name="ref-poncedeleon2023"/>
    <w:p>
      <w:pPr>
        <w:pStyle w:val="Bibliography"/>
      </w:pPr>
      <w:r>
        <w:t xml:space="preserve">32.</w:t>
      </w:r>
      <w:r>
        <w:t xml:space="preserve"> </w:t>
      </w:r>
      <w:r>
        <w:t xml:space="preserve">	</w:t>
      </w:r>
      <w:r>
        <w:t xml:space="preserve">Ponce-de-Leon, M.</w:t>
      </w:r>
      <w:r>
        <w:t xml:space="preserve"> </w:t>
      </w:r>
      <w:r>
        <w:rPr>
          <w:i/>
          <w:iCs/>
        </w:rPr>
        <w:t xml:space="preserve">et al.</w:t>
      </w:r>
      <w:r>
        <w:t xml:space="preserve"> </w:t>
      </w:r>
      <w:hyperlink r:id="rId128">
        <w:r>
          <w:rPr>
            <w:rStyle w:val="Hyperlink"/>
          </w:rPr>
          <w:t xml:space="preserve">PhysiBoSS</w:t>
        </w:r>
        <w:r>
          <w:rPr>
            <w:rStyle w:val="Hyperlink"/>
          </w:rPr>
          <w:t xml:space="preserve"> </w:t>
        </w:r>
        <w:r>
          <w:rPr>
            <w:rStyle w:val="Hyperlink"/>
          </w:rPr>
          <w:t xml:space="preserve">2.0: A sustainable integration of stochastic</w:t>
        </w:r>
        <w:r>
          <w:rPr>
            <w:rStyle w:val="Hyperlink"/>
          </w:rPr>
          <w:t xml:space="preserve"> </w:t>
        </w:r>
        <w:r>
          <w:rPr>
            <w:rStyle w:val="Hyperlink"/>
          </w:rPr>
          <w:t xml:space="preserve">Boolean</w:t>
        </w:r>
        <w:r>
          <w:rPr>
            <w:rStyle w:val="Hyperlink"/>
          </w:rPr>
          <w:t xml:space="preserve"> </w:t>
        </w:r>
        <w:r>
          <w:rPr>
            <w:rStyle w:val="Hyperlink"/>
          </w:rPr>
          <w:t xml:space="preserve">and agent-based modelling frameworks</w:t>
        </w:r>
      </w:hyperlink>
      <w:r>
        <w:t xml:space="preserve">.</w:t>
      </w:r>
      <w:r>
        <w:t xml:space="preserve"> </w:t>
      </w:r>
      <w:r>
        <w:rPr>
          <w:i/>
          <w:iCs/>
        </w:rPr>
        <w:t xml:space="preserve">npj Systems Biology and Applications</w:t>
      </w:r>
      <w:r>
        <w:t xml:space="preserve"> </w:t>
      </w:r>
      <w:r>
        <w:rPr>
          <w:b/>
          <w:bCs/>
        </w:rPr>
        <w:t xml:space="preserve">9</w:t>
      </w:r>
      <w:r>
        <w:t xml:space="preserve">, 54 (2023).</w:t>
      </w:r>
    </w:p>
    <w:bookmarkEnd w:id="129"/>
    <w:bookmarkStart w:id="131" w:name="ref-lasri2022"/>
    <w:p>
      <w:pPr>
        <w:pStyle w:val="Bibliography"/>
      </w:pPr>
      <w:r>
        <w:t xml:space="preserve">33.</w:t>
      </w:r>
      <w:r>
        <w:t xml:space="preserve"> </w:t>
      </w:r>
      <w:r>
        <w:t xml:space="preserve">	</w:t>
      </w:r>
      <w:r>
        <w:t xml:space="preserve">Lasri, A., Shahrezaei, V. &amp; Sturrock, M.</w:t>
      </w:r>
      <w:r>
        <w:t xml:space="preserve"> </w:t>
      </w:r>
      <w:hyperlink r:id="rId130">
        <w:r>
          <w:rPr>
            <w:rStyle w:val="Hyperlink"/>
          </w:rPr>
          <w:t xml:space="preserve">Benchmarking imputation methods for network inference using a novel method of synthetic</w:t>
        </w:r>
        <w:r>
          <w:rPr>
            <w:rStyle w:val="Hyperlink"/>
          </w:rPr>
          <w:t xml:space="preserve"> </w:t>
        </w:r>
        <w:r>
          <w:rPr>
            <w:rStyle w:val="Hyperlink"/>
          </w:rPr>
          <w:t xml:space="preserve">scRNA-seq</w:t>
        </w:r>
        <w:r>
          <w:rPr>
            <w:rStyle w:val="Hyperlink"/>
          </w:rPr>
          <w:t xml:space="preserve"> </w:t>
        </w:r>
        <w:r>
          <w:rPr>
            <w:rStyle w:val="Hyperlink"/>
          </w:rPr>
          <w:t xml:space="preserve">data generation</w:t>
        </w:r>
      </w:hyperlink>
      <w:r>
        <w:t xml:space="preserve">.</w:t>
      </w:r>
      <w:r>
        <w:t xml:space="preserve"> </w:t>
      </w:r>
      <w:r>
        <w:rPr>
          <w:i/>
          <w:iCs/>
        </w:rPr>
        <w:t xml:space="preserve">BMC Bioinformatics</w:t>
      </w:r>
      <w:r>
        <w:t xml:space="preserve"> </w:t>
      </w:r>
      <w:r>
        <w:rPr>
          <w:b/>
          <w:bCs/>
        </w:rPr>
        <w:t xml:space="preserve">23</w:t>
      </w:r>
      <w:r>
        <w:t xml:space="preserve">, 236 (2022).</w:t>
      </w:r>
    </w:p>
    <w:bookmarkEnd w:id="131"/>
    <w:bookmarkStart w:id="133" w:name="ref-peccoud1995"/>
    <w:p>
      <w:pPr>
        <w:pStyle w:val="Bibliography"/>
      </w:pPr>
      <w:r>
        <w:t xml:space="preserve">34.</w:t>
      </w:r>
      <w:r>
        <w:t xml:space="preserve"> </w:t>
      </w:r>
      <w:r>
        <w:t xml:space="preserve">	</w:t>
      </w:r>
      <w:r>
        <w:t xml:space="preserve">Peccoud, J. &amp; Ycart, B.</w:t>
      </w:r>
      <w:r>
        <w:t xml:space="preserve"> </w:t>
      </w:r>
      <w:hyperlink r:id="rId132">
        <w:r>
          <w:rPr>
            <w:rStyle w:val="Hyperlink"/>
          </w:rPr>
          <w:t xml:space="preserve">Markovian modeling of gene-product synthesis</w:t>
        </w:r>
      </w:hyperlink>
      <w:r>
        <w:t xml:space="preserve">.</w:t>
      </w:r>
      <w:r>
        <w:t xml:space="preserve"> </w:t>
      </w:r>
      <w:r>
        <w:rPr>
          <w:i/>
          <w:iCs/>
        </w:rPr>
        <w:t xml:space="preserve">Theoretical Population Biology</w:t>
      </w:r>
      <w:r>
        <w:t xml:space="preserve"> </w:t>
      </w:r>
      <w:r>
        <w:rPr>
          <w:b/>
          <w:bCs/>
        </w:rPr>
        <w:t xml:space="preserve">48</w:t>
      </w:r>
      <w:r>
        <w:t xml:space="preserve">, 222–234 (1995).</w:t>
      </w:r>
    </w:p>
    <w:bookmarkEnd w:id="133"/>
    <w:bookmarkStart w:id="135" w:name="ref-beentjes2020"/>
    <w:p>
      <w:pPr>
        <w:pStyle w:val="Bibliography"/>
      </w:pPr>
      <w:r>
        <w:t xml:space="preserve">35.</w:t>
      </w:r>
      <w:r>
        <w:t xml:space="preserve"> </w:t>
      </w:r>
      <w:r>
        <w:t xml:space="preserve">	</w:t>
      </w:r>
      <w:r>
        <w:t xml:space="preserve">Beentjes, C. H. L., Perez-Carrasco, R. &amp; Grima, R.</w:t>
      </w:r>
      <w:r>
        <w:t xml:space="preserve"> </w:t>
      </w:r>
      <w:hyperlink r:id="rId134">
        <w:r>
          <w:rPr>
            <w:rStyle w:val="Hyperlink"/>
          </w:rPr>
          <w:t xml:space="preserve">Exact solution of stochastic gene expression models with bursting, cell cycle and replication dynamics</w:t>
        </w:r>
      </w:hyperlink>
      <w:r>
        <w:t xml:space="preserve">.</w:t>
      </w:r>
      <w:r>
        <w:t xml:space="preserve"> </w:t>
      </w:r>
      <w:r>
        <w:rPr>
          <w:i/>
          <w:iCs/>
        </w:rPr>
        <w:t xml:space="preserve">Physical Review E</w:t>
      </w:r>
      <w:r>
        <w:t xml:space="preserve"> </w:t>
      </w:r>
      <w:r>
        <w:rPr>
          <w:b/>
          <w:bCs/>
        </w:rPr>
        <w:t xml:space="preserve">101</w:t>
      </w:r>
      <w:r>
        <w:t xml:space="preserve">, 032403 (2020).</w:t>
      </w:r>
    </w:p>
    <w:bookmarkEnd w:id="135"/>
    <w:bookmarkStart w:id="137" w:name="ref-jia2023"/>
    <w:p>
      <w:pPr>
        <w:pStyle w:val="Bibliography"/>
      </w:pPr>
      <w:r>
        <w:t xml:space="preserve">36.</w:t>
      </w:r>
      <w:r>
        <w:t xml:space="preserve"> </w:t>
      </w:r>
      <w:r>
        <w:t xml:space="preserve">	</w:t>
      </w:r>
      <w:r>
        <w:t xml:space="preserve">Jia, C. &amp; Grima, R.</w:t>
      </w:r>
      <w:r>
        <w:t xml:space="preserve"> </w:t>
      </w:r>
      <w:hyperlink r:id="rId136">
        <w:r>
          <w:rPr>
            <w:rStyle w:val="Hyperlink"/>
          </w:rPr>
          <w:t xml:space="preserve">Coupling gene expression dynamics to cell size dynamics and cell cycle events: Exact and approximate solutions of the extended telegraph model</w:t>
        </w:r>
      </w:hyperlink>
      <w:r>
        <w:t xml:space="preserve">.</w:t>
      </w:r>
      <w:r>
        <w:t xml:space="preserve"> </w:t>
      </w:r>
      <w:r>
        <w:rPr>
          <w:i/>
          <w:iCs/>
        </w:rPr>
        <w:t xml:space="preserve">iScience</w:t>
      </w:r>
      <w:r>
        <w:t xml:space="preserve"> </w:t>
      </w:r>
      <w:r>
        <w:rPr>
          <w:b/>
          <w:bCs/>
        </w:rPr>
        <w:t xml:space="preserve">26</w:t>
      </w:r>
      <w:r>
        <w:t xml:space="preserve">, 105746 (2023).</w:t>
      </w:r>
    </w:p>
    <w:bookmarkEnd w:id="137"/>
    <w:bookmarkStart w:id="139" w:name="ref-thomas2017"/>
    <w:p>
      <w:pPr>
        <w:pStyle w:val="Bibliography"/>
      </w:pPr>
      <w:r>
        <w:t xml:space="preserve">37.</w:t>
      </w:r>
      <w:r>
        <w:t xml:space="preserve"> </w:t>
      </w:r>
      <w:r>
        <w:t xml:space="preserve">	</w:t>
      </w:r>
      <w:r>
        <w:t xml:space="preserve">Thomas, P.</w:t>
      </w:r>
      <w:r>
        <w:t xml:space="preserve"> </w:t>
      </w:r>
      <w:hyperlink r:id="rId138">
        <w:r>
          <w:rPr>
            <w:rStyle w:val="Hyperlink"/>
          </w:rPr>
          <w:t xml:space="preserve">Making sense of snapshot data: Ergodic principle for clonal cell populations</w:t>
        </w:r>
      </w:hyperlink>
      <w:r>
        <w:t xml:space="preserve">.</w:t>
      </w:r>
      <w:r>
        <w:t xml:space="preserve"> </w:t>
      </w:r>
      <w:r>
        <w:rPr>
          <w:i/>
          <w:iCs/>
        </w:rPr>
        <w:t xml:space="preserve">Journal of the Royal Society Interface</w:t>
      </w:r>
      <w:r>
        <w:t xml:space="preserve"> </w:t>
      </w:r>
      <w:r>
        <w:rPr>
          <w:b/>
          <w:bCs/>
        </w:rPr>
        <w:t xml:space="preserve">14</w:t>
      </w:r>
      <w:r>
        <w:t xml:space="preserve">, 20170467 (2017).</w:t>
      </w:r>
    </w:p>
    <w:bookmarkEnd w:id="139"/>
    <w:bookmarkStart w:id="141" w:name="ref-emert2021"/>
    <w:p>
      <w:pPr>
        <w:pStyle w:val="Bibliography"/>
      </w:pPr>
      <w:r>
        <w:t xml:space="preserve">38.</w:t>
      </w:r>
      <w:r>
        <w:t xml:space="preserve"> </w:t>
      </w:r>
      <w:r>
        <w:t xml:space="preserve">	</w:t>
      </w:r>
      <w:r>
        <w:t xml:space="preserve">Emert, B. L.</w:t>
      </w:r>
      <w:r>
        <w:t xml:space="preserve"> </w:t>
      </w:r>
      <w:r>
        <w:rPr>
          <w:i/>
          <w:iCs/>
        </w:rPr>
        <w:t xml:space="preserve">et al.</w:t>
      </w:r>
      <w:r>
        <w:t xml:space="preserve"> </w:t>
      </w:r>
      <w:hyperlink r:id="rId140">
        <w:r>
          <w:rPr>
            <w:rStyle w:val="Hyperlink"/>
          </w:rPr>
          <w:t xml:space="preserve">Variability within rare cell states enables multiple paths toward drug resistance</w:t>
        </w:r>
      </w:hyperlink>
      <w:r>
        <w:t xml:space="preserve">.</w:t>
      </w:r>
      <w:r>
        <w:t xml:space="preserve"> </w:t>
      </w:r>
      <w:r>
        <w:rPr>
          <w:i/>
          <w:iCs/>
        </w:rPr>
        <w:t xml:space="preserve">Nature Biotechnology</w:t>
      </w:r>
      <w:r>
        <w:t xml:space="preserve"> </w:t>
      </w:r>
      <w:r>
        <w:rPr>
          <w:b/>
          <w:bCs/>
        </w:rPr>
        <w:t xml:space="preserve">39</w:t>
      </w:r>
      <w:r>
        <w:t xml:space="preserve">, 865–876 (2021).</w:t>
      </w:r>
    </w:p>
    <w:bookmarkEnd w:id="141"/>
    <w:bookmarkStart w:id="143" w:name="ref-torre2021"/>
    <w:p>
      <w:pPr>
        <w:pStyle w:val="Bibliography"/>
      </w:pPr>
      <w:r>
        <w:t xml:space="preserve">39.</w:t>
      </w:r>
      <w:r>
        <w:t xml:space="preserve"> </w:t>
      </w:r>
      <w:r>
        <w:t xml:space="preserve">	</w:t>
      </w:r>
      <w:r>
        <w:t xml:space="preserve">Torre, E. A.</w:t>
      </w:r>
      <w:r>
        <w:t xml:space="preserve"> </w:t>
      </w:r>
      <w:r>
        <w:rPr>
          <w:i/>
          <w:iCs/>
        </w:rPr>
        <w:t xml:space="preserve">et al.</w:t>
      </w:r>
      <w:r>
        <w:t xml:space="preserve"> </w:t>
      </w:r>
      <w:hyperlink r:id="rId142">
        <w:r>
          <w:rPr>
            <w:rStyle w:val="Hyperlink"/>
          </w:rPr>
          <w:t xml:space="preserve">Genetic screening for single-cell variability modulators driving therapy resistance</w:t>
        </w:r>
      </w:hyperlink>
      <w:r>
        <w:t xml:space="preserve">.</w:t>
      </w:r>
      <w:r>
        <w:t xml:space="preserve"> </w:t>
      </w:r>
      <w:r>
        <w:rPr>
          <w:i/>
          <w:iCs/>
        </w:rPr>
        <w:t xml:space="preserve">Nature Genetics</w:t>
      </w:r>
      <w:r>
        <w:t xml:space="preserve"> </w:t>
      </w:r>
      <w:r>
        <w:rPr>
          <w:b/>
          <w:bCs/>
        </w:rPr>
        <w:t xml:space="preserve">53</w:t>
      </w:r>
      <w:r>
        <w:t xml:space="preserve">, 76–85 (2021).</w:t>
      </w:r>
    </w:p>
    <w:bookmarkEnd w:id="143"/>
    <w:bookmarkStart w:id="145" w:name="ref-gunnarsson2020"/>
    <w:p>
      <w:pPr>
        <w:pStyle w:val="Bibliography"/>
      </w:pPr>
      <w:r>
        <w:t xml:space="preserve">40.</w:t>
      </w:r>
      <w:r>
        <w:t xml:space="preserve"> </w:t>
      </w:r>
      <w:r>
        <w:t xml:space="preserve">	</w:t>
      </w:r>
      <w:r>
        <w:t xml:space="preserve">Gunnarsson, E. B., De, S., Leder, K. &amp; Foo, J.</w:t>
      </w:r>
      <w:r>
        <w:t xml:space="preserve"> </w:t>
      </w:r>
      <w:hyperlink r:id="rId144">
        <w:r>
          <w:rPr>
            <w:rStyle w:val="Hyperlink"/>
          </w:rPr>
          <w:t xml:space="preserve">Understanding the role of phenotypic switching in cancer drug resistance</w:t>
        </w:r>
      </w:hyperlink>
      <w:r>
        <w:t xml:space="preserve">.</w:t>
      </w:r>
      <w:r>
        <w:t xml:space="preserve"> </w:t>
      </w:r>
      <w:r>
        <w:rPr>
          <w:i/>
          <w:iCs/>
        </w:rPr>
        <w:t xml:space="preserve">Journal of Theoretical Biology</w:t>
      </w:r>
      <w:r>
        <w:t xml:space="preserve"> </w:t>
      </w:r>
      <w:r>
        <w:rPr>
          <w:b/>
          <w:bCs/>
        </w:rPr>
        <w:t xml:space="preserve">490</w:t>
      </w:r>
      <w:r>
        <w:t xml:space="preserve">, 110162 (2020).</w:t>
      </w:r>
    </w:p>
    <w:bookmarkEnd w:id="145"/>
    <w:bookmarkStart w:id="147" w:name="ref-lasri2020"/>
    <w:p>
      <w:pPr>
        <w:pStyle w:val="Bibliography"/>
      </w:pPr>
      <w:r>
        <w:t xml:space="preserve">41.</w:t>
      </w:r>
      <w:r>
        <w:t xml:space="preserve"> </w:t>
      </w:r>
      <w:r>
        <w:t xml:space="preserve">	</w:t>
      </w:r>
      <w:r>
        <w:t xml:space="preserve">Lasri, A.</w:t>
      </w:r>
      <w:r>
        <w:t xml:space="preserve"> </w:t>
      </w:r>
      <w:r>
        <w:rPr>
          <w:i/>
          <w:iCs/>
        </w:rPr>
        <w:t xml:space="preserve">et al.</w:t>
      </w:r>
      <w:r>
        <w:t xml:space="preserve"> </w:t>
      </w:r>
      <w:hyperlink r:id="rId146">
        <w:r>
          <w:rPr>
            <w:rStyle w:val="Hyperlink"/>
          </w:rPr>
          <w:t xml:space="preserve">Phenotypic selection through cell death: Stochastic modelling of</w:t>
        </w:r>
        <w:r>
          <w:rPr>
            <w:rStyle w:val="Hyperlink"/>
          </w:rPr>
          <w:t xml:space="preserve"> </w:t>
        </w:r>
        <w:r>
          <w:rPr>
            <w:rStyle w:val="Hyperlink"/>
          </w:rPr>
          <w:t xml:space="preserve">O</w:t>
        </w:r>
        <w:r>
          <w:rPr>
            <w:rStyle w:val="Hyperlink"/>
          </w:rPr>
          <w:t xml:space="preserve">-6-methylguanine-</w:t>
        </w:r>
        <w:r>
          <w:rPr>
            <w:rStyle w:val="Hyperlink"/>
          </w:rPr>
          <w:t xml:space="preserve">DNA</w:t>
        </w:r>
        <w:r>
          <w:rPr>
            <w:rStyle w:val="Hyperlink"/>
          </w:rPr>
          <w:t xml:space="preserve"> </w:t>
        </w:r>
        <w:r>
          <w:rPr>
            <w:rStyle w:val="Hyperlink"/>
          </w:rPr>
          <w:t xml:space="preserve">methyltransferase dynamics</w:t>
        </w:r>
      </w:hyperlink>
      <w:r>
        <w:t xml:space="preserve">.</w:t>
      </w:r>
      <w:r>
        <w:t xml:space="preserve"> </w:t>
      </w:r>
      <w:r>
        <w:rPr>
          <w:i/>
          <w:iCs/>
        </w:rPr>
        <w:t xml:space="preserve">Royal Society Open Science</w:t>
      </w:r>
      <w:r>
        <w:t xml:space="preserve"> </w:t>
      </w:r>
      <w:r>
        <w:rPr>
          <w:b/>
          <w:bCs/>
        </w:rPr>
        <w:t xml:space="preserve">7</w:t>
      </w:r>
      <w:r>
        <w:t xml:space="preserve">, 191243 (2020).</w:t>
      </w:r>
    </w:p>
    <w:bookmarkEnd w:id="147"/>
    <w:bookmarkStart w:id="149" w:name="ref-corigliano2025"/>
    <w:p>
      <w:pPr>
        <w:pStyle w:val="Bibliography"/>
      </w:pPr>
      <w:r>
        <w:t xml:space="preserve">42.</w:t>
      </w:r>
      <w:r>
        <w:t xml:space="preserve"> </w:t>
      </w:r>
      <w:r>
        <w:t xml:space="preserve">	</w:t>
      </w:r>
      <w:r>
        <w:t xml:space="preserve">Corigliano, M., Di Bernardo, A., Cosentino Lagomarsino, M. &amp; Pompei, S. Optimal treatment for drug-induced cancer persisters involves release periods and intermediate drug doses.</w:t>
      </w:r>
      <w:r>
        <w:t xml:space="preserve"> </w:t>
      </w:r>
      <w:r>
        <w:rPr>
          <w:i/>
          <w:iCs/>
        </w:rPr>
        <w:t xml:space="preserve">PRX Life</w:t>
      </w:r>
      <w:r>
        <w:t xml:space="preserve"> </w:t>
      </w:r>
      <w:hyperlink r:id="rId148">
        <w:r>
          <w:rPr>
            <w:rStyle w:val="Hyperlink"/>
          </w:rPr>
          <w:t xml:space="preserve">https://doi.org/10.1103/mh5v-lcyw</w:t>
        </w:r>
      </w:hyperlink>
      <w:r>
        <w:t xml:space="preserve"> </w:t>
      </w:r>
      <w:r>
        <w:t xml:space="preserve">(2025) doi:</w:t>
      </w:r>
      <w:hyperlink r:id="rId148">
        <w:r>
          <w:rPr>
            <w:rStyle w:val="Hyperlink"/>
          </w:rPr>
          <w:t xml:space="preserve">10.1103/mh5v-lcyw</w:t>
        </w:r>
      </w:hyperlink>
      <w:r>
        <w:t xml:space="preserve">.</w:t>
      </w:r>
    </w:p>
    <w:bookmarkEnd w:id="149"/>
    <w:bookmarkStart w:id="151" w:name="ref-bernton2019"/>
    <w:p>
      <w:pPr>
        <w:pStyle w:val="Bibliography"/>
      </w:pPr>
      <w:r>
        <w:t xml:space="preserve">43.</w:t>
      </w:r>
      <w:r>
        <w:t xml:space="preserve"> </w:t>
      </w:r>
      <w:r>
        <w:t xml:space="preserve">	</w:t>
      </w:r>
      <w:r>
        <w:t xml:space="preserve">Bernton, E., Jacob, P. E., Gerber, M. &amp; Robert, C. P.</w:t>
      </w:r>
      <w:r>
        <w:t xml:space="preserve"> </w:t>
      </w:r>
      <w:hyperlink r:id="rId150">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with the</w:t>
        </w:r>
        <w:r>
          <w:rPr>
            <w:rStyle w:val="Hyperlink"/>
          </w:rPr>
          <w:t xml:space="preserve"> </w:t>
        </w:r>
        <w:r>
          <w:rPr>
            <w:rStyle w:val="Hyperlink"/>
          </w:rPr>
          <w:t xml:space="preserve">Wasserstein</w:t>
        </w:r>
        <w:r>
          <w:rPr>
            <w:rStyle w:val="Hyperlink"/>
          </w:rPr>
          <w:t xml:space="preserve"> </w:t>
        </w:r>
        <w:r>
          <w:rPr>
            <w:rStyle w:val="Hyperlink"/>
          </w:rPr>
          <w:t xml:space="preserve">distance</w:t>
        </w:r>
      </w:hyperlink>
      <w:r>
        <w:t xml:space="preserve">.</w:t>
      </w:r>
      <w:r>
        <w:t xml:space="preserve"> </w:t>
      </w:r>
      <w:r>
        <w:rPr>
          <w:i/>
          <w:iCs/>
        </w:rPr>
        <w:t xml:space="preserve">Journal of the Royal Statistical Society: Series B</w:t>
      </w:r>
      <w:r>
        <w:t xml:space="preserve"> </w:t>
      </w:r>
      <w:r>
        <w:rPr>
          <w:b/>
          <w:bCs/>
        </w:rPr>
        <w:t xml:space="preserve">81</w:t>
      </w:r>
      <w:r>
        <w:t xml:space="preserve">, 235–269 (2019).</w:t>
      </w:r>
    </w:p>
    <w:bookmarkEnd w:id="151"/>
    <w:bookmarkStart w:id="153" w:name="ref-sandler2015"/>
    <w:p>
      <w:pPr>
        <w:pStyle w:val="Bibliography"/>
      </w:pPr>
      <w:r>
        <w:t xml:space="preserve">44.</w:t>
      </w:r>
      <w:r>
        <w:t xml:space="preserve"> </w:t>
      </w:r>
      <w:r>
        <w:t xml:space="preserve">	</w:t>
      </w:r>
      <w:r>
        <w:t xml:space="preserve">Sandler, O.</w:t>
      </w:r>
      <w:r>
        <w:t xml:space="preserve"> </w:t>
      </w:r>
      <w:r>
        <w:rPr>
          <w:i/>
          <w:iCs/>
        </w:rPr>
        <w:t xml:space="preserve">et al.</w:t>
      </w:r>
      <w:r>
        <w:t xml:space="preserve"> </w:t>
      </w:r>
      <w:hyperlink r:id="rId152">
        <w:r>
          <w:rPr>
            <w:rStyle w:val="Hyperlink"/>
          </w:rPr>
          <w:t xml:space="preserve">Lineage correlations of single cell division time as a probe of cell-cycle dynamics</w:t>
        </w:r>
      </w:hyperlink>
      <w:r>
        <w:t xml:space="preserve">.</w:t>
      </w:r>
      <w:r>
        <w:t xml:space="preserve"> </w:t>
      </w:r>
      <w:r>
        <w:rPr>
          <w:i/>
          <w:iCs/>
        </w:rPr>
        <w:t xml:space="preserve">Nature</w:t>
      </w:r>
      <w:r>
        <w:t xml:space="preserve"> </w:t>
      </w:r>
      <w:r>
        <w:rPr>
          <w:b/>
          <w:bCs/>
        </w:rPr>
        <w:t xml:space="preserve">519</w:t>
      </w:r>
      <w:r>
        <w:t xml:space="preserve">, 468–471 (2015).</w:t>
      </w:r>
    </w:p>
    <w:bookmarkEnd w:id="153"/>
    <w:bookmarkStart w:id="155" w:name="ref-kuchen2020"/>
    <w:p>
      <w:pPr>
        <w:pStyle w:val="Bibliography"/>
      </w:pPr>
      <w:r>
        <w:t xml:space="preserve">45.</w:t>
      </w:r>
      <w:r>
        <w:t xml:space="preserve"> </w:t>
      </w:r>
      <w:r>
        <w:t xml:space="preserve">	</w:t>
      </w:r>
      <w:r>
        <w:t xml:space="preserve">Kuchen, E. E., Becker, N. B., Claudino, N. &amp; Höfer, T.</w:t>
      </w:r>
      <w:r>
        <w:t xml:space="preserve"> </w:t>
      </w:r>
      <w:hyperlink r:id="rId154">
        <w:r>
          <w:rPr>
            <w:rStyle w:val="Hyperlink"/>
          </w:rPr>
          <w:t xml:space="preserve">Hidden long-range memories of growth and cycle speed correlate cell cycles in lineage trees</w:t>
        </w:r>
      </w:hyperlink>
      <w:r>
        <w:t xml:space="preserve">.</w:t>
      </w:r>
      <w:r>
        <w:t xml:space="preserve"> </w:t>
      </w:r>
      <w:r>
        <w:rPr>
          <w:i/>
          <w:iCs/>
        </w:rPr>
        <w:t xml:space="preserve">eLife</w:t>
      </w:r>
      <w:r>
        <w:t xml:space="preserve"> </w:t>
      </w:r>
      <w:r>
        <w:rPr>
          <w:b/>
          <w:bCs/>
        </w:rPr>
        <w:t xml:space="preserve">9</w:t>
      </w:r>
      <w:r>
        <w:t xml:space="preserve">, e51002 (2020).</w:t>
      </w:r>
    </w:p>
    <w:bookmarkEnd w:id="155"/>
    <w:bookmarkStart w:id="157" w:name="ref-chakrabarti2018"/>
    <w:p>
      <w:pPr>
        <w:pStyle w:val="Bibliography"/>
      </w:pPr>
      <w:r>
        <w:t xml:space="preserve">46.</w:t>
      </w:r>
      <w:r>
        <w:t xml:space="preserve"> </w:t>
      </w:r>
      <w:r>
        <w:t xml:space="preserve">	</w:t>
      </w:r>
      <w:r>
        <w:t xml:space="preserve">Chakrabarti, S.</w:t>
      </w:r>
      <w:r>
        <w:t xml:space="preserve"> </w:t>
      </w:r>
      <w:r>
        <w:rPr>
          <w:i/>
          <w:iCs/>
        </w:rPr>
        <w:t xml:space="preserve">et al.</w:t>
      </w:r>
      <w:r>
        <w:t xml:space="preserve"> </w:t>
      </w:r>
      <w:hyperlink r:id="rId156">
        <w:r>
          <w:rPr>
            <w:rStyle w:val="Hyperlink"/>
          </w:rPr>
          <w:t xml:space="preserve">Hidden heterogeneity and circadian-controlled cell fate inferred from single cell lineages</w:t>
        </w:r>
      </w:hyperlink>
      <w:r>
        <w:t xml:space="preserve">.</w:t>
      </w:r>
      <w:r>
        <w:t xml:space="preserve"> </w:t>
      </w:r>
      <w:r>
        <w:rPr>
          <w:i/>
          <w:iCs/>
        </w:rPr>
        <w:t xml:space="preserve">Nature Communications</w:t>
      </w:r>
      <w:r>
        <w:t xml:space="preserve"> </w:t>
      </w:r>
      <w:r>
        <w:rPr>
          <w:b/>
          <w:bCs/>
        </w:rPr>
        <w:t xml:space="preserve">9</w:t>
      </w:r>
      <w:r>
        <w:t xml:space="preserve">, 5372 (2018).</w:t>
      </w:r>
    </w:p>
    <w:bookmarkEnd w:id="157"/>
    <w:bookmarkStart w:id="159" w:name="ref-algazi2020"/>
    <w:p>
      <w:pPr>
        <w:pStyle w:val="Bibliography"/>
      </w:pPr>
      <w:r>
        <w:t xml:space="preserve">47.</w:t>
      </w:r>
      <w:r>
        <w:t xml:space="preserve"> </w:t>
      </w:r>
      <w:r>
        <w:t xml:space="preserve">	</w:t>
      </w:r>
      <w:r>
        <w:t xml:space="preserve">Algazi, A. P.</w:t>
      </w:r>
      <w:r>
        <w:t xml:space="preserve"> </w:t>
      </w:r>
      <w:r>
        <w:rPr>
          <w:i/>
          <w:iCs/>
        </w:rPr>
        <w:t xml:space="preserve">et al.</w:t>
      </w:r>
      <w:r>
        <w:t xml:space="preserve"> </w:t>
      </w:r>
      <w:hyperlink r:id="rId158">
        <w:r>
          <w:rPr>
            <w:rStyle w:val="Hyperlink"/>
          </w:rPr>
          <w:t xml:space="preserve">Continuous versus intermittent</w:t>
        </w:r>
        <w:r>
          <w:rPr>
            <w:rStyle w:val="Hyperlink"/>
          </w:rPr>
          <w:t xml:space="preserve"> </w:t>
        </w:r>
        <w:r>
          <w:rPr>
            <w:rStyle w:val="Hyperlink"/>
          </w:rPr>
          <w:t xml:space="preserve">BRAF</w:t>
        </w:r>
        <w:r>
          <w:rPr>
            <w:rStyle w:val="Hyperlink"/>
          </w:rPr>
          <w:t xml:space="preserve"> </w:t>
        </w:r>
        <w:r>
          <w:rPr>
            <w:rStyle w:val="Hyperlink"/>
          </w:rPr>
          <w:t xml:space="preserve">and</w:t>
        </w:r>
        <w:r>
          <w:rPr>
            <w:rStyle w:val="Hyperlink"/>
          </w:rPr>
          <w:t xml:space="preserve"> </w:t>
        </w:r>
        <w:r>
          <w:rPr>
            <w:rStyle w:val="Hyperlink"/>
          </w:rPr>
          <w:t xml:space="preserve">MEK</w:t>
        </w:r>
        <w:r>
          <w:rPr>
            <w:rStyle w:val="Hyperlink"/>
          </w:rPr>
          <w:t xml:space="preserve"> </w:t>
        </w:r>
        <w:r>
          <w:rPr>
            <w:rStyle w:val="Hyperlink"/>
          </w:rPr>
          <w:t xml:space="preserve">inhibition in patients with</w:t>
        </w:r>
        <w:r>
          <w:rPr>
            <w:rStyle w:val="Hyperlink"/>
          </w:rPr>
          <w:t xml:space="preserve"> </w:t>
        </w:r>
        <w:r>
          <w:rPr>
            <w:rStyle w:val="Hyperlink"/>
          </w:rPr>
          <w:t xml:space="preserve">BRAF</w:t>
        </w:r>
        <w:r>
          <w:rPr>
            <w:rStyle w:val="Hyperlink"/>
          </w:rPr>
          <w:t xml:space="preserve">-mutated melanoma: A randomized phase 2 trial</w:t>
        </w:r>
      </w:hyperlink>
      <w:r>
        <w:t xml:space="preserve">.</w:t>
      </w:r>
      <w:r>
        <w:t xml:space="preserve"> </w:t>
      </w:r>
      <w:r>
        <w:rPr>
          <w:i/>
          <w:iCs/>
        </w:rPr>
        <w:t xml:space="preserve">Nature Medicine</w:t>
      </w:r>
      <w:r>
        <w:t xml:space="preserve"> </w:t>
      </w:r>
      <w:r>
        <w:rPr>
          <w:b/>
          <w:bCs/>
        </w:rPr>
        <w:t xml:space="preserve">26</w:t>
      </w:r>
      <w:r>
        <w:t xml:space="preserve">, 1564–1568 (2020).</w:t>
      </w:r>
    </w:p>
    <w:bookmarkEnd w:id="159"/>
    <w:bookmarkStart w:id="161" w:name="ref-zhang2017adaptive"/>
    <w:p>
      <w:pPr>
        <w:pStyle w:val="Bibliography"/>
      </w:pPr>
      <w:r>
        <w:t xml:space="preserve">48.</w:t>
      </w:r>
      <w:r>
        <w:t xml:space="preserve"> </w:t>
      </w:r>
      <w:r>
        <w:t xml:space="preserve">	</w:t>
      </w:r>
      <w:r>
        <w:t xml:space="preserve">Zhang, J., Cunningham, J. J., Brown, J. S. &amp; Gatenby, R. A.</w:t>
      </w:r>
      <w:r>
        <w:t xml:space="preserve"> </w:t>
      </w:r>
      <w:hyperlink r:id="rId160">
        <w:r>
          <w:rPr>
            <w:rStyle w:val="Hyperlink"/>
          </w:rPr>
          <w:t xml:space="preserve">Integrating evolutionary dynamics into treatment of metastatic castrate-resistant prostate cancer</w:t>
        </w:r>
      </w:hyperlink>
      <w:r>
        <w:t xml:space="preserve">.</w:t>
      </w:r>
      <w:r>
        <w:t xml:space="preserve"> </w:t>
      </w:r>
      <w:r>
        <w:rPr>
          <w:i/>
          <w:iCs/>
        </w:rPr>
        <w:t xml:space="preserve">Nature Communications</w:t>
      </w:r>
      <w:r>
        <w:t xml:space="preserve"> </w:t>
      </w:r>
      <w:r>
        <w:rPr>
          <w:b/>
          <w:bCs/>
        </w:rPr>
        <w:t xml:space="preserve">8</w:t>
      </w:r>
      <w:r>
        <w:t xml:space="preserve">, 1816 (2017).</w:t>
      </w:r>
    </w:p>
    <w:bookmarkEnd w:id="161"/>
    <w:bookmarkStart w:id="163" w:name="ref-dasthakur2013"/>
    <w:p>
      <w:pPr>
        <w:pStyle w:val="Bibliography"/>
      </w:pPr>
      <w:r>
        <w:t xml:space="preserve">49.</w:t>
      </w:r>
      <w:r>
        <w:t xml:space="preserve"> </w:t>
      </w:r>
      <w:r>
        <w:t xml:space="preserve">	</w:t>
      </w:r>
      <w:r>
        <w:t xml:space="preserve">Das Thakur, M.</w:t>
      </w:r>
      <w:r>
        <w:t xml:space="preserve"> </w:t>
      </w:r>
      <w:r>
        <w:rPr>
          <w:i/>
          <w:iCs/>
        </w:rPr>
        <w:t xml:space="preserve">et al.</w:t>
      </w:r>
      <w:r>
        <w:t xml:space="preserve"> </w:t>
      </w:r>
      <w:hyperlink r:id="rId162">
        <w:r>
          <w:rPr>
            <w:rStyle w:val="Hyperlink"/>
          </w:rPr>
          <w:t xml:space="preserve">Modelling vemurafenib resistance in melanoma reveals a strategy to forestall drug resistance</w:t>
        </w:r>
      </w:hyperlink>
      <w:r>
        <w:t xml:space="preserve">.</w:t>
      </w:r>
      <w:r>
        <w:t xml:space="preserve"> </w:t>
      </w:r>
      <w:r>
        <w:rPr>
          <w:i/>
          <w:iCs/>
        </w:rPr>
        <w:t xml:space="preserve">Nature</w:t>
      </w:r>
      <w:r>
        <w:t xml:space="preserve"> </w:t>
      </w:r>
      <w:r>
        <w:rPr>
          <w:b/>
          <w:bCs/>
        </w:rPr>
        <w:t xml:space="preserve">494</w:t>
      </w:r>
      <w:r>
        <w:t xml:space="preserve">, 251–255 (2013).</w:t>
      </w:r>
    </w:p>
    <w:bookmarkEnd w:id="163"/>
    <w:bookmarkStart w:id="165" w:name="ref-strobl2021"/>
    <w:p>
      <w:pPr>
        <w:pStyle w:val="Bibliography"/>
      </w:pPr>
      <w:r>
        <w:t xml:space="preserve">50.</w:t>
      </w:r>
      <w:r>
        <w:t xml:space="preserve"> </w:t>
      </w:r>
      <w:r>
        <w:t xml:space="preserve">	</w:t>
      </w:r>
      <w:r>
        <w:t xml:space="preserve">Strobl, M. A. R.</w:t>
      </w:r>
      <w:r>
        <w:t xml:space="preserve"> </w:t>
      </w:r>
      <w:r>
        <w:rPr>
          <w:i/>
          <w:iCs/>
        </w:rPr>
        <w:t xml:space="preserve">et al.</w:t>
      </w:r>
      <w:r>
        <w:t xml:space="preserve"> </w:t>
      </w:r>
      <w:hyperlink r:id="rId164">
        <w:r>
          <w:rPr>
            <w:rStyle w:val="Hyperlink"/>
          </w:rPr>
          <w:t xml:space="preserve">Turnover modulates the need for a cost of resistance in adaptive therapy</w:t>
        </w:r>
      </w:hyperlink>
      <w:r>
        <w:t xml:space="preserve">.</w:t>
      </w:r>
      <w:r>
        <w:t xml:space="preserve"> </w:t>
      </w:r>
      <w:r>
        <w:rPr>
          <w:i/>
          <w:iCs/>
        </w:rPr>
        <w:t xml:space="preserve">Cancer Research</w:t>
      </w:r>
      <w:r>
        <w:t xml:space="preserve"> </w:t>
      </w:r>
      <w:r>
        <w:rPr>
          <w:b/>
          <w:bCs/>
        </w:rPr>
        <w:t xml:space="preserve">81</w:t>
      </w:r>
      <w:r>
        <w:t xml:space="preserve">, 1135–1147 (2021).</w:t>
      </w:r>
    </w:p>
    <w:bookmarkEnd w:id="165"/>
    <w:bookmarkStart w:id="167" w:name="ref-gilbert2013"/>
    <w:p>
      <w:pPr>
        <w:pStyle w:val="Bibliography"/>
      </w:pPr>
      <w:r>
        <w:t xml:space="preserve">51.</w:t>
      </w:r>
      <w:r>
        <w:t xml:space="preserve"> </w:t>
      </w:r>
      <w:r>
        <w:t xml:space="preserve">	</w:t>
      </w:r>
      <w:r>
        <w:t xml:space="preserve">Gilbert, M. R.</w:t>
      </w:r>
      <w:r>
        <w:t xml:space="preserve"> </w:t>
      </w:r>
      <w:r>
        <w:rPr>
          <w:i/>
          <w:iCs/>
        </w:rPr>
        <w:t xml:space="preserve">et al.</w:t>
      </w:r>
      <w:r>
        <w:t xml:space="preserve"> </w:t>
      </w:r>
      <w:hyperlink r:id="rId166">
        <w:r>
          <w:rPr>
            <w:rStyle w:val="Hyperlink"/>
          </w:rPr>
          <w:t xml:space="preserve">Dose-dense temozolomide for newly diagnosed glioblastoma: A randomized phase</w:t>
        </w:r>
        <w:r>
          <w:rPr>
            <w:rStyle w:val="Hyperlink"/>
          </w:rPr>
          <w:t xml:space="preserve"> </w:t>
        </w:r>
        <w:r>
          <w:rPr>
            <w:rStyle w:val="Hyperlink"/>
          </w:rPr>
          <w:t xml:space="preserve">III</w:t>
        </w:r>
        <w:r>
          <w:rPr>
            <w:rStyle w:val="Hyperlink"/>
          </w:rPr>
          <w:t xml:space="preserve"> </w:t>
        </w:r>
        <w:r>
          <w:rPr>
            <w:rStyle w:val="Hyperlink"/>
          </w:rPr>
          <w:t xml:space="preserve">clinical trial</w:t>
        </w:r>
      </w:hyperlink>
      <w:r>
        <w:t xml:space="preserve">.</w:t>
      </w:r>
      <w:r>
        <w:t xml:space="preserve"> </w:t>
      </w:r>
      <w:r>
        <w:rPr>
          <w:i/>
          <w:iCs/>
        </w:rPr>
        <w:t xml:space="preserve">Journal of Clinical Oncology</w:t>
      </w:r>
      <w:r>
        <w:t xml:space="preserve"> </w:t>
      </w:r>
      <w:r>
        <w:rPr>
          <w:b/>
          <w:bCs/>
        </w:rPr>
        <w:t xml:space="preserve">31</w:t>
      </w:r>
      <w:r>
        <w:t xml:space="preserve">, 4085–4091 (2013).</w:t>
      </w:r>
    </w:p>
    <w:bookmarkEnd w:id="167"/>
    <w:bookmarkStart w:id="169" w:name="ref-ostermann2004"/>
    <w:p>
      <w:pPr>
        <w:pStyle w:val="Bibliography"/>
      </w:pPr>
      <w:r>
        <w:t xml:space="preserve">52.</w:t>
      </w:r>
      <w:r>
        <w:t xml:space="preserve"> </w:t>
      </w:r>
      <w:r>
        <w:t xml:space="preserve">	</w:t>
      </w:r>
      <w:r>
        <w:t xml:space="preserve">Ostermann, S.</w:t>
      </w:r>
      <w:r>
        <w:t xml:space="preserve"> </w:t>
      </w:r>
      <w:r>
        <w:rPr>
          <w:i/>
          <w:iCs/>
        </w:rPr>
        <w:t xml:space="preserve">et al.</w:t>
      </w:r>
      <w:r>
        <w:t xml:space="preserve"> </w:t>
      </w:r>
      <w:hyperlink r:id="rId168">
        <w:r>
          <w:rPr>
            <w:rStyle w:val="Hyperlink"/>
          </w:rPr>
          <w:t xml:space="preserve">Plasma and cerebrospinal fluid population pharmacokinetics of temozolomide in malignant glioma patients</w:t>
        </w:r>
      </w:hyperlink>
      <w:r>
        <w:t xml:space="preserve">.</w:t>
      </w:r>
      <w:r>
        <w:t xml:space="preserve"> </w:t>
      </w:r>
      <w:r>
        <w:rPr>
          <w:i/>
          <w:iCs/>
        </w:rPr>
        <w:t xml:space="preserve">Clinical Cancer Research</w:t>
      </w:r>
      <w:r>
        <w:t xml:space="preserve"> </w:t>
      </w:r>
      <w:r>
        <w:rPr>
          <w:b/>
          <w:bCs/>
        </w:rPr>
        <w:t xml:space="preserve">10</w:t>
      </w:r>
      <w:r>
        <w:t xml:space="preserve">, 3728–3736 (2004).</w:t>
      </w:r>
    </w:p>
    <w:bookmarkEnd w:id="169"/>
    <w:bookmarkStart w:id="171" w:name="ref-rudek2004"/>
    <w:p>
      <w:pPr>
        <w:pStyle w:val="Bibliography"/>
      </w:pPr>
      <w:r>
        <w:t xml:space="preserve">53.</w:t>
      </w:r>
      <w:r>
        <w:t xml:space="preserve"> </w:t>
      </w:r>
      <w:r>
        <w:t xml:space="preserve">	</w:t>
      </w:r>
      <w:r>
        <w:t xml:space="preserve">Rudek, M. A.</w:t>
      </w:r>
      <w:r>
        <w:t xml:space="preserve"> </w:t>
      </w:r>
      <w:r>
        <w:rPr>
          <w:i/>
          <w:iCs/>
        </w:rPr>
        <w:t xml:space="preserve">et al.</w:t>
      </w:r>
      <w:r>
        <w:t xml:space="preserve"> </w:t>
      </w:r>
      <w:hyperlink r:id="rId170">
        <w:r>
          <w:rPr>
            <w:rStyle w:val="Hyperlink"/>
          </w:rPr>
          <w:t xml:space="preserve">Temozolomide in patients with advanced cancer: Phase</w:t>
        </w:r>
        <w:r>
          <w:rPr>
            <w:rStyle w:val="Hyperlink"/>
          </w:rPr>
          <w:t xml:space="preserve"> </w:t>
        </w:r>
        <w:r>
          <w:rPr>
            <w:rStyle w:val="Hyperlink"/>
          </w:rPr>
          <w:t xml:space="preserve">I</w:t>
        </w:r>
        <w:r>
          <w:rPr>
            <w:rStyle w:val="Hyperlink"/>
          </w:rPr>
          <w:t xml:space="preserve"> </w:t>
        </w:r>
        <w:r>
          <w:rPr>
            <w:rStyle w:val="Hyperlink"/>
          </w:rPr>
          <w:t xml:space="preserve">and pharmacokinetic study</w:t>
        </w:r>
      </w:hyperlink>
      <w:r>
        <w:t xml:space="preserve">.</w:t>
      </w:r>
      <w:r>
        <w:t xml:space="preserve"> </w:t>
      </w:r>
      <w:r>
        <w:rPr>
          <w:i/>
          <w:iCs/>
        </w:rPr>
        <w:t xml:space="preserve">Pharmacotherapy</w:t>
      </w:r>
      <w:r>
        <w:t xml:space="preserve"> </w:t>
      </w:r>
      <w:r>
        <w:rPr>
          <w:b/>
          <w:bCs/>
        </w:rPr>
        <w:t xml:space="preserve">24</w:t>
      </w:r>
      <w:r>
        <w:t xml:space="preserve">, 16–25 (2004).</w:t>
      </w:r>
    </w:p>
    <w:bookmarkEnd w:id="171"/>
    <w:bookmarkStart w:id="173" w:name="ref-tolcher2003"/>
    <w:p>
      <w:pPr>
        <w:pStyle w:val="Bibliography"/>
      </w:pPr>
      <w:r>
        <w:t xml:space="preserve">54.</w:t>
      </w:r>
      <w:r>
        <w:t xml:space="preserve"> </w:t>
      </w:r>
      <w:r>
        <w:t xml:space="preserve">	</w:t>
      </w:r>
      <w:r>
        <w:t xml:space="preserve">Tolcher, A. W.</w:t>
      </w:r>
      <w:r>
        <w:t xml:space="preserve"> </w:t>
      </w:r>
      <w:r>
        <w:rPr>
          <w:i/>
          <w:iCs/>
        </w:rPr>
        <w:t xml:space="preserve">et al.</w:t>
      </w:r>
      <w:r>
        <w:t xml:space="preserve"> </w:t>
      </w:r>
      <w:hyperlink r:id="rId172">
        <w:r>
          <w:rPr>
            <w:rStyle w:val="Hyperlink"/>
          </w:rPr>
          <w:t xml:space="preserve">Marked inactivation of</w:t>
        </w:r>
        <w:r>
          <w:rPr>
            <w:rStyle w:val="Hyperlink"/>
          </w:rPr>
          <w:t xml:space="preserve"> </w:t>
        </w:r>
        <w:r>
          <w:rPr>
            <w:rStyle w:val="Hyperlink"/>
          </w:rPr>
          <w:t xml:space="preserve">O6-alkylguanine-DNA</w:t>
        </w:r>
        <w:r>
          <w:rPr>
            <w:rStyle w:val="Hyperlink"/>
          </w:rPr>
          <w:t xml:space="preserve"> </w:t>
        </w:r>
        <w:r>
          <w:rPr>
            <w:rStyle w:val="Hyperlink"/>
          </w:rPr>
          <w:t xml:space="preserve">alkyltransferase activity with protracted temozolomide schedules</w:t>
        </w:r>
      </w:hyperlink>
      <w:r>
        <w:t xml:space="preserve">.</w:t>
      </w:r>
      <w:r>
        <w:t xml:space="preserve"> </w:t>
      </w:r>
      <w:r>
        <w:rPr>
          <w:i/>
          <w:iCs/>
        </w:rPr>
        <w:t xml:space="preserve">British Journal of Cancer</w:t>
      </w:r>
      <w:r>
        <w:t xml:space="preserve"> </w:t>
      </w:r>
      <w:r>
        <w:rPr>
          <w:b/>
          <w:bCs/>
        </w:rPr>
        <w:t xml:space="preserve">88</w:t>
      </w:r>
      <w:r>
        <w:t xml:space="preserve">, 1004–1011 (2003).</w:t>
      </w:r>
    </w:p>
    <w:bookmarkEnd w:id="173"/>
    <w:bookmarkStart w:id="175" w:name="ref-middleton2000"/>
    <w:p>
      <w:pPr>
        <w:pStyle w:val="Bibliography"/>
      </w:pPr>
      <w:r>
        <w:t xml:space="preserve">55.</w:t>
      </w:r>
      <w:r>
        <w:t xml:space="preserve"> </w:t>
      </w:r>
      <w:r>
        <w:t xml:space="preserve">	</w:t>
      </w:r>
      <w:r>
        <w:t xml:space="preserve">Middleton, M. R.</w:t>
      </w:r>
      <w:r>
        <w:t xml:space="preserve"> </w:t>
      </w:r>
      <w:r>
        <w:rPr>
          <w:i/>
          <w:iCs/>
        </w:rPr>
        <w:t xml:space="preserve">et al.</w:t>
      </w:r>
      <w:r>
        <w:t xml:space="preserve"> </w:t>
      </w:r>
      <w:hyperlink r:id="rId174">
        <w:r>
          <w:rPr>
            <w:rStyle w:val="Hyperlink"/>
          </w:rPr>
          <w:t xml:space="preserve">O6-methylguanine</w:t>
        </w:r>
        <w:r>
          <w:rPr>
            <w:rStyle w:val="Hyperlink"/>
          </w:rPr>
          <w:t xml:space="preserve"> </w:t>
        </w:r>
        <w:r>
          <w:rPr>
            <w:rStyle w:val="Hyperlink"/>
          </w:rPr>
          <w:t xml:space="preserve">formation, repair protein depletion and clinical outcome with a 4 hr schedule of temozolomide in the treatment of advanced melanoma: Results of a phase</w:t>
        </w:r>
        <w:r>
          <w:rPr>
            <w:rStyle w:val="Hyperlink"/>
          </w:rPr>
          <w:t xml:space="preserve"> </w:t>
        </w:r>
        <w:r>
          <w:rPr>
            <w:rStyle w:val="Hyperlink"/>
          </w:rPr>
          <w:t xml:space="preserve">II</w:t>
        </w:r>
        <w:r>
          <w:rPr>
            <w:rStyle w:val="Hyperlink"/>
          </w:rPr>
          <w:t xml:space="preserve"> </w:t>
        </w:r>
        <w:r>
          <w:rPr>
            <w:rStyle w:val="Hyperlink"/>
          </w:rPr>
          <w:t xml:space="preserve">study</w:t>
        </w:r>
      </w:hyperlink>
      <w:r>
        <w:t xml:space="preserve">.</w:t>
      </w:r>
      <w:r>
        <w:t xml:space="preserve"> </w:t>
      </w:r>
      <w:r>
        <w:rPr>
          <w:i/>
          <w:iCs/>
        </w:rPr>
        <w:t xml:space="preserve">International Journal of Cancer</w:t>
      </w:r>
      <w:r>
        <w:t xml:space="preserve"> </w:t>
      </w:r>
      <w:r>
        <w:rPr>
          <w:b/>
          <w:bCs/>
        </w:rPr>
        <w:t xml:space="preserve">88</w:t>
      </w:r>
      <w:r>
        <w:t xml:space="preserve">, 469–473 (2000).</w:t>
      </w:r>
    </w:p>
    <w:bookmarkEnd w:id="175"/>
    <w:bookmarkStart w:id="177" w:name="ref-robinson2010"/>
    <w:p>
      <w:pPr>
        <w:pStyle w:val="Bibliography"/>
      </w:pPr>
      <w:r>
        <w:t xml:space="preserve">56.</w:t>
      </w:r>
      <w:r>
        <w:t xml:space="preserve"> </w:t>
      </w:r>
      <w:r>
        <w:t xml:space="preserve">	</w:t>
      </w:r>
      <w:r>
        <w:t xml:space="preserve">Robinson, C. G.</w:t>
      </w:r>
      <w:r>
        <w:t xml:space="preserve"> </w:t>
      </w:r>
      <w:r>
        <w:rPr>
          <w:i/>
          <w:iCs/>
        </w:rPr>
        <w:t xml:space="preserve">et al.</w:t>
      </w:r>
      <w:r>
        <w:t xml:space="preserve"> </w:t>
      </w:r>
      <w:hyperlink r:id="rId176">
        <w:r>
          <w:rPr>
            <w:rStyle w:val="Hyperlink"/>
          </w:rPr>
          <w:t xml:space="preserve">Effect of alternative temozolomide schedules on glioblastoma</w:t>
        </w:r>
        <w:r>
          <w:rPr>
            <w:rStyle w:val="Hyperlink"/>
          </w:rPr>
          <w:t xml:space="preserve"> </w:t>
        </w:r>
        <w:r>
          <w:rPr>
            <w:rStyle w:val="Hyperlink"/>
          </w:rPr>
          <w:t xml:space="preserve">O6-methylguanine-DNA</w:t>
        </w:r>
        <w:r>
          <w:rPr>
            <w:rStyle w:val="Hyperlink"/>
          </w:rPr>
          <w:t xml:space="preserve"> </w:t>
        </w:r>
        <w:r>
          <w:rPr>
            <w:rStyle w:val="Hyperlink"/>
          </w:rPr>
          <w:t xml:space="preserve">methyltransferase activity and survival</w:t>
        </w:r>
      </w:hyperlink>
      <w:r>
        <w:t xml:space="preserve">.</w:t>
      </w:r>
      <w:r>
        <w:t xml:space="preserve"> </w:t>
      </w:r>
      <w:r>
        <w:rPr>
          <w:i/>
          <w:iCs/>
        </w:rPr>
        <w:t xml:space="preserve">British Journal of Cancer</w:t>
      </w:r>
      <w:r>
        <w:t xml:space="preserve"> </w:t>
      </w:r>
      <w:r>
        <w:rPr>
          <w:b/>
          <w:bCs/>
        </w:rPr>
        <w:t xml:space="preserve">103</w:t>
      </w:r>
      <w:r>
        <w:t xml:space="preserve">, 498–504 (2010).</w:t>
      </w:r>
    </w:p>
    <w:bookmarkEnd w:id="177"/>
    <w:bookmarkStart w:id="179" w:name="ref-gillespie1977"/>
    <w:p>
      <w:pPr>
        <w:pStyle w:val="Bibliography"/>
      </w:pPr>
      <w:r>
        <w:t xml:space="preserve">57.</w:t>
      </w:r>
      <w:r>
        <w:t xml:space="preserve"> </w:t>
      </w:r>
      <w:r>
        <w:t xml:space="preserve">	</w:t>
      </w:r>
      <w:r>
        <w:t xml:space="preserve">Gillespie, D. T.</w:t>
      </w:r>
      <w:r>
        <w:t xml:space="preserve"> </w:t>
      </w:r>
      <w:hyperlink r:id="rId178">
        <w:r>
          <w:rPr>
            <w:rStyle w:val="Hyperlink"/>
          </w:rPr>
          <w:t xml:space="preserve">Exact stochastic simulation of coupled chemical reactions</w:t>
        </w:r>
      </w:hyperlink>
      <w:r>
        <w:t xml:space="preserve">.</w:t>
      </w:r>
      <w:r>
        <w:t xml:space="preserve"> </w:t>
      </w:r>
      <w:r>
        <w:rPr>
          <w:i/>
          <w:iCs/>
        </w:rPr>
        <w:t xml:space="preserve">The Journal of Physical Chemistry</w:t>
      </w:r>
      <w:r>
        <w:t xml:space="preserve"> </w:t>
      </w:r>
      <w:r>
        <w:rPr>
          <w:b/>
          <w:bCs/>
        </w:rPr>
        <w:t xml:space="preserve">81</w:t>
      </w:r>
      <w:r>
        <w:t xml:space="preserve">, 2340–2361 (1977).</w:t>
      </w:r>
    </w:p>
    <w:bookmarkEnd w:id="179"/>
    <w:bookmarkStart w:id="181" w:name="ref-gillespie2001"/>
    <w:p>
      <w:pPr>
        <w:pStyle w:val="Bibliography"/>
      </w:pPr>
      <w:r>
        <w:t xml:space="preserve">58.</w:t>
      </w:r>
      <w:r>
        <w:t xml:space="preserve"> </w:t>
      </w:r>
      <w:r>
        <w:t xml:space="preserve">	</w:t>
      </w:r>
      <w:r>
        <w:t xml:space="preserve">Gillespie, D. T.</w:t>
      </w:r>
      <w:r>
        <w:t xml:space="preserve"> </w:t>
      </w:r>
      <w:hyperlink r:id="rId180">
        <w:r>
          <w:rPr>
            <w:rStyle w:val="Hyperlink"/>
          </w:rPr>
          <w:t xml:space="preserve">Approximate accelerated stochastic simulation of chemically reacting systems</w:t>
        </w:r>
      </w:hyperlink>
      <w:r>
        <w:t xml:space="preserve">.</w:t>
      </w:r>
      <w:r>
        <w:t xml:space="preserve"> </w:t>
      </w:r>
      <w:r>
        <w:rPr>
          <w:i/>
          <w:iCs/>
        </w:rPr>
        <w:t xml:space="preserve">The Journal of Chemical Physics</w:t>
      </w:r>
      <w:r>
        <w:t xml:space="preserve"> </w:t>
      </w:r>
      <w:r>
        <w:rPr>
          <w:b/>
          <w:bCs/>
        </w:rPr>
        <w:t xml:space="preserve">115</w:t>
      </w:r>
      <w:r>
        <w:t xml:space="preserve">, 1716–1733 (2001).</w:t>
      </w:r>
    </w:p>
    <w:bookmarkEnd w:id="181"/>
    <w:bookmarkStart w:id="183" w:name="ref-cao2006"/>
    <w:p>
      <w:pPr>
        <w:pStyle w:val="Bibliography"/>
      </w:pPr>
      <w:r>
        <w:t xml:space="preserve">59.</w:t>
      </w:r>
      <w:r>
        <w:t xml:space="preserve"> </w:t>
      </w:r>
      <w:r>
        <w:t xml:space="preserve">	</w:t>
      </w:r>
      <w:r>
        <w:t xml:space="preserve">Cao, Y., Gillespie, D. T. &amp; Petzold, L. R.</w:t>
      </w:r>
      <w:r>
        <w:t xml:space="preserve"> </w:t>
      </w:r>
      <w:hyperlink r:id="rId182">
        <w:r>
          <w:rPr>
            <w:rStyle w:val="Hyperlink"/>
          </w:rPr>
          <w:t xml:space="preserve">Efficient step size selection for the tau-leaping simulation method</w:t>
        </w:r>
      </w:hyperlink>
      <w:r>
        <w:t xml:space="preserve">.</w:t>
      </w:r>
      <w:r>
        <w:t xml:space="preserve"> </w:t>
      </w:r>
      <w:r>
        <w:rPr>
          <w:i/>
          <w:iCs/>
        </w:rPr>
        <w:t xml:space="preserve">The Journal of Chemical Physics</w:t>
      </w:r>
      <w:r>
        <w:t xml:space="preserve"> </w:t>
      </w:r>
      <w:r>
        <w:rPr>
          <w:b/>
          <w:bCs/>
        </w:rPr>
        <w:t xml:space="preserve">124</w:t>
      </w:r>
      <w:r>
        <w:t xml:space="preserve">, 044109 (2006).</w:t>
      </w:r>
    </w:p>
    <w:bookmarkEnd w:id="183"/>
    <w:bookmarkStart w:id="185" w:name="ref-cao2005"/>
    <w:p>
      <w:pPr>
        <w:pStyle w:val="Bibliography"/>
      </w:pPr>
      <w:r>
        <w:t xml:space="preserve">60.</w:t>
      </w:r>
      <w:r>
        <w:t xml:space="preserve"> </w:t>
      </w:r>
      <w:r>
        <w:t xml:space="preserve">	</w:t>
      </w:r>
      <w:r>
        <w:t xml:space="preserve">Cao, Y., Gillespie, D. T. &amp; Petzold, L. R.</w:t>
      </w:r>
      <w:r>
        <w:t xml:space="preserve"> </w:t>
      </w:r>
      <w:hyperlink r:id="rId184">
        <w:r>
          <w:rPr>
            <w:rStyle w:val="Hyperlink"/>
          </w:rPr>
          <w:t xml:space="preserve">Avoiding negative populations in explicit</w:t>
        </w:r>
        <w:r>
          <w:rPr>
            <w:rStyle w:val="Hyperlink"/>
          </w:rPr>
          <w:t xml:space="preserve"> </w:t>
        </w:r>
        <w:r>
          <w:rPr>
            <w:rStyle w:val="Hyperlink"/>
          </w:rPr>
          <w:t xml:space="preserve">Poisson</w:t>
        </w:r>
        <w:r>
          <w:rPr>
            <w:rStyle w:val="Hyperlink"/>
          </w:rPr>
          <w:t xml:space="preserve"> </w:t>
        </w:r>
        <w:r>
          <w:rPr>
            <w:rStyle w:val="Hyperlink"/>
          </w:rPr>
          <w:t xml:space="preserve">tau-leaping</w:t>
        </w:r>
      </w:hyperlink>
      <w:r>
        <w:t xml:space="preserve">.</w:t>
      </w:r>
      <w:r>
        <w:t xml:space="preserve"> </w:t>
      </w:r>
      <w:r>
        <w:rPr>
          <w:i/>
          <w:iCs/>
        </w:rPr>
        <w:t xml:space="preserve">The Journal of Chemical Physics</w:t>
      </w:r>
      <w:r>
        <w:t xml:space="preserve"> </w:t>
      </w:r>
      <w:r>
        <w:rPr>
          <w:b/>
          <w:bCs/>
        </w:rPr>
        <w:t xml:space="preserve">123</w:t>
      </w:r>
      <w:r>
        <w:t xml:space="preserve">, 054104 (2005).</w:t>
      </w:r>
    </w:p>
    <w:bookmarkEnd w:id="185"/>
    <w:bookmarkStart w:id="187" w:name="ref-shaffer2020"/>
    <w:p>
      <w:pPr>
        <w:pStyle w:val="Bibliography"/>
      </w:pPr>
      <w:r>
        <w:t xml:space="preserve">61.</w:t>
      </w:r>
      <w:r>
        <w:t xml:space="preserve"> </w:t>
      </w:r>
      <w:r>
        <w:t xml:space="preserve">	</w:t>
      </w:r>
      <w:r>
        <w:t xml:space="preserve">Shaffer, S. M.</w:t>
      </w:r>
      <w:r>
        <w:t xml:space="preserve"> </w:t>
      </w:r>
      <w:r>
        <w:rPr>
          <w:i/>
          <w:iCs/>
        </w:rPr>
        <w:t xml:space="preserve">et al.</w:t>
      </w:r>
      <w:r>
        <w:t xml:space="preserve"> </w:t>
      </w:r>
      <w:hyperlink r:id="rId186">
        <w:r>
          <w:rPr>
            <w:rStyle w:val="Hyperlink"/>
          </w:rPr>
          <w:t xml:space="preserve">Memory sequencing reveals heritable single-cell gene expression programs associated with distinct cellular behaviors</w:t>
        </w:r>
      </w:hyperlink>
      <w:r>
        <w:t xml:space="preserve">.</w:t>
      </w:r>
      <w:r>
        <w:t xml:space="preserve"> </w:t>
      </w:r>
      <w:r>
        <w:rPr>
          <w:i/>
          <w:iCs/>
        </w:rPr>
        <w:t xml:space="preserve">Cell</w:t>
      </w:r>
      <w:r>
        <w:t xml:space="preserve"> </w:t>
      </w:r>
      <w:r>
        <w:rPr>
          <w:b/>
          <w:bCs/>
        </w:rPr>
        <w:t xml:space="preserve">182</w:t>
      </w:r>
      <w:r>
        <w:t xml:space="preserve">, 947–959 (2020).</w:t>
      </w:r>
    </w:p>
    <w:bookmarkEnd w:id="187"/>
    <w:bookmarkStart w:id="189" w:name="ref-toni2009"/>
    <w:p>
      <w:pPr>
        <w:pStyle w:val="Bibliography"/>
      </w:pPr>
      <w:r>
        <w:t xml:space="preserve">62.</w:t>
      </w:r>
      <w:r>
        <w:t xml:space="preserve"> </w:t>
      </w:r>
      <w:r>
        <w:t xml:space="preserve">	</w:t>
      </w:r>
      <w:r>
        <w:t xml:space="preserve">Toni, T., Welch, D., Strelkowa, N., Ipsen, A. &amp; Stumpf, M. P. H.</w:t>
      </w:r>
      <w:r>
        <w:t xml:space="preserve"> </w:t>
      </w:r>
      <w:hyperlink r:id="rId188">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 scheme for parameter inference and model selection in dynamical systems</w:t>
        </w:r>
      </w:hyperlink>
      <w:r>
        <w:t xml:space="preserve">.</w:t>
      </w:r>
      <w:r>
        <w:t xml:space="preserve"> </w:t>
      </w:r>
      <w:r>
        <w:rPr>
          <w:i/>
          <w:iCs/>
        </w:rPr>
        <w:t xml:space="preserve">Journal of the Royal Society Interface</w:t>
      </w:r>
      <w:r>
        <w:t xml:space="preserve"> </w:t>
      </w:r>
      <w:r>
        <w:rPr>
          <w:b/>
          <w:bCs/>
        </w:rPr>
        <w:t xml:space="preserve">6</w:t>
      </w:r>
      <w:r>
        <w:t xml:space="preserve">, 187–202 (2009).</w:t>
      </w:r>
    </w:p>
    <w:bookmarkEnd w:id="189"/>
    <w:bookmarkStart w:id="191" w:name="ref-ellingson2016"/>
    <w:p>
      <w:pPr>
        <w:pStyle w:val="Bibliography"/>
      </w:pPr>
      <w:r>
        <w:t xml:space="preserve">63.</w:t>
      </w:r>
      <w:r>
        <w:t xml:space="preserve"> </w:t>
      </w:r>
      <w:r>
        <w:t xml:space="preserve">	</w:t>
      </w:r>
      <w:r>
        <w:t xml:space="preserve">Ellingson, B. M.</w:t>
      </w:r>
      <w:r>
        <w:t xml:space="preserve"> </w:t>
      </w:r>
      <w:r>
        <w:rPr>
          <w:i/>
          <w:iCs/>
        </w:rPr>
        <w:t xml:space="preserve">et al.</w:t>
      </w:r>
      <w:r>
        <w:t xml:space="preserve"> </w:t>
      </w:r>
      <w:hyperlink r:id="rId190">
        <w:r>
          <w:rPr>
            <w:rStyle w:val="Hyperlink"/>
          </w:rPr>
          <w:t xml:space="preserve">Contrast-enhancing tumor growth dynamics of preoperative, treatment-naive human glioblastoma</w:t>
        </w:r>
      </w:hyperlink>
      <w:r>
        <w:t xml:space="preserve">.</w:t>
      </w:r>
      <w:r>
        <w:t xml:space="preserve"> </w:t>
      </w:r>
      <w:r>
        <w:rPr>
          <w:i/>
          <w:iCs/>
        </w:rPr>
        <w:t xml:space="preserve">Cancer</w:t>
      </w:r>
      <w:r>
        <w:t xml:space="preserve"> </w:t>
      </w:r>
      <w:r>
        <w:rPr>
          <w:b/>
          <w:bCs/>
        </w:rPr>
        <w:t xml:space="preserve">122</w:t>
      </w:r>
      <w:r>
        <w:t xml:space="preserve">, 1718–1727 (2016).</w:t>
      </w:r>
    </w:p>
    <w:bookmarkEnd w:id="191"/>
    <w:bookmarkStart w:id="193" w:name="ref-stensjoen2015"/>
    <w:p>
      <w:pPr>
        <w:pStyle w:val="Bibliography"/>
      </w:pPr>
      <w:r>
        <w:t xml:space="preserve">64.</w:t>
      </w:r>
      <w:r>
        <w:t xml:space="preserve"> </w:t>
      </w:r>
      <w:r>
        <w:t xml:space="preserve">	</w:t>
      </w:r>
      <w:r>
        <w:t xml:space="preserve">Stensjøen, A. L.</w:t>
      </w:r>
      <w:r>
        <w:t xml:space="preserve"> </w:t>
      </w:r>
      <w:r>
        <w:rPr>
          <w:i/>
          <w:iCs/>
        </w:rPr>
        <w:t xml:space="preserve">et al.</w:t>
      </w:r>
      <w:r>
        <w:t xml:space="preserve"> </w:t>
      </w:r>
      <w:hyperlink r:id="rId192">
        <w:r>
          <w:rPr>
            <w:rStyle w:val="Hyperlink"/>
          </w:rPr>
          <w:t xml:space="preserve">Growth dynamics of untreated glioblastomas in vivo</w:t>
        </w:r>
      </w:hyperlink>
      <w:r>
        <w:t xml:space="preserve">.</w:t>
      </w:r>
      <w:r>
        <w:t xml:space="preserve"> </w:t>
      </w:r>
      <w:r>
        <w:rPr>
          <w:i/>
          <w:iCs/>
        </w:rPr>
        <w:t xml:space="preserve">Neuro-Oncology</w:t>
      </w:r>
      <w:r>
        <w:t xml:space="preserve"> </w:t>
      </w:r>
      <w:r>
        <w:rPr>
          <w:b/>
          <w:bCs/>
        </w:rPr>
        <w:t xml:space="preserve">17</w:t>
      </w:r>
      <w:r>
        <w:t xml:space="preserve">, 1402–1411 (2015).</w:t>
      </w:r>
    </w:p>
    <w:bookmarkEnd w:id="193"/>
    <w:bookmarkStart w:id="195" w:name="ref-friedman2006"/>
    <w:p>
      <w:pPr>
        <w:pStyle w:val="Bibliography"/>
      </w:pPr>
      <w:r>
        <w:t xml:space="preserve">65.</w:t>
      </w:r>
      <w:r>
        <w:t xml:space="preserve"> </w:t>
      </w:r>
      <w:r>
        <w:t xml:space="preserve">	</w:t>
      </w:r>
      <w:r>
        <w:t xml:space="preserve">Friedman, N., Cai, L. &amp; Xie, X. S.</w:t>
      </w:r>
      <w:r>
        <w:t xml:space="preserve"> </w:t>
      </w:r>
      <w:hyperlink r:id="rId194">
        <w:r>
          <w:rPr>
            <w:rStyle w:val="Hyperlink"/>
          </w:rPr>
          <w:t xml:space="preserve">Linking stochastic dynamics to population distribution: An analytical framework of gene expression</w:t>
        </w:r>
      </w:hyperlink>
      <w:r>
        <w:t xml:space="preserve">.</w:t>
      </w:r>
      <w:r>
        <w:t xml:space="preserve"> </w:t>
      </w:r>
      <w:r>
        <w:rPr>
          <w:i/>
          <w:iCs/>
        </w:rPr>
        <w:t xml:space="preserve">Physical Review Letters</w:t>
      </w:r>
      <w:r>
        <w:t xml:space="preserve"> </w:t>
      </w:r>
      <w:r>
        <w:rPr>
          <w:b/>
          <w:bCs/>
        </w:rPr>
        <w:t xml:space="preserve">97</w:t>
      </w:r>
      <w:r>
        <w:t xml:space="preserve">, 168302 (2006).</w:t>
      </w:r>
    </w:p>
    <w:bookmarkEnd w:id="195"/>
    <w:bookmarkStart w:id="197" w:name="ref-shahrezaei2008"/>
    <w:p>
      <w:pPr>
        <w:pStyle w:val="Bibliography"/>
      </w:pPr>
      <w:r>
        <w:t xml:space="preserve">66.</w:t>
      </w:r>
      <w:r>
        <w:t xml:space="preserve"> </w:t>
      </w:r>
      <w:r>
        <w:t xml:space="preserve">	</w:t>
      </w:r>
      <w:r>
        <w:t xml:space="preserve">Shahrezaei, V. &amp; Swain, P. S.</w:t>
      </w:r>
      <w:r>
        <w:t xml:space="preserve"> </w:t>
      </w:r>
      <w:hyperlink r:id="rId196">
        <w:r>
          <w:rPr>
            <w:rStyle w:val="Hyperlink"/>
          </w:rPr>
          <w:t xml:space="preserve">Analytical distributions for stochastic gene expression</w:t>
        </w:r>
      </w:hyperlink>
      <w:r>
        <w:t xml:space="preserve">.</w:t>
      </w:r>
      <w:r>
        <w:t xml:space="preserve"> </w:t>
      </w:r>
      <w:r>
        <w:rPr>
          <w:i/>
          <w:iCs/>
        </w:rPr>
        <w:t xml:space="preserve">Proceedings of the National Academy of Sciences</w:t>
      </w:r>
      <w:r>
        <w:t xml:space="preserve"> </w:t>
      </w:r>
      <w:r>
        <w:rPr>
          <w:b/>
          <w:bCs/>
        </w:rPr>
        <w:t xml:space="preserve">105</w:t>
      </w:r>
      <w:r>
        <w:t xml:space="preserve">, 17256–17261 (2008).</w:t>
      </w:r>
    </w:p>
    <w:bookmarkEnd w:id="197"/>
    <w:bookmarkStart w:id="199" w:name="ref-sciml"/>
    <w:p>
      <w:pPr>
        <w:pStyle w:val="Bibliography"/>
      </w:pPr>
      <w:r>
        <w:t xml:space="preserve">67.</w:t>
      </w:r>
      <w:r>
        <w:t xml:space="preserve"> </w:t>
      </w:r>
      <w:r>
        <w:t xml:space="preserve">	</w:t>
      </w:r>
      <w:r>
        <w:t xml:space="preserve">Rackauckas, C. &amp; Nie, Q.</w:t>
      </w:r>
      <w:r>
        <w:t xml:space="preserve"> </w:t>
      </w:r>
      <w:hyperlink r:id="rId198">
        <w:r>
          <w:rPr>
            <w:rStyle w:val="Hyperlink"/>
          </w:rPr>
          <w:t xml:space="preserve">DifferentialEquations.jl</w:t>
        </w:r>
        <w:r>
          <w:rPr>
            <w:rStyle w:val="Hyperlink"/>
          </w:rPr>
          <w:t xml:space="preserve"> </w:t>
        </w:r>
        <w:r>
          <w:rPr>
            <w:rStyle w:val="Hyperlink"/>
          </w:rPr>
          <w:t xml:space="preserve">– a performant and feature-rich ecosystem for solving differential equations in</w:t>
        </w:r>
        <w:r>
          <w:rPr>
            <w:rStyle w:val="Hyperlink"/>
          </w:rPr>
          <w:t xml:space="preserve"> </w:t>
        </w:r>
        <w:r>
          <w:rPr>
            <w:rStyle w:val="Hyperlink"/>
          </w:rPr>
          <w:t xml:space="preserve">Julia</w:t>
        </w:r>
      </w:hyperlink>
      <w:r>
        <w:t xml:space="preserve">.</w:t>
      </w:r>
      <w:r>
        <w:t xml:space="preserve"> </w:t>
      </w:r>
      <w:r>
        <w:rPr>
          <w:i/>
          <w:iCs/>
        </w:rPr>
        <w:t xml:space="preserve">Journal of Open Research Software</w:t>
      </w:r>
      <w:r>
        <w:t xml:space="preserve"> </w:t>
      </w:r>
      <w:r>
        <w:t xml:space="preserve">vol. 5 15 (2017).</w:t>
      </w:r>
    </w:p>
    <w:bookmarkEnd w:id="199"/>
    <w:bookmarkStart w:id="201" w:name="ref-huh2011"/>
    <w:p>
      <w:pPr>
        <w:pStyle w:val="Bibliography"/>
      </w:pPr>
      <w:r>
        <w:t xml:space="preserve">68.</w:t>
      </w:r>
      <w:r>
        <w:t xml:space="preserve"> </w:t>
      </w:r>
      <w:r>
        <w:t xml:space="preserve">	</w:t>
      </w:r>
      <w:r>
        <w:t xml:space="preserve">Huh, D. &amp; Paulsson, J.</w:t>
      </w:r>
      <w:r>
        <w:t xml:space="preserve"> </w:t>
      </w:r>
      <w:hyperlink r:id="rId200">
        <w:r>
          <w:rPr>
            <w:rStyle w:val="Hyperlink"/>
          </w:rPr>
          <w:t xml:space="preserve">Non-genetic heterogeneity from stochastic partitioning at cell division</w:t>
        </w:r>
      </w:hyperlink>
      <w:r>
        <w:t xml:space="preserve">.</w:t>
      </w:r>
      <w:r>
        <w:t xml:space="preserve"> </w:t>
      </w:r>
      <w:r>
        <w:rPr>
          <w:i/>
          <w:iCs/>
        </w:rPr>
        <w:t xml:space="preserve">Nature Genetics</w:t>
      </w:r>
      <w:r>
        <w:t xml:space="preserve"> </w:t>
      </w:r>
      <w:r>
        <w:rPr>
          <w:b/>
          <w:bCs/>
        </w:rPr>
        <w:t xml:space="preserve">43</w:t>
      </w:r>
      <w:r>
        <w:t xml:space="preserve">, 95–100 (2011).</w:t>
      </w:r>
    </w:p>
    <w:bookmarkEnd w:id="201"/>
    <w:bookmarkStart w:id="203" w:name="ref-huynhthu2010"/>
    <w:p>
      <w:pPr>
        <w:pStyle w:val="Bibliography"/>
      </w:pPr>
      <w:r>
        <w:t xml:space="preserve">69.</w:t>
      </w:r>
      <w:r>
        <w:t xml:space="preserve"> </w:t>
      </w:r>
      <w:r>
        <w:t xml:space="preserve">	</w:t>
      </w:r>
      <w:r>
        <w:t xml:space="preserve">Huynh-Thu, V. A., Irrthum, A., Wehenkel, L. &amp; Geurts, P.</w:t>
      </w:r>
      <w:r>
        <w:t xml:space="preserve"> </w:t>
      </w:r>
      <w:hyperlink r:id="rId202">
        <w:r>
          <w:rPr>
            <w:rStyle w:val="Hyperlink"/>
          </w:rPr>
          <w:t xml:space="preserve">Inferring regulatory networks from expression data using tree-based methods</w:t>
        </w:r>
      </w:hyperlink>
      <w:r>
        <w:t xml:space="preserve">.</w:t>
      </w:r>
      <w:r>
        <w:t xml:space="preserve"> </w:t>
      </w:r>
      <w:r>
        <w:rPr>
          <w:i/>
          <w:iCs/>
        </w:rPr>
        <w:t xml:space="preserve">PLoS ONE</w:t>
      </w:r>
      <w:r>
        <w:t xml:space="preserve"> </w:t>
      </w:r>
      <w:r>
        <w:rPr>
          <w:b/>
          <w:bCs/>
        </w:rPr>
        <w:t xml:space="preserve">5</w:t>
      </w:r>
      <w:r>
        <w:t xml:space="preserve">, e12776 (2010).</w:t>
      </w:r>
    </w:p>
    <w:bookmarkEnd w:id="203"/>
    <w:bookmarkStart w:id="205" w:name="ref-vandijk2018"/>
    <w:p>
      <w:pPr>
        <w:pStyle w:val="Bibliography"/>
      </w:pPr>
      <w:r>
        <w:t xml:space="preserve">70.</w:t>
      </w:r>
      <w:r>
        <w:t xml:space="preserve"> </w:t>
      </w:r>
      <w:r>
        <w:t xml:space="preserve">	</w:t>
      </w:r>
      <w:r>
        <w:t xml:space="preserve">Dijk, D. van</w:t>
      </w:r>
      <w:r>
        <w:t xml:space="preserve"> </w:t>
      </w:r>
      <w:r>
        <w:rPr>
          <w:i/>
          <w:iCs/>
        </w:rPr>
        <w:t xml:space="preserve">et al.</w:t>
      </w:r>
      <w:r>
        <w:t xml:space="preserve"> </w:t>
      </w:r>
      <w:hyperlink r:id="rId204">
        <w:r>
          <w:rPr>
            <w:rStyle w:val="Hyperlink"/>
          </w:rPr>
          <w:t xml:space="preserve">Recovering gene interactions from single-cell data using data diffusion</w:t>
        </w:r>
      </w:hyperlink>
      <w:r>
        <w:t xml:space="preserve">.</w:t>
      </w:r>
      <w:r>
        <w:t xml:space="preserve"> </w:t>
      </w:r>
      <w:r>
        <w:rPr>
          <w:i/>
          <w:iCs/>
        </w:rPr>
        <w:t xml:space="preserve">Cell</w:t>
      </w:r>
      <w:r>
        <w:t xml:space="preserve"> </w:t>
      </w:r>
      <w:r>
        <w:rPr>
          <w:b/>
          <w:bCs/>
        </w:rPr>
        <w:t xml:space="preserve">174</w:t>
      </w:r>
      <w:r>
        <w:t xml:space="preserve">, 716–729 (2018).</w:t>
      </w:r>
    </w:p>
    <w:bookmarkEnd w:id="205"/>
    <w:bookmarkStart w:id="207" w:name="ref-wagner2018"/>
    <w:p>
      <w:pPr>
        <w:pStyle w:val="Bibliography"/>
      </w:pPr>
      <w:r>
        <w:t xml:space="preserve">71.</w:t>
      </w:r>
      <w:r>
        <w:t xml:space="preserve"> </w:t>
      </w:r>
      <w:r>
        <w:t xml:space="preserve">	</w:t>
      </w:r>
      <w:r>
        <w:t xml:space="preserve">Wagner, F., Yan, Y. &amp; Yanai, I. K-nearest neighbor smoothing for high-throughput single-cell</w:t>
      </w:r>
      <w:r>
        <w:t xml:space="preserve"> </w:t>
      </w:r>
      <w:r>
        <w:t xml:space="preserve">RNA-Seq</w:t>
      </w:r>
      <w:r>
        <w:t xml:space="preserve"> </w:t>
      </w:r>
      <w:r>
        <w:t xml:space="preserve">data.</w:t>
      </w:r>
      <w:r>
        <w:t xml:space="preserve"> </w:t>
      </w:r>
      <w:r>
        <w:rPr>
          <w:i/>
          <w:iCs/>
        </w:rPr>
        <w:t xml:space="preserve">bioRxiv</w:t>
      </w:r>
      <w:r>
        <w:t xml:space="preserve"> </w:t>
      </w:r>
      <w:hyperlink r:id="rId206">
        <w:r>
          <w:rPr>
            <w:rStyle w:val="Hyperlink"/>
          </w:rPr>
          <w:t xml:space="preserve">https://doi.org/10.1101/217737</w:t>
        </w:r>
      </w:hyperlink>
      <w:r>
        <w:t xml:space="preserve"> </w:t>
      </w:r>
      <w:r>
        <w:t xml:space="preserve">(2018) doi:</w:t>
      </w:r>
      <w:hyperlink r:id="rId206">
        <w:r>
          <w:rPr>
            <w:rStyle w:val="Hyperlink"/>
          </w:rPr>
          <w:t xml:space="preserve">10.1101/217737</w:t>
        </w:r>
      </w:hyperlink>
      <w:r>
        <w:t xml:space="preserve">.</w:t>
      </w:r>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hyperlink" Id="rId174" Target="https://doi.org/10.1002/1097-0215(20001101)88:3&lt;469::AID-IJC21&gt;3.0.CO;2-7" TargetMode="External" /><Relationship Type="http://schemas.openxmlformats.org/officeDocument/2006/relationships/hyperlink" Id="rId190"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4" Target="https://doi.org/10.1016/j.cell.2018.05.061" TargetMode="External" /><Relationship Type="http://schemas.openxmlformats.org/officeDocument/2006/relationships/hyperlink" Id="rId186"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4" Target="https://doi.org/10.1016/j.jtbi.2020.110162" TargetMode="External" /><Relationship Type="http://schemas.openxmlformats.org/officeDocument/2006/relationships/hyperlink" Id="rId178" Target="https://doi.org/10.1021/j100540a008" TargetMode="External" /><Relationship Type="http://schemas.openxmlformats.org/officeDocument/2006/relationships/hyperlink" Id="rId162" Target="https://doi.org/10.1038/nature11814" TargetMode="External" /><Relationship Type="http://schemas.openxmlformats.org/officeDocument/2006/relationships/hyperlink" Id="rId152"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200"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60" Target="https://doi.org/10.1038/s41467-017-01968-5" TargetMode="External" /><Relationship Type="http://schemas.openxmlformats.org/officeDocument/2006/relationships/hyperlink" Id="rId156"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40" Target="https://doi.org/10.1038/s41587-021-00837-3" TargetMode="External" /><Relationship Type="http://schemas.openxmlformats.org/officeDocument/2006/relationships/hyperlink" Id="rId102" Target="https://doi.org/10.1038/s41587-023-01772-1" TargetMode="External" /><Relationship Type="http://schemas.openxmlformats.org/officeDocument/2006/relationships/hyperlink" Id="rId142" Target="https://doi.org/10.1038/s41588-020-00749-z" TargetMode="External" /><Relationship Type="http://schemas.openxmlformats.org/officeDocument/2006/relationships/hyperlink" Id="rId158"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72" Target="https://doi.org/10.1038/sj.bjc.6600827" TargetMode="External" /><Relationship Type="http://schemas.openxmlformats.org/officeDocument/2006/relationships/hyperlink" Id="rId176" Target="https://doi.org/10.1038/sj.bjc.6605792" TargetMode="External" /><Relationship Type="http://schemas.openxmlformats.org/officeDocument/2006/relationships/hyperlink" Id="rId180" Target="https://doi.org/10.1063/1.1378322" TargetMode="External" /><Relationship Type="http://schemas.openxmlformats.org/officeDocument/2006/relationships/hyperlink" Id="rId184" Target="https://doi.org/10.1063/1.1992473" TargetMode="External" /><Relationship Type="http://schemas.openxmlformats.org/officeDocument/2006/relationships/hyperlink" Id="rId182" Target="https://doi.org/10.1063/1.2159468" TargetMode="External" /><Relationship Type="http://schemas.openxmlformats.org/officeDocument/2006/relationships/hyperlink" Id="rId196"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92" Target="https://doi.org/10.1093/neuonc/nov029" TargetMode="External" /><Relationship Type="http://schemas.openxmlformats.org/officeDocument/2006/relationships/hyperlink" Id="rId188"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6"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6"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4" Target="https://doi.org/10.1103/PhysRevLett.97.168302" TargetMode="External" /><Relationship Type="http://schemas.openxmlformats.org/officeDocument/2006/relationships/hyperlink" Id="rId148" Target="https://doi.org/10.1103/mh5v-lcyw" TargetMode="External" /><Relationship Type="http://schemas.openxmlformats.org/officeDocument/2006/relationships/hyperlink" Id="rId150"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4" Target="https://doi.org/10.1158/0008-5472.CAN-20-0806" TargetMode="External" /><Relationship Type="http://schemas.openxmlformats.org/officeDocument/2006/relationships/hyperlink" Id="rId168"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6"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202" Target="https://doi.org/10.1371/journal.pone.0012776" TargetMode="External" /><Relationship Type="http://schemas.openxmlformats.org/officeDocument/2006/relationships/hyperlink" Id="rId170" Target="https://doi.org/10.1592/phco.24.1.16.34800" TargetMode="External" /><Relationship Type="http://schemas.openxmlformats.org/officeDocument/2006/relationships/hyperlink" Id="rId198"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4" Target="https://doi.org/10.7554/eLife.51002"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1097-0215(20001101)88:3&lt;469::AID-IJC21&gt;3.0.CO;2-7" TargetMode="External" /><Relationship Type="http://schemas.openxmlformats.org/officeDocument/2006/relationships/hyperlink" Id="rId190" Target="https://doi.org/10.1002/cncr.29957" TargetMode="External" /><Relationship Type="http://schemas.openxmlformats.org/officeDocument/2006/relationships/hyperlink" Id="rId132" Target="https://doi.org/10.1006/tpbi.1995.1027" TargetMode="External" /><Relationship Type="http://schemas.openxmlformats.org/officeDocument/2006/relationships/hyperlink" Id="rId66" Target="https://doi.org/10.1016/j.cell.2010.02.027" TargetMode="External" /><Relationship Type="http://schemas.openxmlformats.org/officeDocument/2006/relationships/hyperlink" Id="rId204" Target="https://doi.org/10.1016/j.cell.2018.05.061" TargetMode="External" /><Relationship Type="http://schemas.openxmlformats.org/officeDocument/2006/relationships/hyperlink" Id="rId186" Target="https://doi.org/10.1016/j.cell.2020.07.003" TargetMode="External" /><Relationship Type="http://schemas.openxmlformats.org/officeDocument/2006/relationships/hyperlink" Id="rId96" Target="https://doi.org/10.1016/j.cell.2024.11.015" TargetMode="External" /><Relationship Type="http://schemas.openxmlformats.org/officeDocument/2006/relationships/hyperlink" Id="rId104" Target="https://doi.org/10.1016/j.cels.2020.08.003" TargetMode="External" /><Relationship Type="http://schemas.openxmlformats.org/officeDocument/2006/relationships/hyperlink" Id="rId78" Target="https://doi.org/10.1016/j.cels.2026.101621" TargetMode="External" /><Relationship Type="http://schemas.openxmlformats.org/officeDocument/2006/relationships/hyperlink" Id="rId136" Target="https://doi.org/10.1016/j.isci.2022.105746" TargetMode="External" /><Relationship Type="http://schemas.openxmlformats.org/officeDocument/2006/relationships/hyperlink" Id="rId144" Target="https://doi.org/10.1016/j.jtbi.2020.110162" TargetMode="External" /><Relationship Type="http://schemas.openxmlformats.org/officeDocument/2006/relationships/hyperlink" Id="rId178" Target="https://doi.org/10.1021/j100540a008" TargetMode="External" /><Relationship Type="http://schemas.openxmlformats.org/officeDocument/2006/relationships/hyperlink" Id="rId162" Target="https://doi.org/10.1038/nature11814" TargetMode="External" /><Relationship Type="http://schemas.openxmlformats.org/officeDocument/2006/relationships/hyperlink" Id="rId152" Target="https://doi.org/10.1038/nature14318" TargetMode="External" /><Relationship Type="http://schemas.openxmlformats.org/officeDocument/2006/relationships/hyperlink" Id="rId68" Target="https://doi.org/10.1038/nature22794" TargetMode="External" /><Relationship Type="http://schemas.openxmlformats.org/officeDocument/2006/relationships/hyperlink" Id="rId200" Target="https://doi.org/10.1038/ng.729" TargetMode="External" /><Relationship Type="http://schemas.openxmlformats.org/officeDocument/2006/relationships/hyperlink" Id="rId70" Target="https://doi.org/10.1038/nm.4040" TargetMode="External" /><Relationship Type="http://schemas.openxmlformats.org/officeDocument/2006/relationships/hyperlink" Id="rId160" Target="https://doi.org/10.1038/s41467-017-01968-5" TargetMode="External" /><Relationship Type="http://schemas.openxmlformats.org/officeDocument/2006/relationships/hyperlink" Id="rId156" Target="https://doi.org/10.1038/s41467-018-07788-5" TargetMode="External" /><Relationship Type="http://schemas.openxmlformats.org/officeDocument/2006/relationships/hyperlink" Id="rId100" Target="https://doi.org/10.1038/s41467-019-10500-w" TargetMode="External" /><Relationship Type="http://schemas.openxmlformats.org/officeDocument/2006/relationships/hyperlink" Id="rId106" Target="https://doi.org/10.1038/s41467-021-24152-2" TargetMode="External" /><Relationship Type="http://schemas.openxmlformats.org/officeDocument/2006/relationships/hyperlink" Id="rId82" Target="https://doi.org/10.1038/s41467-023-41811-8" TargetMode="External" /><Relationship Type="http://schemas.openxmlformats.org/officeDocument/2006/relationships/hyperlink" Id="rId110" Target="https://doi.org/10.1038/s41467-024-48516-6" TargetMode="External" /><Relationship Type="http://schemas.openxmlformats.org/officeDocument/2006/relationships/hyperlink" Id="rId128" Target="https://doi.org/10.1038/s41540-023-00314-4" TargetMode="External" /><Relationship Type="http://schemas.openxmlformats.org/officeDocument/2006/relationships/hyperlink" Id="rId72" Target="https://doi.org/10.1038/s41586-021-03796-6" TargetMode="External" /><Relationship Type="http://schemas.openxmlformats.org/officeDocument/2006/relationships/hyperlink" Id="rId74" Target="https://doi.org/10.1038/s41586-024-07690-9" TargetMode="External" /><Relationship Type="http://schemas.openxmlformats.org/officeDocument/2006/relationships/hyperlink" Id="rId140" Target="https://doi.org/10.1038/s41587-021-00837-3" TargetMode="External" /><Relationship Type="http://schemas.openxmlformats.org/officeDocument/2006/relationships/hyperlink" Id="rId102" Target="https://doi.org/10.1038/s41587-023-01772-1" TargetMode="External" /><Relationship Type="http://schemas.openxmlformats.org/officeDocument/2006/relationships/hyperlink" Id="rId142" Target="https://doi.org/10.1038/s41588-020-00749-z" TargetMode="External" /><Relationship Type="http://schemas.openxmlformats.org/officeDocument/2006/relationships/hyperlink" Id="rId158" Target="https://doi.org/10.1038/s41591-020-1060-8" TargetMode="External" /><Relationship Type="http://schemas.openxmlformats.org/officeDocument/2006/relationships/hyperlink" Id="rId116" Target="https://doi.org/10.1038/s41592-019-0690-6" TargetMode="External" /><Relationship Type="http://schemas.openxmlformats.org/officeDocument/2006/relationships/hyperlink" Id="rId108" Target="https://doi.org/10.1038/s41592-025-02651-0" TargetMode="External" /><Relationship Type="http://schemas.openxmlformats.org/officeDocument/2006/relationships/hyperlink" Id="rId90" Target="https://doi.org/10.1038/s41592-025-02772-6" TargetMode="External" /><Relationship Type="http://schemas.openxmlformats.org/officeDocument/2006/relationships/hyperlink" Id="rId172" Target="https://doi.org/10.1038/sj.bjc.6600827" TargetMode="External" /><Relationship Type="http://schemas.openxmlformats.org/officeDocument/2006/relationships/hyperlink" Id="rId176" Target="https://doi.org/10.1038/sj.bjc.6605792" TargetMode="External" /><Relationship Type="http://schemas.openxmlformats.org/officeDocument/2006/relationships/hyperlink" Id="rId180" Target="https://doi.org/10.1063/1.1378322" TargetMode="External" /><Relationship Type="http://schemas.openxmlformats.org/officeDocument/2006/relationships/hyperlink" Id="rId184" Target="https://doi.org/10.1063/1.1992473" TargetMode="External" /><Relationship Type="http://schemas.openxmlformats.org/officeDocument/2006/relationships/hyperlink" Id="rId182" Target="https://doi.org/10.1063/1.2159468" TargetMode="External" /><Relationship Type="http://schemas.openxmlformats.org/officeDocument/2006/relationships/hyperlink" Id="rId196" Target="https://doi.org/10.1073/pnas.0803850105" TargetMode="External" /><Relationship Type="http://schemas.openxmlformats.org/officeDocument/2006/relationships/hyperlink" Id="rId112" Target="https://doi.org/10.1093/nar/gkac235" TargetMode="External" /><Relationship Type="http://schemas.openxmlformats.org/officeDocument/2006/relationships/hyperlink" Id="rId84" Target="https://doi.org/10.1093/nar/gkaf295" TargetMode="External" /><Relationship Type="http://schemas.openxmlformats.org/officeDocument/2006/relationships/hyperlink" Id="rId192" Target="https://doi.org/10.1093/neuonc/nov029" TargetMode="External" /><Relationship Type="http://schemas.openxmlformats.org/officeDocument/2006/relationships/hyperlink" Id="rId188" Target="https://doi.org/10.1098/rsif.2008.0172" TargetMode="External" /><Relationship Type="http://schemas.openxmlformats.org/officeDocument/2006/relationships/hyperlink" Id="rId138" Target="https://doi.org/10.1098/rsif.2017.0467" TargetMode="External" /><Relationship Type="http://schemas.openxmlformats.org/officeDocument/2006/relationships/hyperlink" Id="rId124" Target="https://doi.org/10.1098/rsif.2021.0274" TargetMode="External" /><Relationship Type="http://schemas.openxmlformats.org/officeDocument/2006/relationships/hyperlink" Id="rId118" Target="https://doi.org/10.1098/rsos.172234" TargetMode="External" /><Relationship Type="http://schemas.openxmlformats.org/officeDocument/2006/relationships/hyperlink" Id="rId146" Target="https://doi.org/10.1098/rsos.191243" TargetMode="External" /><Relationship Type="http://schemas.openxmlformats.org/officeDocument/2006/relationships/hyperlink" Id="rId80" Target="https://doi.org/10.1101/2025.01.15.633183" TargetMode="External" /><Relationship Type="http://schemas.openxmlformats.org/officeDocument/2006/relationships/hyperlink" Id="rId206" Target="https://doi.org/10.1101/217737" TargetMode="External" /><Relationship Type="http://schemas.openxmlformats.org/officeDocument/2006/relationships/hyperlink" Id="rId134" Target="https://doi.org/10.1103/PhysRevE.101.032403" TargetMode="External" /><Relationship Type="http://schemas.openxmlformats.org/officeDocument/2006/relationships/hyperlink" Id="rId194" Target="https://doi.org/10.1103/PhysRevLett.97.168302" TargetMode="External" /><Relationship Type="http://schemas.openxmlformats.org/officeDocument/2006/relationships/hyperlink" Id="rId148" Target="https://doi.org/10.1103/mh5v-lcyw" TargetMode="External" /><Relationship Type="http://schemas.openxmlformats.org/officeDocument/2006/relationships/hyperlink" Id="rId150" Target="https://doi.org/10.1111/rssb.12312" TargetMode="External" /><Relationship Type="http://schemas.openxmlformats.org/officeDocument/2006/relationships/hyperlink" Id="rId122" Target="https://doi.org/10.1126/sciadv.adl4895" TargetMode="External" /><Relationship Type="http://schemas.openxmlformats.org/officeDocument/2006/relationships/hyperlink" Id="rId164" Target="https://doi.org/10.1158/0008-5472.CAN-20-0806" TargetMode="External" /><Relationship Type="http://schemas.openxmlformats.org/officeDocument/2006/relationships/hyperlink" Id="rId168" Target="https://doi.org/10.1158/1078-0432.CCR-03-0807" TargetMode="External" /><Relationship Type="http://schemas.openxmlformats.org/officeDocument/2006/relationships/hyperlink" Id="rId130" Target="https://doi.org/10.1186/s12859-022-04778-9" TargetMode="External" /><Relationship Type="http://schemas.openxmlformats.org/officeDocument/2006/relationships/hyperlink" Id="rId98" Target="https://doi.org/10.1186/s13059-017-1305-0" TargetMode="External" /><Relationship Type="http://schemas.openxmlformats.org/officeDocument/2006/relationships/hyperlink" Id="rId114" Target="https://doi.org/10.1186/s13059-020-02000-8" TargetMode="External" /><Relationship Type="http://schemas.openxmlformats.org/officeDocument/2006/relationships/hyperlink" Id="rId166" Target="https://doi.org/10.1200/JCO.2013.49.6968" TargetMode="External" /><Relationship Type="http://schemas.openxmlformats.org/officeDocument/2006/relationships/hyperlink" Id="rId126" Target="https://doi.org/10.1371/journal.pcbi.1005991" TargetMode="External" /><Relationship Type="http://schemas.openxmlformats.org/officeDocument/2006/relationships/hyperlink" Id="rId86" Target="https://doi.org/10.1371/journal.pcbi.1013014" TargetMode="External" /><Relationship Type="http://schemas.openxmlformats.org/officeDocument/2006/relationships/hyperlink" Id="rId76" Target="https://doi.org/10.1371/journal.pcbi.1013446" TargetMode="External" /><Relationship Type="http://schemas.openxmlformats.org/officeDocument/2006/relationships/hyperlink" Id="rId120" Target="https://doi.org/10.1371/journal.pcbi.1014366" TargetMode="External" /><Relationship Type="http://schemas.openxmlformats.org/officeDocument/2006/relationships/hyperlink" Id="rId202" Target="https://doi.org/10.1371/journal.pone.0012776" TargetMode="External" /><Relationship Type="http://schemas.openxmlformats.org/officeDocument/2006/relationships/hyperlink" Id="rId170" Target="https://doi.org/10.1592/phco.24.1.16.34800" TargetMode="External" /><Relationship Type="http://schemas.openxmlformats.org/officeDocument/2006/relationships/hyperlink" Id="rId198" Target="https://doi.org/10.5334/jors.151" TargetMode="External" /><Relationship Type="http://schemas.openxmlformats.org/officeDocument/2006/relationships/hyperlink" Id="rId94" Target="https://doi.org/10.64898/2026.02.04.703804" TargetMode="External" /><Relationship Type="http://schemas.openxmlformats.org/officeDocument/2006/relationships/hyperlink" Id="rId88" Target="https://doi.org/10.64898/2026.04.14.718485" TargetMode="External" /><Relationship Type="http://schemas.openxmlformats.org/officeDocument/2006/relationships/hyperlink" Id="rId92" Target="https://doi.org/10.64898/2026.04.20.719650" TargetMode="External" /><Relationship Type="http://schemas.openxmlformats.org/officeDocument/2006/relationships/hyperlink" Id="rId154" Target="https://doi.org/10.7554/eLife.510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2026-09-20T13:10:44Z</dcterms:created>
  <dcterms:modified xsi:type="dcterms:W3CDTF">2026-09-20T13:10:44Z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decide which cancer cells survive a drug, yet the simulators used to benchmark single-cell methods model neither growth nor division, so cannot generate such states. Here we present Biomodelling.jl 2.0, in which stochastic reaction kinetics run inside growing, dividing, drug-treated cells. Exact, hybrid and adaptive kernels couple to exponential growth, volume-scaled transcription, gene replication, division with binomial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ground truth that benchmarks of memory genes, network inference and perturbation prediction lack. Calibrated to time-lapse measurements of cisplatin-treated cells, it reproduces the dose-invariance of single-cell timing and the kin fate correlations, though six parameters fitted to six fate fractions leave that memory undetermined, and a cycle-gated hazard fits as well. With a built-in optimiser it reproduces the opposite rankings of intermittent dosing reported in a melanoma trial and in xenografts, and shows the ranking to turn on two measurable cell properties: growth under drug and fitness without it.</vt:lpwstr>
  </property>
  <property fmtid="{D5CDD505-2E9C-101B-9397-08002B2CF9AE}" pid="3" name="bibliography">
    <vt:lpwstr>references.bib</vt:lpwstr>
  </property>
  <property fmtid="{D5CDD505-2E9C-101B-9397-08002B2CF9AE}" pid="4" name="csl">
    <vt:lpwstr>nature.csl</vt:lpwstr>
  </property>
  <property fmtid="{D5CDD505-2E9C-101B-9397-08002B2CF9AE}" pid="5" name="date">
    <vt:lpwstr>Correspondence: alasri@berache.com</vt:lpwstr>
  </property>
</Properties>
</file>