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Independent</w:t>
      </w:r>
      <w:r>
        <w:t xml:space="preserve"> </w:t>
      </w:r>
      <w:r>
        <w:t xml:space="preserve">researcher,</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supplies</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cells,</w:t>
      </w:r>
      <w:r>
        <w:t xml:space="preserve"> </w:t>
      </w:r>
      <w:r>
        <w:t xml:space="preserve">it</w:t>
      </w:r>
      <w:r>
        <w:t xml:space="preserve"> </w:t>
      </w:r>
      <w:r>
        <w:t xml:space="preserve">reproduces</w:t>
      </w:r>
      <w:r>
        <w:t xml:space="preserve"> </w:t>
      </w:r>
      <w:r>
        <w:t xml:space="preserve">the</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though</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that</w:t>
      </w:r>
      <w:r>
        <w:t xml:space="preserve"> </w:t>
      </w:r>
      <w:r>
        <w:t xml:space="preserve">memory</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Its</w:t>
      </w:r>
      <w:r>
        <w:t xml:space="preserve"> </w:t>
      </w:r>
      <w:r>
        <w:t xml:space="preserve">schedule</w:t>
      </w:r>
      <w:r>
        <w:t xml:space="preserve"> </w:t>
      </w:r>
      <w:r>
        <w:t xml:space="preserve">optimiser</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two</w:t>
      </w:r>
      <w:r>
        <w:t xml:space="preserve"> </w:t>
      </w:r>
      <w:r>
        <w:t xml:space="preserve">measurable</w:t>
      </w:r>
      <w:r>
        <w:t xml:space="preserve"> </w:t>
      </w:r>
      <w:r>
        <w:t xml:space="preserve">cell</w:t>
      </w:r>
      <w:r>
        <w:t xml:space="preserve"> </w:t>
      </w:r>
      <w:r>
        <w:t xml:space="preserve">properties:</w:t>
      </w:r>
      <w:r>
        <w:t xml:space="preserve"> </w:t>
      </w:r>
      <w:r>
        <w:t xml:space="preserve">growth</w:t>
      </w:r>
      <w:r>
        <w:t xml:space="preserve"> </w:t>
      </w:r>
      <w:r>
        <w:t xml:space="preserve">under</w:t>
      </w:r>
      <w:r>
        <w:t xml:space="preserve"> </w:t>
      </w:r>
      <w:r>
        <w:t xml:space="preserve">drug</w:t>
      </w:r>
      <w:r>
        <w:t xml:space="preserve"> </w:t>
      </w:r>
      <w:r>
        <w:t xml:space="preserve">and</w:t>
      </w:r>
      <w:r>
        <w:t xml:space="preserve"> </w:t>
      </w:r>
      <w:r>
        <w:t xml:space="preserve">fitness</w:t>
      </w:r>
      <w:r>
        <w:t xml:space="preserve"> </w:t>
      </w:r>
      <w:r>
        <w:t xml:space="preserve">without</w:t>
      </w:r>
      <w:r>
        <w:t xml:space="preserve"> </w:t>
      </w:r>
      <w:r>
        <w:t xml:space="preserve">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divide into two kinds, and neither models cell growth, volume-dependent transcription, gene replication or the partitioning of molecules at division. Splatter and scDesign3 draw counts from statistical models fitted to reference data, and GRouNdGAN learns them adversarially from it</w:t>
      </w:r>
      <w:r>
        <w:rPr>
          <w:vertAlign w:val="superscript"/>
        </w:rPr>
        <w:t xml:space="preserve">17–19</w:t>
      </w:r>
      <w:r>
        <w:t xml:space="preserve">; SymSim, SERGIO, dyngen and scMultiSim attach a regulatory network to the kinetics and so model regulation itself</w:t>
      </w:r>
      <w:r>
        <w:rPr>
          <w:vertAlign w:val="superscript"/>
        </w:rPr>
        <w:t xml:space="preserve">20–23</w:t>
      </w:r>
      <w:r>
        <w:t xml:space="preserve">. Most of them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28" w:name="results"/>
    <w:p>
      <w:pPr>
        <w:pStyle w:val="Heading1"/>
      </w:pPr>
      <w:r>
        <w:t xml:space="preserve">Results</w:t>
      </w:r>
    </w:p>
    <w:bookmarkStart w:id="20"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21</w:t>
      </w:r>
      <w:r>
        <w:t xml:space="preserve">, dyngen</w:t>
      </w:r>
      <w:r>
        <w:rPr>
          <w:vertAlign w:val="superscript"/>
        </w:rPr>
        <w:t xml:space="preserve">22</w:t>
      </w:r>
      <w:r>
        <w:t xml:space="preserve">, scMultiSim</w:t>
      </w:r>
      <w:r>
        <w:rPr>
          <w:vertAlign w:val="superscript"/>
        </w:rPr>
        <w:t xml:space="preserve">23</w:t>
      </w:r>
      <w:r>
        <w:t xml:space="preserve">, GRouNdGAN</w:t>
      </w:r>
      <w:r>
        <w:rPr>
          <w:vertAlign w:val="superscript"/>
        </w:rPr>
        <w:t xml:space="preserve">19</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0"/>
    <w:bookmarkStart w:id="21"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1"/>
    <w:bookmarkStart w:id="22"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2"/>
    <w:bookmarkStart w:id="23"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melanoma case study below does not sit in that regime: it uses 1:200, the per-marker frequency at which rare cells express resistance genes before drug</w:t>
      </w:r>
      <w:r>
        <w:rPr>
          <w:vertAlign w:val="superscript"/>
        </w:rP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The gap between the best schedule and the next best is 0.0003 to 0.0006 per time unit, against a standard error of 0.0001 to 0.0008 on the difference, so the ranking of the top two schedules is resolved in 1 of the 3 mechanisms; elsewhere the scan identifies a region of good schedules rather than a single best one.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the margin over the best holiday exceeds twice its standard error in 5 of the 6 comparisons, the exception being pre-existing tolerance without the gate (+0.0004 against a standard error of 0.0005) (Supplementary Note 13 and Supplementary Fig. 5).</w:t>
      </w:r>
    </w:p>
    <w:bookmarkEnd w:id="23"/>
    <w:bookmarkStart w:id="24"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24"/>
    <w:bookmarkStart w:id="25"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5"/>
    <w:bookmarkStart w:id="26"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6"/>
    <w:bookmarkStart w:id="27"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a plasma value from a three-compartment population model of plasma and cerebrospinal fluid</w:t>
      </w:r>
      <w:r>
        <w:rPr>
          <w:vertAlign w:val="superscript"/>
        </w:rPr>
        <w:t xml:space="preserve">52</w:t>
      </w:r>
      <w:r>
        <w:t xml:space="preserve">; an independent single-dose study gives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7"/>
    <w:bookmarkEnd w:id="28"/>
    <w:bookmarkStart w:id="29"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29"/>
    <w:bookmarkStart w:id="47" w:name="methods"/>
    <w:p>
      <w:pPr>
        <w:pStyle w:val="Heading1"/>
      </w:pPr>
      <w:r>
        <w:t xml:space="preserve">Methods</w:t>
      </w:r>
    </w:p>
    <w:bookmarkStart w:id="30"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0"/>
    <w:bookmarkStart w:id="31"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1"/>
    <w:bookmarkStart w:id="32"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32"/>
    <w:bookmarkStart w:id="33"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r>
                  <m:t>m</m:t>
                </m:r>
              </m:sup>
            </m:sSup>
          </m:e>
        </m:d>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3"/>
    <w:bookmarkStart w:id="34"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34"/>
    <w:bookmarkStart w:id="35"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5"/>
    <w:bookmarkStart w:id="36"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36"/>
    <w:bookmarkStart w:id="37"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7"/>
    <w:bookmarkStart w:id="38"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rPr>
          <w:vertAlign w:val="superscript"/>
        </w:rPr>
        <w:t xml:space="preserve">38</w:t>
      </w:r>
      <w:r>
        <w:t xml:space="preserve">; the arms of Fig. 8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38"/>
    <w:bookmarkStart w:id="39"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39"/>
    <w:bookmarkStart w:id="40"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0"/>
    <w:bookmarkStart w:id="41"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1"/>
    <w:bookmarkStart w:id="42"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42"/>
    <w:bookmarkStart w:id="43"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3"/>
    <w:bookmarkStart w:id="44"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w:t>
      </w:r>
    </w:p>
    <w:bookmarkEnd w:id="44"/>
    <w:bookmarkStart w:id="45"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w:t>
      </w:r>
    </w:p>
    <w:bookmarkEnd w:id="45"/>
    <w:bookmarkStart w:id="46"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46"/>
    <w:bookmarkEnd w:id="47"/>
    <w:bookmarkStart w:id="72" w:name="figure-legends"/>
    <w:p>
      <w:pPr>
        <w:pStyle w:val="Heading1"/>
      </w:pPr>
      <w:r>
        <w:t xml:space="preserve">Figure legends</w:t>
      </w:r>
    </w:p>
    <w:p>
      <w:pPr>
        <w:pStyle w:val="FirstParagraph"/>
      </w:pPr>
      <w:r>
        <w:drawing>
          <wp:inline>
            <wp:extent cx="5334000" cy="3630083"/>
            <wp:effectExtent b="0" l="0" r="0" t="0"/>
            <wp:docPr descr="" title="" id="49" name="Picture"/>
            <a:graphic>
              <a:graphicData uri="http://schemas.openxmlformats.org/drawingml/2006/picture">
                <pic:pic>
                  <pic:nvPicPr>
                    <pic:cNvPr descr="fig1_framework.png" id="50" name="Picture"/>
                    <pic:cNvPicPr>
                      <a:picLocks noChangeArrowheads="1" noChangeAspect="1"/>
                    </pic:cNvPicPr>
                  </pic:nvPicPr>
                  <pic:blipFill>
                    <a:blip r:embed="rId48"/>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389118"/>
            <wp:effectExtent b="0" l="0" r="0" t="0"/>
            <wp:docPr descr="" title="" id="52" name="Picture"/>
            <a:graphic>
              <a:graphicData uri="http://schemas.openxmlformats.org/drawingml/2006/picture">
                <pic:pic>
                  <pic:nvPicPr>
                    <pic:cNvPr descr="fig2_engine.png" id="53" name="Picture"/>
                    <pic:cNvPicPr>
                      <a:picLocks noChangeArrowheads="1" noChangeAspect="1"/>
                    </pic:cNvPicPr>
                  </pic:nvPicPr>
                  <pic:blipFill>
                    <a:blip r:embed="rId51"/>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55" name="Picture"/>
            <a:graphic>
              <a:graphicData uri="http://schemas.openxmlformats.org/drawingml/2006/picture">
                <pic:pic>
                  <pic:nvPicPr>
                    <pic:cNvPr descr="fig3_growth.png" id="56" name="Picture"/>
                    <pic:cNvPicPr>
                      <a:picLocks noChangeArrowheads="1" noChangeAspect="1"/>
                    </pic:cNvPicPr>
                  </pic:nvPicPr>
                  <pic:blipFill>
                    <a:blip r:embed="rId54"/>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61953"/>
            <wp:effectExtent b="0" l="0" r="0" t="0"/>
            <wp:docPr descr="" title="" id="58" name="Picture"/>
            <a:graphic>
              <a:graphicData uri="http://schemas.openxmlformats.org/drawingml/2006/picture">
                <pic:pic>
                  <pic:nvPicPr>
                    <pic:cNvPr descr="fig4_persisters.png" id="59" name="Picture"/>
                    <pic:cNvPicPr>
                      <a:picLocks noChangeArrowheads="1" noChangeAspect="1"/>
                    </pic:cNvPicPr>
                  </pic:nvPicPr>
                  <pic:blipFill>
                    <a:blip r:embed="rId57"/>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61" name="Picture"/>
            <a:graphic>
              <a:graphicData uri="http://schemas.openxmlformats.org/drawingml/2006/picture">
                <pic:pic>
                  <pic:nvPicPr>
                    <pic:cNvPr descr="fig5_benchmarks.png" id="62" name="Picture"/>
                    <pic:cNvPicPr>
                      <a:picLocks noChangeArrowheads="1" noChangeAspect="1"/>
                    </pic:cNvPicPr>
                  </pic:nvPicPr>
                  <pic:blipFill>
                    <a:blip r:embed="rId60"/>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64" name="Picture"/>
            <a:graphic>
              <a:graphicData uri="http://schemas.openxmlformats.org/drawingml/2006/picture">
                <pic:pic>
                  <pic:nvPicPr>
                    <pic:cNvPr descr="fig6_inference.png" id="65" name="Picture"/>
                    <pic:cNvPicPr>
                      <a:picLocks noChangeArrowheads="1" noChangeAspect="1"/>
                    </pic:cNvPicPr>
                  </pic:nvPicPr>
                  <pic:blipFill>
                    <a:blip r:embed="rId63"/>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67" name="Picture"/>
            <a:graphic>
              <a:graphicData uri="http://schemas.openxmlformats.org/drawingml/2006/picture">
                <pic:pic>
                  <pic:nvPicPr>
                    <pic:cNvPr descr="fig7_calibration.png" id="68" name="Picture"/>
                    <pic:cNvPicPr>
                      <a:picLocks noChangeArrowheads="1" noChangeAspect="1"/>
                    </pic:cNvPicPr>
                  </pic:nvPicPr>
                  <pic:blipFill>
                    <a:blip r:embed="rId66"/>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440370"/>
            <wp:effectExtent b="0" l="0" r="0" t="0"/>
            <wp:docPr descr="" title="" id="70" name="Picture"/>
            <a:graphic>
              <a:graphicData uri="http://schemas.openxmlformats.org/drawingml/2006/picture">
                <pic:pic>
                  <pic:nvPicPr>
                    <pic:cNvPr descr="fig8_schedules.png" id="71" name="Picture"/>
                    <pic:cNvPicPr>
                      <a:picLocks noChangeArrowheads="1" noChangeAspect="1"/>
                    </pic:cNvPicPr>
                  </pic:nvPicPr>
                  <pic:blipFill>
                    <a:blip r:embed="rId69"/>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2"/>
    <w:bookmarkStart w:id="73"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3"/>
    <w:bookmarkStart w:id="74"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4"/>
    <w:bookmarkStart w:id="75" w:name="competing-interests"/>
    <w:p>
      <w:pPr>
        <w:pStyle w:val="Heading1"/>
      </w:pPr>
      <w:r>
        <w:t xml:space="preserve">Competing interests</w:t>
      </w:r>
    </w:p>
    <w:p>
      <w:pPr>
        <w:pStyle w:val="FirstParagraph"/>
      </w:pPr>
      <w:r>
        <w:t xml:space="preserve">The author declares no competing interests.</w:t>
      </w:r>
    </w:p>
    <w:bookmarkEnd w:id="75"/>
    <w:bookmarkStart w:id="76" w:name="additional-information"/>
    <w:p>
      <w:pPr>
        <w:pStyle w:val="Heading1"/>
      </w:pPr>
      <w:r>
        <w:t xml:space="preserve">Additional information</w:t>
      </w:r>
    </w:p>
    <w:p>
      <w:pPr>
        <w:pStyle w:val="FirstParagraph"/>
      </w:pPr>
      <w:r>
        <w:rPr>
          <w:bCs/>
          <w:b/>
        </w:rPr>
        <w:t xml:space="preserve">Supplementary information</w:t>
      </w:r>
      <w:r>
        <w:t xml:space="preserve"> </w:t>
      </w:r>
      <w:r>
        <w:t xml:space="preserve">accompanies this Article. Correspondence and requests for materials should be addressed to A.L.</w:t>
      </w:r>
    </w:p>
    <w:bookmarkEnd w:id="76"/>
    <w:bookmarkStart w:id="220" w:name="references"/>
    <w:p>
      <w:pPr>
        <w:pStyle w:val="Heading1"/>
      </w:pPr>
      <w:r>
        <w:t xml:space="preserve">References</w:t>
      </w:r>
    </w:p>
    <w:bookmarkStart w:id="219" w:name="refs"/>
    <w:bookmarkStart w:id="78" w:name="ref-sharma2010"/>
    <w:p>
      <w:pPr>
        <w:pStyle w:val="Bibliography"/>
      </w:pPr>
      <w:r>
        <w:t xml:space="preserve">1.</w:t>
      </w:r>
      <w:r>
        <w:t xml:space="preserve"> </w:t>
      </w:r>
      <w:r>
        <w:t xml:space="preserve">	</w:t>
      </w:r>
      <w:r>
        <w:t xml:space="preserve">Sharma, S. V.</w:t>
      </w:r>
      <w:r>
        <w:t xml:space="preserve"> </w:t>
      </w:r>
      <w:r>
        <w:rPr>
          <w:iCs/>
          <w:i/>
        </w:rPr>
        <w:t xml:space="preserve">et al.</w:t>
      </w:r>
      <w:r>
        <w:t xml:space="preserve"> </w:t>
      </w:r>
      <w:hyperlink r:id="rId77">
        <w:r>
          <w:rPr>
            <w:rStyle w:val="Hyperlink"/>
          </w:rPr>
          <w:t xml:space="preserve">A chromatin-mediated reversible drug-tolerant state in cancer cell subpopulations</w:t>
        </w:r>
      </w:hyperlink>
      <w:r>
        <w:t xml:space="preserve">.</w:t>
      </w:r>
      <w:r>
        <w:t xml:space="preserve"> </w:t>
      </w:r>
      <w:r>
        <w:rPr>
          <w:iCs/>
          <w:i/>
        </w:rPr>
        <w:t xml:space="preserve">Cell</w:t>
      </w:r>
      <w:r>
        <w:t xml:space="preserve"> </w:t>
      </w:r>
      <w:r>
        <w:rPr>
          <w:bCs/>
          <w:b/>
        </w:rPr>
        <w:t xml:space="preserve">141</w:t>
      </w:r>
      <w:r>
        <w:t xml:space="preserve">, 69–80 (2010).</w:t>
      </w:r>
    </w:p>
    <w:bookmarkEnd w:id="78"/>
    <w:bookmarkStart w:id="80" w:name="ref-shaffer2017"/>
    <w:p>
      <w:pPr>
        <w:pStyle w:val="Bibliography"/>
      </w:pPr>
      <w:r>
        <w:t xml:space="preserve">2.</w:t>
      </w:r>
      <w:r>
        <w:t xml:space="preserve"> </w:t>
      </w:r>
      <w:r>
        <w:t xml:space="preserve">	</w:t>
      </w:r>
      <w:r>
        <w:t xml:space="preserve">Shaffer, S. M.</w:t>
      </w:r>
      <w:r>
        <w:t xml:space="preserve"> </w:t>
      </w:r>
      <w:r>
        <w:rPr>
          <w:iCs/>
          <w:i/>
        </w:rPr>
        <w:t xml:space="preserve">et al.</w:t>
      </w:r>
      <w:r>
        <w:t xml:space="preserve"> </w:t>
      </w:r>
      <w:hyperlink r:id="rId79">
        <w:r>
          <w:rPr>
            <w:rStyle w:val="Hyperlink"/>
          </w:rPr>
          <w:t xml:space="preserve">Rare cell variability and drug-induced reprogramming as a mode of cancer drug resistance</w:t>
        </w:r>
      </w:hyperlink>
      <w:r>
        <w:t xml:space="preserve">.</w:t>
      </w:r>
      <w:r>
        <w:t xml:space="preserve"> </w:t>
      </w:r>
      <w:r>
        <w:rPr>
          <w:iCs/>
          <w:i/>
        </w:rPr>
        <w:t xml:space="preserve">Nature</w:t>
      </w:r>
      <w:r>
        <w:t xml:space="preserve"> </w:t>
      </w:r>
      <w:r>
        <w:rPr>
          <w:bCs/>
          <w:b/>
        </w:rPr>
        <w:t xml:space="preserve">546</w:t>
      </w:r>
      <w:r>
        <w:t xml:space="preserve">, 431–435 (2017).</w:t>
      </w:r>
    </w:p>
    <w:bookmarkEnd w:id="80"/>
    <w:bookmarkStart w:id="82" w:name="ref-hata2016"/>
    <w:p>
      <w:pPr>
        <w:pStyle w:val="Bibliography"/>
      </w:pPr>
      <w:r>
        <w:t xml:space="preserve">3.</w:t>
      </w:r>
      <w:r>
        <w:t xml:space="preserve"> </w:t>
      </w:r>
      <w:r>
        <w:t xml:space="preserve">	</w:t>
      </w:r>
      <w:r>
        <w:t xml:space="preserve">Hata, A. N.</w:t>
      </w:r>
      <w:r>
        <w:t xml:space="preserve"> </w:t>
      </w:r>
      <w:r>
        <w:rPr>
          <w:iCs/>
          <w:i/>
        </w:rPr>
        <w:t xml:space="preserve">et al.</w:t>
      </w:r>
      <w:r>
        <w:t xml:space="preserve"> </w:t>
      </w:r>
      <w:hyperlink r:id="rId81">
        <w:r>
          <w:rPr>
            <w:rStyle w:val="Hyperlink"/>
          </w:rPr>
          <w:t xml:space="preserve">Tumor cells can follow distinct evolutionary paths to become resistant to epidermal growth factor receptor inhibition</w:t>
        </w:r>
      </w:hyperlink>
      <w:r>
        <w:t xml:space="preserve">.</w:t>
      </w:r>
      <w:r>
        <w:t xml:space="preserve"> </w:t>
      </w:r>
      <w:r>
        <w:rPr>
          <w:iCs/>
          <w:i/>
        </w:rPr>
        <w:t xml:space="preserve">Nature Medicine</w:t>
      </w:r>
      <w:r>
        <w:t xml:space="preserve"> </w:t>
      </w:r>
      <w:r>
        <w:rPr>
          <w:bCs/>
          <w:b/>
        </w:rPr>
        <w:t xml:space="preserve">22</w:t>
      </w:r>
      <w:r>
        <w:t xml:space="preserve">, 262–269 (2016).</w:t>
      </w:r>
    </w:p>
    <w:bookmarkEnd w:id="82"/>
    <w:bookmarkStart w:id="84" w:name="ref-oren2021"/>
    <w:p>
      <w:pPr>
        <w:pStyle w:val="Bibliography"/>
      </w:pPr>
      <w:r>
        <w:t xml:space="preserve">4.</w:t>
      </w:r>
      <w:r>
        <w:t xml:space="preserve"> </w:t>
      </w:r>
      <w:r>
        <w:t xml:space="preserve">	</w:t>
      </w:r>
      <w:r>
        <w:t xml:space="preserve">Oren, Y.</w:t>
      </w:r>
      <w:r>
        <w:t xml:space="preserve"> </w:t>
      </w:r>
      <w:r>
        <w:rPr>
          <w:iCs/>
          <w:i/>
        </w:rPr>
        <w:t xml:space="preserve">et al.</w:t>
      </w:r>
      <w:r>
        <w:t xml:space="preserve"> </w:t>
      </w:r>
      <w:hyperlink r:id="rId83">
        <w:r>
          <w:rPr>
            <w:rStyle w:val="Hyperlink"/>
          </w:rPr>
          <w:t xml:space="preserve">Cycling cancer persister cells arise from lineages with distinct programs</w:t>
        </w:r>
      </w:hyperlink>
      <w:r>
        <w:t xml:space="preserve">.</w:t>
      </w:r>
      <w:r>
        <w:t xml:space="preserve"> </w:t>
      </w:r>
      <w:r>
        <w:rPr>
          <w:iCs/>
          <w:i/>
        </w:rPr>
        <w:t xml:space="preserve">Nature</w:t>
      </w:r>
      <w:r>
        <w:t xml:space="preserve"> </w:t>
      </w:r>
      <w:r>
        <w:rPr>
          <w:bCs/>
          <w:b/>
        </w:rPr>
        <w:t xml:space="preserve">596</w:t>
      </w:r>
      <w:r>
        <w:t xml:space="preserve">, 576–582 (2021).</w:t>
      </w:r>
    </w:p>
    <w:bookmarkEnd w:id="84"/>
    <w:bookmarkStart w:id="86" w:name="ref-franca2024"/>
    <w:p>
      <w:pPr>
        <w:pStyle w:val="Bibliography"/>
      </w:pPr>
      <w:r>
        <w:t xml:space="preserve">5.</w:t>
      </w:r>
      <w:r>
        <w:t xml:space="preserve"> </w:t>
      </w:r>
      <w:r>
        <w:t xml:space="preserve">	</w:t>
      </w:r>
      <w:r>
        <w:t xml:space="preserve">França, G. S.</w:t>
      </w:r>
      <w:r>
        <w:t xml:space="preserve"> </w:t>
      </w:r>
      <w:r>
        <w:rPr>
          <w:iCs/>
          <w:i/>
        </w:rPr>
        <w:t xml:space="preserve">et al.</w:t>
      </w:r>
      <w:r>
        <w:t xml:space="preserve"> </w:t>
      </w:r>
      <w:hyperlink r:id="rId85">
        <w:r>
          <w:rPr>
            <w:rStyle w:val="Hyperlink"/>
          </w:rPr>
          <w:t xml:space="preserve">Cellular adaptation to cancer therapy along a resistance continuum</w:t>
        </w:r>
      </w:hyperlink>
      <w:r>
        <w:t xml:space="preserve">.</w:t>
      </w:r>
      <w:r>
        <w:t xml:space="preserve"> </w:t>
      </w:r>
      <w:r>
        <w:rPr>
          <w:iCs/>
          <w:i/>
        </w:rPr>
        <w:t xml:space="preserve">Nature</w:t>
      </w:r>
      <w:r>
        <w:t xml:space="preserve"> </w:t>
      </w:r>
      <w:r>
        <w:rPr>
          <w:bCs/>
          <w:b/>
        </w:rPr>
        <w:t xml:space="preserve">631</w:t>
      </w:r>
      <w:r>
        <w:t xml:space="preserve">, 876–883 (2024).</w:t>
      </w:r>
    </w:p>
    <w:bookmarkEnd w:id="86"/>
    <w:bookmarkStart w:id="88" w:name="ref-iyer2025"/>
    <w:p>
      <w:pPr>
        <w:pStyle w:val="Bibliography"/>
      </w:pPr>
      <w:r>
        <w:t xml:space="preserve">6.</w:t>
      </w:r>
      <w:r>
        <w:t xml:space="preserve"> </w:t>
      </w:r>
      <w:r>
        <w:t xml:space="preserve">	</w:t>
      </w:r>
      <w:r>
        <w:t xml:space="preserve">Iyer, A., Alva, A., Granada, A. E. &amp; Chakrabarti, S.</w:t>
      </w:r>
      <w:r>
        <w:t xml:space="preserve"> </w:t>
      </w:r>
      <w:hyperlink r:id="rId87">
        <w:r>
          <w:rPr>
            <w:rStyle w:val="Hyperlink"/>
          </w:rPr>
          <w:t xml:space="preserve">Inheritable cell-states shape drug-persister correlations and population dynamics in cancer cells</w:t>
        </w:r>
      </w:hyperlink>
      <w:r>
        <w:t xml:space="preserve">.</w:t>
      </w:r>
      <w:r>
        <w:t xml:space="preserve"> </w:t>
      </w:r>
      <w:r>
        <w:rPr>
          <w:iCs/>
          <w:i/>
        </w:rPr>
        <w:t xml:space="preserve">PLoS Computational Biology</w:t>
      </w:r>
      <w:r>
        <w:t xml:space="preserve"> </w:t>
      </w:r>
      <w:r>
        <w:rPr>
          <w:bCs/>
          <w:b/>
        </w:rPr>
        <w:t xml:space="preserve">21</w:t>
      </w:r>
      <w:r>
        <w:t xml:space="preserve">, e1013446 (2025).</w:t>
      </w:r>
    </w:p>
    <w:bookmarkEnd w:id="88"/>
    <w:bookmarkStart w:id="90" w:name="ref-lin2025memory"/>
    <w:p>
      <w:pPr>
        <w:pStyle w:val="Bibliography"/>
      </w:pPr>
      <w:r>
        <w:t xml:space="preserve">7.</w:t>
      </w:r>
      <w:r>
        <w:t xml:space="preserve"> </w:t>
      </w:r>
      <w:r>
        <w:t xml:space="preserve">	</w:t>
      </w:r>
      <w:r>
        <w:t xml:space="preserve">Lin, Y., Chen, X., Wu, L., Zhou, Y. &amp; Lin, Y.</w:t>
      </w:r>
      <w:r>
        <w:t xml:space="preserve"> </w:t>
      </w:r>
      <w:hyperlink r:id="rId89">
        <w:r>
          <w:rPr>
            <w:rStyle w:val="Hyperlink"/>
          </w:rPr>
          <w:t xml:space="preserve">Widespread transcriptional memory shapes heritable states and functional heterogeneity in cancer and stem cells</w:t>
        </w:r>
      </w:hyperlink>
      <w:r>
        <w:t xml:space="preserve">.</w:t>
      </w:r>
      <w:r>
        <w:t xml:space="preserve"> </w:t>
      </w:r>
      <w:r>
        <w:rPr>
          <w:iCs/>
          <w:i/>
        </w:rPr>
        <w:t xml:space="preserve">Cell Systems</w:t>
      </w:r>
      <w:r>
        <w:t xml:space="preserve"> </w:t>
      </w:r>
      <w:r>
        <w:rPr>
          <w:bCs/>
          <w:b/>
        </w:rPr>
        <w:t xml:space="preserve">17</w:t>
      </w:r>
      <w:r>
        <w:t xml:space="preserve">, 101621 (2026).</w:t>
      </w:r>
    </w:p>
    <w:bookmarkEnd w:id="90"/>
    <w:bookmarkStart w:id="92"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Cs/>
          <w:i/>
        </w:rPr>
        <w:t xml:space="preserve">bioRxiv</w:t>
      </w:r>
      <w:r>
        <w:t xml:space="preserve"> </w:t>
      </w:r>
      <w:hyperlink r:id="rId91">
        <w:r>
          <w:rPr>
            <w:rStyle w:val="Hyperlink"/>
          </w:rPr>
          <w:t xml:space="preserve">https://doi.org/10.1101/2025.01.15.633183</w:t>
        </w:r>
      </w:hyperlink>
      <w:r>
        <w:t xml:space="preserve"> </w:t>
      </w:r>
      <w:r>
        <w:t xml:space="preserve">(2025).</w:t>
      </w:r>
    </w:p>
    <w:bookmarkEnd w:id="92"/>
    <w:bookmarkStart w:id="94" w:name="ref-harmange2023"/>
    <w:p>
      <w:pPr>
        <w:pStyle w:val="Bibliography"/>
      </w:pPr>
      <w:r>
        <w:t xml:space="preserve">9.</w:t>
      </w:r>
      <w:r>
        <w:t xml:space="preserve"> </w:t>
      </w:r>
      <w:r>
        <w:t xml:space="preserve">	</w:t>
      </w:r>
      <w:r>
        <w:t xml:space="preserve">Harmange, G.</w:t>
      </w:r>
      <w:r>
        <w:t xml:space="preserve"> </w:t>
      </w:r>
      <w:r>
        <w:rPr>
          <w:iCs/>
          <w:i/>
        </w:rPr>
        <w:t xml:space="preserve">et al.</w:t>
      </w:r>
      <w:r>
        <w:t xml:space="preserve"> </w:t>
      </w:r>
      <w:hyperlink r:id="rId93">
        <w:r>
          <w:rPr>
            <w:rStyle w:val="Hyperlink"/>
          </w:rPr>
          <w:t xml:space="preserve">Disrupting cellular memory to overcome drug resistance</w:t>
        </w:r>
      </w:hyperlink>
      <w:r>
        <w:t xml:space="preserve">.</w:t>
      </w:r>
      <w:r>
        <w:t xml:space="preserve"> </w:t>
      </w:r>
      <w:r>
        <w:rPr>
          <w:iCs/>
          <w:i/>
        </w:rPr>
        <w:t xml:space="preserve">Nature Communications</w:t>
      </w:r>
      <w:r>
        <w:t xml:space="preserve"> </w:t>
      </w:r>
      <w:r>
        <w:rPr>
          <w:bCs/>
          <w:b/>
        </w:rPr>
        <w:t xml:space="preserve">14</w:t>
      </w:r>
      <w:r>
        <w:t xml:space="preserve">, 7130 (2023).</w:t>
      </w:r>
    </w:p>
    <w:bookmarkEnd w:id="94"/>
    <w:bookmarkStart w:id="96" w:name="ref-sukys2025"/>
    <w:p>
      <w:pPr>
        <w:pStyle w:val="Bibliography"/>
      </w:pPr>
      <w:r>
        <w:t xml:space="preserve">10.</w:t>
      </w:r>
      <w:r>
        <w:t xml:space="preserve"> </w:t>
      </w:r>
      <w:r>
        <w:t xml:space="preserve">	</w:t>
      </w:r>
      <w:r>
        <w:t xml:space="preserve">Sukys, A. &amp; Grima, R.</w:t>
      </w:r>
      <w:r>
        <w:t xml:space="preserve"> </w:t>
      </w:r>
      <w:hyperlink r:id="rId95">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Cs/>
          <w:i/>
        </w:rPr>
        <w:t xml:space="preserve">Nucleic Acids Research</w:t>
      </w:r>
      <w:r>
        <w:t xml:space="preserve"> </w:t>
      </w:r>
      <w:r>
        <w:rPr>
          <w:bCs/>
          <w:b/>
        </w:rPr>
        <w:t xml:space="preserve">53</w:t>
      </w:r>
      <w:r>
        <w:t xml:space="preserve">, gkaf295 (2025).</w:t>
      </w:r>
    </w:p>
    <w:bookmarkEnd w:id="96"/>
    <w:bookmarkStart w:id="98" w:name="ref-zhang2025"/>
    <w:p>
      <w:pPr>
        <w:pStyle w:val="Bibliography"/>
      </w:pPr>
      <w:r>
        <w:t xml:space="preserve">11.</w:t>
      </w:r>
      <w:r>
        <w:t xml:space="preserve"> </w:t>
      </w:r>
      <w:r>
        <w:t xml:space="preserve">	</w:t>
      </w:r>
      <w:r>
        <w:t xml:space="preserve">Zhang, Z.</w:t>
      </w:r>
      <w:r>
        <w:t xml:space="preserve"> </w:t>
      </w:r>
      <w:r>
        <w:rPr>
          <w:iCs/>
          <w:i/>
        </w:rPr>
        <w:t xml:space="preserve">et al.</w:t>
      </w:r>
      <w:r>
        <w:t xml:space="preserve"> </w:t>
      </w:r>
      <w:hyperlink r:id="rId97">
        <w:r>
          <w:rPr>
            <w:rStyle w:val="Hyperlink"/>
          </w:rPr>
          <w:t xml:space="preserve">Stochastic gene expression in proliferating cells: Differing noise intensity in single-cell and population perspectives</w:t>
        </w:r>
      </w:hyperlink>
      <w:r>
        <w:t xml:space="preserve">.</w:t>
      </w:r>
      <w:r>
        <w:t xml:space="preserve"> </w:t>
      </w:r>
      <w:r>
        <w:rPr>
          <w:iCs/>
          <w:i/>
        </w:rPr>
        <w:t xml:space="preserve">PLoS Computational Biology</w:t>
      </w:r>
      <w:r>
        <w:t xml:space="preserve"> </w:t>
      </w:r>
      <w:r>
        <w:rPr>
          <w:bCs/>
          <w:b/>
        </w:rPr>
        <w:t xml:space="preserve">21</w:t>
      </w:r>
      <w:r>
        <w:t xml:space="preserve">, e1013014 (2025).</w:t>
      </w:r>
    </w:p>
    <w:bookmarkEnd w:id="98"/>
    <w:bookmarkStart w:id="100"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Cs/>
          <w:i/>
        </w:rPr>
        <w:t xml:space="preserve">bioRxiv</w:t>
      </w:r>
      <w:r>
        <w:t xml:space="preserve"> </w:t>
      </w:r>
      <w:hyperlink r:id="rId99">
        <w:r>
          <w:rPr>
            <w:rStyle w:val="Hyperlink"/>
          </w:rPr>
          <w:t xml:space="preserve">https://doi.org/10.64898/2026.04.14.718485</w:t>
        </w:r>
      </w:hyperlink>
      <w:r>
        <w:t xml:space="preserve"> </w:t>
      </w:r>
      <w:r>
        <w:t xml:space="preserve">(2026).</w:t>
      </w:r>
    </w:p>
    <w:bookmarkEnd w:id="100"/>
    <w:bookmarkStart w:id="102" w:name="ref-ahlmanneltze2025"/>
    <w:p>
      <w:pPr>
        <w:pStyle w:val="Bibliography"/>
      </w:pPr>
      <w:r>
        <w:t xml:space="preserve">13.</w:t>
      </w:r>
      <w:r>
        <w:t xml:space="preserve"> </w:t>
      </w:r>
      <w:r>
        <w:t xml:space="preserve">	</w:t>
      </w:r>
      <w:r>
        <w:t xml:space="preserve">Ahlmann-Eltze, C., Huber, W. &amp; Anders, S.</w:t>
      </w:r>
      <w:r>
        <w:t xml:space="preserve"> </w:t>
      </w:r>
      <w:hyperlink r:id="rId101">
        <w:r>
          <w:rPr>
            <w:rStyle w:val="Hyperlink"/>
          </w:rPr>
          <w:t xml:space="preserve">Deep-learning-based gene perturbation effect prediction does not yet outperform simple linear baselines</w:t>
        </w:r>
      </w:hyperlink>
      <w:r>
        <w:t xml:space="preserve">.</w:t>
      </w:r>
      <w:r>
        <w:t xml:space="preserve"> </w:t>
      </w:r>
      <w:r>
        <w:rPr>
          <w:iCs/>
          <w:i/>
        </w:rPr>
        <w:t xml:space="preserve">Nature Methods</w:t>
      </w:r>
      <w:r>
        <w:t xml:space="preserve"> </w:t>
      </w:r>
      <w:r>
        <w:rPr>
          <w:bCs/>
          <w:b/>
        </w:rPr>
        <w:t xml:space="preserve">22</w:t>
      </w:r>
      <w:r>
        <w:t xml:space="preserve">, 1657–1661 (2025).</w:t>
      </w:r>
    </w:p>
    <w:bookmarkEnd w:id="102"/>
    <w:bookmarkStart w:id="104"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Cs/>
          <w:i/>
        </w:rPr>
        <w:t xml:space="preserve">bioRxiv</w:t>
      </w:r>
      <w:r>
        <w:t xml:space="preserve"> </w:t>
      </w:r>
      <w:hyperlink r:id="rId103">
        <w:r>
          <w:rPr>
            <w:rStyle w:val="Hyperlink"/>
          </w:rPr>
          <w:t xml:space="preserve">https://doi.org/10.64898/2026.04.20.719650</w:t>
        </w:r>
      </w:hyperlink>
      <w:r>
        <w:t xml:space="preserve"> </w:t>
      </w:r>
      <w:r>
        <w:t xml:space="preserve">(2026).</w:t>
      </w:r>
    </w:p>
    <w:bookmarkEnd w:id="104"/>
    <w:bookmarkStart w:id="106" w:name="ref-dibaeinia2026context"/>
    <w:p>
      <w:pPr>
        <w:pStyle w:val="Bibliography"/>
      </w:pPr>
      <w:r>
        <w:t xml:space="preserve">15.</w:t>
      </w:r>
      <w:r>
        <w:t xml:space="preserve"> </w:t>
      </w:r>
      <w:r>
        <w:t xml:space="preserve">	</w:t>
      </w:r>
      <w:r>
        <w:t xml:space="preserve">Dibaeinia, P.</w:t>
      </w:r>
      <w:r>
        <w:t xml:space="preserve"> </w:t>
      </w:r>
      <w:r>
        <w:rPr>
          <w:iCs/>
          <w:i/>
        </w:rPr>
        <w:t xml:space="preserve">et al.</w:t>
      </w:r>
      <w:r>
        <w:t xml:space="preserve"> Virtual cells need context, not just scale.</w:t>
      </w:r>
      <w:r>
        <w:t xml:space="preserve"> </w:t>
      </w:r>
      <w:r>
        <w:rPr>
          <w:iCs/>
          <w:i/>
        </w:rPr>
        <w:t xml:space="preserve">bioRxiv</w:t>
      </w:r>
      <w:r>
        <w:t xml:space="preserve"> </w:t>
      </w:r>
      <w:hyperlink r:id="rId105">
        <w:r>
          <w:rPr>
            <w:rStyle w:val="Hyperlink"/>
          </w:rPr>
          <w:t xml:space="preserve">https://doi.org/10.64898/2026.02.04.703804</w:t>
        </w:r>
      </w:hyperlink>
      <w:r>
        <w:t xml:space="preserve"> </w:t>
      </w:r>
      <w:r>
        <w:t xml:space="preserve">(2026).</w:t>
      </w:r>
    </w:p>
    <w:bookmarkEnd w:id="106"/>
    <w:bookmarkStart w:id="108" w:name="ref-bunne2024"/>
    <w:p>
      <w:pPr>
        <w:pStyle w:val="Bibliography"/>
      </w:pPr>
      <w:r>
        <w:t xml:space="preserve">16.</w:t>
      </w:r>
      <w:r>
        <w:t xml:space="preserve"> </w:t>
      </w:r>
      <w:r>
        <w:t xml:space="preserve">	</w:t>
      </w:r>
      <w:r>
        <w:t xml:space="preserve">Bunne, C.</w:t>
      </w:r>
      <w:r>
        <w:t xml:space="preserve"> </w:t>
      </w:r>
      <w:r>
        <w:rPr>
          <w:iCs/>
          <w:i/>
        </w:rPr>
        <w:t xml:space="preserve">et al.</w:t>
      </w:r>
      <w:r>
        <w:t xml:space="preserve"> </w:t>
      </w:r>
      <w:hyperlink r:id="rId107">
        <w:r>
          <w:rPr>
            <w:rStyle w:val="Hyperlink"/>
          </w:rPr>
          <w:t xml:space="preserve">How to build the virtual cell with artificial intelligence: Priorities and opportunities</w:t>
        </w:r>
      </w:hyperlink>
      <w:r>
        <w:t xml:space="preserve">.</w:t>
      </w:r>
      <w:r>
        <w:t xml:space="preserve"> </w:t>
      </w:r>
      <w:r>
        <w:rPr>
          <w:iCs/>
          <w:i/>
        </w:rPr>
        <w:t xml:space="preserve">Cell</w:t>
      </w:r>
      <w:r>
        <w:t xml:space="preserve"> </w:t>
      </w:r>
      <w:r>
        <w:rPr>
          <w:bCs/>
          <w:b/>
        </w:rPr>
        <w:t xml:space="preserve">187</w:t>
      </w:r>
      <w:r>
        <w:t xml:space="preserve">, 7045–7063 (2024).</w:t>
      </w:r>
    </w:p>
    <w:bookmarkEnd w:id="108"/>
    <w:bookmarkStart w:id="110" w:name="ref-zappia2017"/>
    <w:p>
      <w:pPr>
        <w:pStyle w:val="Bibliography"/>
      </w:pPr>
      <w:r>
        <w:t xml:space="preserve">17.</w:t>
      </w:r>
      <w:r>
        <w:t xml:space="preserve"> </w:t>
      </w:r>
      <w:r>
        <w:t xml:space="preserve">	</w:t>
      </w:r>
      <w:r>
        <w:t xml:space="preserve">Zappia, L., Phipson, B. &amp; Oshlack, A.</w:t>
      </w:r>
      <w:r>
        <w:t xml:space="preserve"> </w:t>
      </w:r>
      <w:hyperlink r:id="rId109">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Cs/>
          <w:i/>
        </w:rPr>
        <w:t xml:space="preserve">Genome Biology</w:t>
      </w:r>
      <w:r>
        <w:t xml:space="preserve"> </w:t>
      </w:r>
      <w:r>
        <w:rPr>
          <w:bCs/>
          <w:b/>
        </w:rPr>
        <w:t xml:space="preserve">18</w:t>
      </w:r>
      <w:r>
        <w:t xml:space="preserve">, 174 (2017).</w:t>
      </w:r>
    </w:p>
    <w:bookmarkEnd w:id="110"/>
    <w:bookmarkStart w:id="112" w:name="ref-song2024scdesign3"/>
    <w:p>
      <w:pPr>
        <w:pStyle w:val="Bibliography"/>
      </w:pPr>
      <w:r>
        <w:t xml:space="preserve">18.</w:t>
      </w:r>
      <w:r>
        <w:t xml:space="preserve"> </w:t>
      </w:r>
      <w:r>
        <w:t xml:space="preserve">	</w:t>
      </w:r>
      <w:r>
        <w:t xml:space="preserve">Song, D.</w:t>
      </w:r>
      <w:r>
        <w:t xml:space="preserve"> </w:t>
      </w:r>
      <w:r>
        <w:rPr>
          <w:iCs/>
          <w:i/>
        </w:rPr>
        <w:t xml:space="preserve">et al.</w:t>
      </w:r>
      <w:r>
        <w:t xml:space="preserve"> </w:t>
      </w:r>
      <w:hyperlink r:id="rId111">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Cs/>
          <w:i/>
        </w:rPr>
        <w:t xml:space="preserve">Nature Biotechnology</w:t>
      </w:r>
      <w:r>
        <w:t xml:space="preserve"> </w:t>
      </w:r>
      <w:r>
        <w:rPr>
          <w:bCs/>
          <w:b/>
        </w:rPr>
        <w:t xml:space="preserve">42</w:t>
      </w:r>
      <w:r>
        <w:t xml:space="preserve">, 247–252 (2024).</w:t>
      </w:r>
    </w:p>
    <w:bookmarkEnd w:id="112"/>
    <w:bookmarkStart w:id="114" w:name="ref-zinati2024groundgan"/>
    <w:p>
      <w:pPr>
        <w:pStyle w:val="Bibliography"/>
      </w:pPr>
      <w:r>
        <w:t xml:space="preserve">19.</w:t>
      </w:r>
      <w:r>
        <w:t xml:space="preserve"> </w:t>
      </w:r>
      <w:r>
        <w:t xml:space="preserve">	</w:t>
      </w:r>
      <w:r>
        <w:t xml:space="preserve">Zinati, Y., Takiddeen, A. &amp; Emad, A.</w:t>
      </w:r>
      <w:r>
        <w:t xml:space="preserve"> </w:t>
      </w:r>
      <w:hyperlink r:id="rId11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Cs/>
          <w:i/>
        </w:rPr>
        <w:t xml:space="preserve">Nature Communications</w:t>
      </w:r>
      <w:r>
        <w:t xml:space="preserve"> </w:t>
      </w:r>
      <w:r>
        <w:rPr>
          <w:bCs/>
          <w:b/>
        </w:rPr>
        <w:t xml:space="preserve">15</w:t>
      </w:r>
      <w:r>
        <w:t xml:space="preserve">, 4055 (2024).</w:t>
      </w:r>
    </w:p>
    <w:bookmarkEnd w:id="114"/>
    <w:bookmarkStart w:id="116" w:name="ref-zhang2019symsim"/>
    <w:p>
      <w:pPr>
        <w:pStyle w:val="Bibliography"/>
      </w:pPr>
      <w:r>
        <w:t xml:space="preserve">20.</w:t>
      </w:r>
      <w:r>
        <w:t xml:space="preserve"> </w:t>
      </w:r>
      <w:r>
        <w:t xml:space="preserve">	</w:t>
      </w:r>
      <w:r>
        <w:t xml:space="preserve">Zhang, X., Xu, C. &amp; Yosef, N.</w:t>
      </w:r>
      <w:r>
        <w:t xml:space="preserve"> </w:t>
      </w:r>
      <w:hyperlink r:id="rId115">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Cs/>
          <w:i/>
        </w:rPr>
        <w:t xml:space="preserve">Nature Communications</w:t>
      </w:r>
      <w:r>
        <w:t xml:space="preserve"> </w:t>
      </w:r>
      <w:r>
        <w:rPr>
          <w:bCs/>
          <w:b/>
        </w:rPr>
        <w:t xml:space="preserve">10</w:t>
      </w:r>
      <w:r>
        <w:t xml:space="preserve">, 2611 (2019).</w:t>
      </w:r>
    </w:p>
    <w:bookmarkEnd w:id="116"/>
    <w:bookmarkStart w:id="118" w:name="ref-dibaeinia2020"/>
    <w:p>
      <w:pPr>
        <w:pStyle w:val="Bibliography"/>
      </w:pPr>
      <w:r>
        <w:t xml:space="preserve">21.</w:t>
      </w:r>
      <w:r>
        <w:t xml:space="preserve"> </w:t>
      </w:r>
      <w:r>
        <w:t xml:space="preserve">	</w:t>
      </w:r>
      <w:r>
        <w:t xml:space="preserve">Dibaeinia, P. &amp; Sinha, S.</w:t>
      </w:r>
      <w:r>
        <w:t xml:space="preserve"> </w:t>
      </w:r>
      <w:hyperlink r:id="rId117">
        <w:r>
          <w:rPr>
            <w:rStyle w:val="Hyperlink"/>
          </w:rPr>
          <w:t xml:space="preserve">SERGIO</w:t>
        </w:r>
        <w:r>
          <w:rPr>
            <w:rStyle w:val="Hyperlink"/>
          </w:rPr>
          <w:t xml:space="preserve">: A single-cell expression simulator guided by gene regulatory networks</w:t>
        </w:r>
      </w:hyperlink>
      <w:r>
        <w:t xml:space="preserve">.</w:t>
      </w:r>
      <w:r>
        <w:t xml:space="preserve"> </w:t>
      </w:r>
      <w:r>
        <w:rPr>
          <w:iCs/>
          <w:i/>
        </w:rPr>
        <w:t xml:space="preserve">Cell Systems</w:t>
      </w:r>
      <w:r>
        <w:t xml:space="preserve"> </w:t>
      </w:r>
      <w:r>
        <w:rPr>
          <w:bCs/>
          <w:b/>
        </w:rPr>
        <w:t xml:space="preserve">11</w:t>
      </w:r>
      <w:r>
        <w:t xml:space="preserve">, 252–271 (2020).</w:t>
      </w:r>
    </w:p>
    <w:bookmarkEnd w:id="118"/>
    <w:bookmarkStart w:id="120" w:name="ref-cannoodt2021"/>
    <w:p>
      <w:pPr>
        <w:pStyle w:val="Bibliography"/>
      </w:pPr>
      <w:r>
        <w:t xml:space="preserve">22.</w:t>
      </w:r>
      <w:r>
        <w:t xml:space="preserve"> </w:t>
      </w:r>
      <w:r>
        <w:t xml:space="preserve">	</w:t>
      </w:r>
      <w:r>
        <w:t xml:space="preserve">Cannoodt, R., Saelens, W., Deconinck, L. &amp; Saeys, Y.</w:t>
      </w:r>
      <w:r>
        <w:t xml:space="preserve"> </w:t>
      </w:r>
      <w:hyperlink r:id="rId119">
        <w:r>
          <w:rPr>
            <w:rStyle w:val="Hyperlink"/>
          </w:rPr>
          <w:t xml:space="preserve">Spearheading future omics analyses using dyngen, a multi-modal simulator of single cells</w:t>
        </w:r>
      </w:hyperlink>
      <w:r>
        <w:t xml:space="preserve">.</w:t>
      </w:r>
      <w:r>
        <w:t xml:space="preserve"> </w:t>
      </w:r>
      <w:r>
        <w:rPr>
          <w:iCs/>
          <w:i/>
        </w:rPr>
        <w:t xml:space="preserve">Nature Communications</w:t>
      </w:r>
      <w:r>
        <w:t xml:space="preserve"> </w:t>
      </w:r>
      <w:r>
        <w:rPr>
          <w:bCs/>
          <w:b/>
        </w:rPr>
        <w:t xml:space="preserve">12</w:t>
      </w:r>
      <w:r>
        <w:t xml:space="preserve">, 3942 (2021).</w:t>
      </w:r>
    </w:p>
    <w:bookmarkEnd w:id="120"/>
    <w:bookmarkStart w:id="122" w:name="ref-li2025scmultisim"/>
    <w:p>
      <w:pPr>
        <w:pStyle w:val="Bibliography"/>
      </w:pPr>
      <w:r>
        <w:t xml:space="preserve">23.</w:t>
      </w:r>
      <w:r>
        <w:t xml:space="preserve"> </w:t>
      </w:r>
      <w:r>
        <w:t xml:space="preserve">	</w:t>
      </w:r>
      <w:r>
        <w:t xml:space="preserve">Li, H., Zhang, Z., Squires, M., Chen, X. &amp; Zhang, X.</w:t>
      </w:r>
      <w:r>
        <w:t xml:space="preserve"> </w:t>
      </w:r>
      <w:hyperlink r:id="rId121">
        <w:r>
          <w:rPr>
            <w:rStyle w:val="Hyperlink"/>
          </w:rPr>
          <w:t xml:space="preserve">scMultiSim</w:t>
        </w:r>
        <w:r>
          <w:rPr>
            <w:rStyle w:val="Hyperlink"/>
          </w:rPr>
          <w:t xml:space="preserve">: Simulation of single-cell multi-omics and spatial data guided by gene regulatory networks and cell–cell interactions</w:t>
        </w:r>
      </w:hyperlink>
      <w:r>
        <w:t xml:space="preserve">.</w:t>
      </w:r>
      <w:r>
        <w:t xml:space="preserve"> </w:t>
      </w:r>
      <w:r>
        <w:rPr>
          <w:iCs/>
          <w:i/>
        </w:rPr>
        <w:t xml:space="preserve">Nature Methods</w:t>
      </w:r>
      <w:r>
        <w:t xml:space="preserve"> </w:t>
      </w:r>
      <w:r>
        <w:rPr>
          <w:bCs/>
          <w:b/>
        </w:rPr>
        <w:t xml:space="preserve">22</w:t>
      </w:r>
      <w:r>
        <w:t xml:space="preserve">, 982–993 (2025).</w:t>
      </w:r>
    </w:p>
    <w:bookmarkEnd w:id="122"/>
    <w:bookmarkStart w:id="124" w:name="ref-pan2022tedsim"/>
    <w:p>
      <w:pPr>
        <w:pStyle w:val="Bibliography"/>
      </w:pPr>
      <w:r>
        <w:t xml:space="preserve">24.</w:t>
      </w:r>
      <w:r>
        <w:t xml:space="preserve"> </w:t>
      </w:r>
      <w:r>
        <w:t xml:space="preserve">	</w:t>
      </w:r>
      <w:r>
        <w:t xml:space="preserve">Pan, X., Li, H. &amp; Zhang, X.</w:t>
      </w:r>
      <w:r>
        <w:t xml:space="preserve"> </w:t>
      </w:r>
      <w:hyperlink r:id="rId123">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Cs/>
          <w:i/>
        </w:rPr>
        <w:t xml:space="preserve">Nucleic Acids Research</w:t>
      </w:r>
      <w:r>
        <w:t xml:space="preserve"> </w:t>
      </w:r>
      <w:r>
        <w:rPr>
          <w:bCs/>
          <w:b/>
        </w:rPr>
        <w:t xml:space="preserve">50</w:t>
      </w:r>
      <w:r>
        <w:t xml:space="preserve">, 4272–4288 (2022).</w:t>
      </w:r>
    </w:p>
    <w:bookmarkEnd w:id="124"/>
    <w:bookmarkStart w:id="126" w:name="ref-jones2020cassiopeia"/>
    <w:p>
      <w:pPr>
        <w:pStyle w:val="Bibliography"/>
      </w:pPr>
      <w:r>
        <w:t xml:space="preserve">25.</w:t>
      </w:r>
      <w:r>
        <w:t xml:space="preserve"> </w:t>
      </w:r>
      <w:r>
        <w:t xml:space="preserve">	</w:t>
      </w:r>
      <w:r>
        <w:t xml:space="preserve">Jones, M. G.</w:t>
      </w:r>
      <w:r>
        <w:t xml:space="preserve"> </w:t>
      </w:r>
      <w:r>
        <w:rPr>
          <w:iCs/>
          <w:i/>
        </w:rPr>
        <w:t xml:space="preserve">et al.</w:t>
      </w:r>
      <w:r>
        <w:t xml:space="preserve"> </w:t>
      </w:r>
      <w:hyperlink r:id="rId12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Cs/>
          <w:i/>
        </w:rPr>
        <w:t xml:space="preserve">Genome Biology</w:t>
      </w:r>
      <w:r>
        <w:t xml:space="preserve"> </w:t>
      </w:r>
      <w:r>
        <w:rPr>
          <w:bCs/>
          <w:b/>
        </w:rPr>
        <w:t xml:space="preserve">21</w:t>
      </w:r>
      <w:r>
        <w:t xml:space="preserve">, 92 (2020).</w:t>
      </w:r>
    </w:p>
    <w:bookmarkEnd w:id="126"/>
    <w:bookmarkStart w:id="128" w:name="ref-pratapa2020"/>
    <w:p>
      <w:pPr>
        <w:pStyle w:val="Bibliography"/>
      </w:pPr>
      <w:r>
        <w:t xml:space="preserve">26.</w:t>
      </w:r>
      <w:r>
        <w:t xml:space="preserve"> </w:t>
      </w:r>
      <w:r>
        <w:t xml:space="preserve">	</w:t>
      </w:r>
      <w:r>
        <w:t xml:space="preserve">Pratapa, A., Jalihal, A. P., Law, J. N., Bharadwaj, A. &amp; Murali, T. M.</w:t>
      </w:r>
      <w:r>
        <w:t xml:space="preserve"> </w:t>
      </w:r>
      <w:hyperlink r:id="rId127">
        <w:r>
          <w:rPr>
            <w:rStyle w:val="Hyperlink"/>
          </w:rPr>
          <w:t xml:space="preserve">Benchmarking algorithms for gene regulatory network inference from single-cell transcriptomic data</w:t>
        </w:r>
      </w:hyperlink>
      <w:r>
        <w:t xml:space="preserve">.</w:t>
      </w:r>
      <w:r>
        <w:t xml:space="preserve"> </w:t>
      </w:r>
      <w:r>
        <w:rPr>
          <w:iCs/>
          <w:i/>
        </w:rPr>
        <w:t xml:space="preserve">Nature Methods</w:t>
      </w:r>
      <w:r>
        <w:t xml:space="preserve"> </w:t>
      </w:r>
      <w:r>
        <w:rPr>
          <w:bCs/>
          <w:b/>
        </w:rPr>
        <w:t xml:space="preserve">17</w:t>
      </w:r>
      <w:r>
        <w:t xml:space="preserve">, 147–154 (2020).</w:t>
      </w:r>
    </w:p>
    <w:bookmarkEnd w:id="128"/>
    <w:bookmarkStart w:id="130" w:name="ref-bertaux2018"/>
    <w:p>
      <w:pPr>
        <w:pStyle w:val="Bibliography"/>
      </w:pPr>
      <w:r>
        <w:t xml:space="preserve">27.</w:t>
      </w:r>
      <w:r>
        <w:t xml:space="preserve"> </w:t>
      </w:r>
      <w:r>
        <w:t xml:space="preserve">	</w:t>
      </w:r>
      <w:r>
        <w:t xml:space="preserve">Bertaux, F., Marguerat, S. &amp; Shahrezaei, V.</w:t>
      </w:r>
      <w:r>
        <w:t xml:space="preserve"> </w:t>
      </w:r>
      <w:hyperlink r:id="rId129">
        <w:r>
          <w:rPr>
            <w:rStyle w:val="Hyperlink"/>
          </w:rPr>
          <w:t xml:space="preserve">Division rate, cell size and proteome allocation: Impact on gene expression noise and implications for the dynamics of genetic circuits</w:t>
        </w:r>
      </w:hyperlink>
      <w:r>
        <w:t xml:space="preserve">.</w:t>
      </w:r>
      <w:r>
        <w:t xml:space="preserve"> </w:t>
      </w:r>
      <w:r>
        <w:rPr>
          <w:iCs/>
          <w:i/>
        </w:rPr>
        <w:t xml:space="preserve">Royal Society Open Science</w:t>
      </w:r>
      <w:r>
        <w:t xml:space="preserve"> </w:t>
      </w:r>
      <w:r>
        <w:rPr>
          <w:bCs/>
          <w:b/>
        </w:rPr>
        <w:t xml:space="preserve">5</w:t>
      </w:r>
      <w:r>
        <w:t xml:space="preserve">, 172234 (2018).</w:t>
      </w:r>
    </w:p>
    <w:bookmarkEnd w:id="130"/>
    <w:bookmarkStart w:id="132" w:name="ref-piho2025abm"/>
    <w:p>
      <w:pPr>
        <w:pStyle w:val="Bibliography"/>
      </w:pPr>
      <w:r>
        <w:t xml:space="preserve">28.</w:t>
      </w:r>
      <w:r>
        <w:t xml:space="preserve"> </w:t>
      </w:r>
      <w:r>
        <w:t xml:space="preserve">	</w:t>
      </w:r>
      <w:r>
        <w:t xml:space="preserve">Piho, P. &amp; Thomas, P.</w:t>
      </w:r>
      <w:r>
        <w:t xml:space="preserve"> </w:t>
      </w:r>
      <w:hyperlink r:id="rId13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Cs/>
          <w:i/>
        </w:rPr>
        <w:t xml:space="preserve">PLoS Computational Biology</w:t>
      </w:r>
      <w:r>
        <w:t xml:space="preserve"> </w:t>
      </w:r>
      <w:r>
        <w:rPr>
          <w:bCs/>
          <w:b/>
        </w:rPr>
        <w:t xml:space="preserve">22</w:t>
      </w:r>
      <w:r>
        <w:t xml:space="preserve">, e1014366 (2026).</w:t>
      </w:r>
    </w:p>
    <w:bookmarkEnd w:id="132"/>
    <w:bookmarkStart w:id="134" w:name="ref-piho2024feedback"/>
    <w:p>
      <w:pPr>
        <w:pStyle w:val="Bibliography"/>
      </w:pPr>
      <w:r>
        <w:t xml:space="preserve">29.</w:t>
      </w:r>
      <w:r>
        <w:t xml:space="preserve"> </w:t>
      </w:r>
      <w:r>
        <w:t xml:space="preserve">	</w:t>
      </w:r>
      <w:r>
        <w:t xml:space="preserve">Piho, P. &amp; Thomas, P.</w:t>
      </w:r>
      <w:r>
        <w:t xml:space="preserve"> </w:t>
      </w:r>
      <w:hyperlink r:id="rId133">
        <w:r>
          <w:rPr>
            <w:rStyle w:val="Hyperlink"/>
          </w:rPr>
          <w:t xml:space="preserve">Feedback between stochastic gene networks and population dynamics enables cellular decision-making</w:t>
        </w:r>
      </w:hyperlink>
      <w:r>
        <w:t xml:space="preserve">.</w:t>
      </w:r>
      <w:r>
        <w:t xml:space="preserve"> </w:t>
      </w:r>
      <w:r>
        <w:rPr>
          <w:iCs/>
          <w:i/>
        </w:rPr>
        <w:t xml:space="preserve">Science Advances</w:t>
      </w:r>
      <w:r>
        <w:t xml:space="preserve"> </w:t>
      </w:r>
      <w:r>
        <w:rPr>
          <w:bCs/>
          <w:b/>
        </w:rPr>
        <w:t xml:space="preserve">10</w:t>
      </w:r>
      <w:r>
        <w:t xml:space="preserve">, eadl4895 (2024).</w:t>
      </w:r>
    </w:p>
    <w:bookmarkEnd w:id="134"/>
    <w:bookmarkStart w:id="136" w:name="ref-thomas2021"/>
    <w:p>
      <w:pPr>
        <w:pStyle w:val="Bibliography"/>
      </w:pPr>
      <w:r>
        <w:t xml:space="preserve">30.</w:t>
      </w:r>
      <w:r>
        <w:t xml:space="preserve"> </w:t>
      </w:r>
      <w:r>
        <w:t xml:space="preserve">	</w:t>
      </w:r>
      <w:r>
        <w:t xml:space="preserve">Thomas, P. &amp; Shahrezaei, V.</w:t>
      </w:r>
      <w:r>
        <w:t xml:space="preserve"> </w:t>
      </w:r>
      <w:hyperlink r:id="rId135">
        <w:r>
          <w:rPr>
            <w:rStyle w:val="Hyperlink"/>
          </w:rPr>
          <w:t xml:space="preserve">Coordination of gene expression noise with cell size: Analytical results for agent-based models of growing cell populations</w:t>
        </w:r>
      </w:hyperlink>
      <w:r>
        <w:t xml:space="preserve">.</w:t>
      </w:r>
      <w:r>
        <w:t xml:space="preserve"> </w:t>
      </w:r>
      <w:r>
        <w:rPr>
          <w:iCs/>
          <w:i/>
        </w:rPr>
        <w:t xml:space="preserve">Journal of the Royal Society Interface</w:t>
      </w:r>
      <w:r>
        <w:t xml:space="preserve"> </w:t>
      </w:r>
      <w:r>
        <w:rPr>
          <w:bCs/>
          <w:b/>
        </w:rPr>
        <w:t xml:space="preserve">18</w:t>
      </w:r>
      <w:r>
        <w:t xml:space="preserve">, 20210274 (2021).</w:t>
      </w:r>
    </w:p>
    <w:bookmarkEnd w:id="136"/>
    <w:bookmarkStart w:id="138"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37">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Cs/>
          <w:i/>
        </w:rPr>
        <w:t xml:space="preserve">PLoS Computational Biology</w:t>
      </w:r>
      <w:r>
        <w:t xml:space="preserve"> </w:t>
      </w:r>
      <w:r>
        <w:rPr>
          <w:bCs/>
          <w:b/>
        </w:rPr>
        <w:t xml:space="preserve">14</w:t>
      </w:r>
      <w:r>
        <w:t xml:space="preserve">, e1005991 (2018).</w:t>
      </w:r>
    </w:p>
    <w:bookmarkEnd w:id="138"/>
    <w:bookmarkStart w:id="140" w:name="ref-poncedeleon2023"/>
    <w:p>
      <w:pPr>
        <w:pStyle w:val="Bibliography"/>
      </w:pPr>
      <w:r>
        <w:t xml:space="preserve">32.</w:t>
      </w:r>
      <w:r>
        <w:t xml:space="preserve"> </w:t>
      </w:r>
      <w:r>
        <w:t xml:space="preserve">	</w:t>
      </w:r>
      <w:r>
        <w:t xml:space="preserve">Ponce-de-Leon, M.</w:t>
      </w:r>
      <w:r>
        <w:t xml:space="preserve"> </w:t>
      </w:r>
      <w:r>
        <w:rPr>
          <w:iCs/>
          <w:i/>
        </w:rPr>
        <w:t xml:space="preserve">et al.</w:t>
      </w:r>
      <w:r>
        <w:t xml:space="preserve"> </w:t>
      </w:r>
      <w:hyperlink r:id="rId139">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Cs/>
          <w:i/>
        </w:rPr>
        <w:t xml:space="preserve">npj Systems Biology and Applications</w:t>
      </w:r>
      <w:r>
        <w:t xml:space="preserve"> </w:t>
      </w:r>
      <w:r>
        <w:rPr>
          <w:bCs/>
          <w:b/>
        </w:rPr>
        <w:t xml:space="preserve">9</w:t>
      </w:r>
      <w:r>
        <w:t xml:space="preserve">, 54 (2023).</w:t>
      </w:r>
    </w:p>
    <w:bookmarkEnd w:id="140"/>
    <w:bookmarkStart w:id="142" w:name="ref-lasri2022"/>
    <w:p>
      <w:pPr>
        <w:pStyle w:val="Bibliography"/>
      </w:pPr>
      <w:r>
        <w:t xml:space="preserve">33.</w:t>
      </w:r>
      <w:r>
        <w:t xml:space="preserve"> </w:t>
      </w:r>
      <w:r>
        <w:t xml:space="preserve">	</w:t>
      </w:r>
      <w:r>
        <w:t xml:space="preserve">Lasri, A., Shahrezaei, V. &amp; Sturrock, M.</w:t>
      </w:r>
      <w:r>
        <w:t xml:space="preserve"> </w:t>
      </w:r>
      <w:hyperlink r:id="rId141">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Cs/>
          <w:i/>
        </w:rPr>
        <w:t xml:space="preserve">BMC Bioinformatics</w:t>
      </w:r>
      <w:r>
        <w:t xml:space="preserve"> </w:t>
      </w:r>
      <w:r>
        <w:rPr>
          <w:bCs/>
          <w:b/>
        </w:rPr>
        <w:t xml:space="preserve">23</w:t>
      </w:r>
      <w:r>
        <w:t xml:space="preserve">, 236 (2022).</w:t>
      </w:r>
    </w:p>
    <w:bookmarkEnd w:id="142"/>
    <w:bookmarkStart w:id="144" w:name="ref-peccoud1995"/>
    <w:p>
      <w:pPr>
        <w:pStyle w:val="Bibliography"/>
      </w:pPr>
      <w:r>
        <w:t xml:space="preserve">34.</w:t>
      </w:r>
      <w:r>
        <w:t xml:space="preserve"> </w:t>
      </w:r>
      <w:r>
        <w:t xml:space="preserve">	</w:t>
      </w:r>
      <w:r>
        <w:t xml:space="preserve">Peccoud, J. &amp; Ycart, B.</w:t>
      </w:r>
      <w:r>
        <w:t xml:space="preserve"> </w:t>
      </w:r>
      <w:hyperlink r:id="rId143">
        <w:r>
          <w:rPr>
            <w:rStyle w:val="Hyperlink"/>
          </w:rPr>
          <w:t xml:space="preserve">Markovian modeling of gene-product synthesis</w:t>
        </w:r>
      </w:hyperlink>
      <w:r>
        <w:t xml:space="preserve">.</w:t>
      </w:r>
      <w:r>
        <w:t xml:space="preserve"> </w:t>
      </w:r>
      <w:r>
        <w:rPr>
          <w:iCs/>
          <w:i/>
        </w:rPr>
        <w:t xml:space="preserve">Theoretical Population Biology</w:t>
      </w:r>
      <w:r>
        <w:t xml:space="preserve"> </w:t>
      </w:r>
      <w:r>
        <w:rPr>
          <w:bCs/>
          <w:b/>
        </w:rPr>
        <w:t xml:space="preserve">48</w:t>
      </w:r>
      <w:r>
        <w:t xml:space="preserve">, 222–234 (1995).</w:t>
      </w:r>
    </w:p>
    <w:bookmarkEnd w:id="144"/>
    <w:bookmarkStart w:id="146" w:name="ref-beentjes2020"/>
    <w:p>
      <w:pPr>
        <w:pStyle w:val="Bibliography"/>
      </w:pPr>
      <w:r>
        <w:t xml:space="preserve">35.</w:t>
      </w:r>
      <w:r>
        <w:t xml:space="preserve"> </w:t>
      </w:r>
      <w:r>
        <w:t xml:space="preserve">	</w:t>
      </w:r>
      <w:r>
        <w:t xml:space="preserve">Beentjes, C. H. L., Perez-Carrasco, R. &amp; Grima, R.</w:t>
      </w:r>
      <w:r>
        <w:t xml:space="preserve"> </w:t>
      </w:r>
      <w:hyperlink r:id="rId145">
        <w:r>
          <w:rPr>
            <w:rStyle w:val="Hyperlink"/>
          </w:rPr>
          <w:t xml:space="preserve">Exact solution of stochastic gene expression models with bursting, cell cycle and replication dynamics</w:t>
        </w:r>
      </w:hyperlink>
      <w:r>
        <w:t xml:space="preserve">.</w:t>
      </w:r>
      <w:r>
        <w:t xml:space="preserve"> </w:t>
      </w:r>
      <w:r>
        <w:rPr>
          <w:iCs/>
          <w:i/>
        </w:rPr>
        <w:t xml:space="preserve">Physical Review E</w:t>
      </w:r>
      <w:r>
        <w:t xml:space="preserve"> </w:t>
      </w:r>
      <w:r>
        <w:rPr>
          <w:bCs/>
          <w:b/>
        </w:rPr>
        <w:t xml:space="preserve">101</w:t>
      </w:r>
      <w:r>
        <w:t xml:space="preserve">, 032403 (2020).</w:t>
      </w:r>
    </w:p>
    <w:bookmarkEnd w:id="146"/>
    <w:bookmarkStart w:id="148" w:name="ref-jia2023"/>
    <w:p>
      <w:pPr>
        <w:pStyle w:val="Bibliography"/>
      </w:pPr>
      <w:r>
        <w:t xml:space="preserve">36.</w:t>
      </w:r>
      <w:r>
        <w:t xml:space="preserve"> </w:t>
      </w:r>
      <w:r>
        <w:t xml:space="preserve">	</w:t>
      </w:r>
      <w:r>
        <w:t xml:space="preserve">Jia, C. &amp; Grima, R.</w:t>
      </w:r>
      <w:r>
        <w:t xml:space="preserve"> </w:t>
      </w:r>
      <w:hyperlink r:id="rId147">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Cs/>
          <w:i/>
        </w:rPr>
        <w:t xml:space="preserve">iScience</w:t>
      </w:r>
      <w:r>
        <w:t xml:space="preserve"> </w:t>
      </w:r>
      <w:r>
        <w:rPr>
          <w:bCs/>
          <w:b/>
        </w:rPr>
        <w:t xml:space="preserve">26</w:t>
      </w:r>
      <w:r>
        <w:t xml:space="preserve">, 105746 (2023).</w:t>
      </w:r>
    </w:p>
    <w:bookmarkEnd w:id="148"/>
    <w:bookmarkStart w:id="150" w:name="ref-thomas2017"/>
    <w:p>
      <w:pPr>
        <w:pStyle w:val="Bibliography"/>
      </w:pPr>
      <w:r>
        <w:t xml:space="preserve">37.</w:t>
      </w:r>
      <w:r>
        <w:t xml:space="preserve"> </w:t>
      </w:r>
      <w:r>
        <w:t xml:space="preserve">	</w:t>
      </w:r>
      <w:r>
        <w:t xml:space="preserve">Thomas, P.</w:t>
      </w:r>
      <w:r>
        <w:t xml:space="preserve"> </w:t>
      </w:r>
      <w:hyperlink r:id="rId149">
        <w:r>
          <w:rPr>
            <w:rStyle w:val="Hyperlink"/>
          </w:rPr>
          <w:t xml:space="preserve">Making sense of snapshot data: Ergodic principle for clonal cell populations</w:t>
        </w:r>
      </w:hyperlink>
      <w:r>
        <w:t xml:space="preserve">.</w:t>
      </w:r>
      <w:r>
        <w:t xml:space="preserve"> </w:t>
      </w:r>
      <w:r>
        <w:rPr>
          <w:iCs/>
          <w:i/>
        </w:rPr>
        <w:t xml:space="preserve">Journal of the Royal Society Interface</w:t>
      </w:r>
      <w:r>
        <w:t xml:space="preserve"> </w:t>
      </w:r>
      <w:r>
        <w:rPr>
          <w:bCs/>
          <w:b/>
        </w:rPr>
        <w:t xml:space="preserve">14</w:t>
      </w:r>
      <w:r>
        <w:t xml:space="preserve">, 20170467 (2017).</w:t>
      </w:r>
    </w:p>
    <w:bookmarkEnd w:id="150"/>
    <w:bookmarkStart w:id="152" w:name="ref-emert2021"/>
    <w:p>
      <w:pPr>
        <w:pStyle w:val="Bibliography"/>
      </w:pPr>
      <w:r>
        <w:t xml:space="preserve">38.</w:t>
      </w:r>
      <w:r>
        <w:t xml:space="preserve"> </w:t>
      </w:r>
      <w:r>
        <w:t xml:space="preserve">	</w:t>
      </w:r>
      <w:r>
        <w:t xml:space="preserve">Emert, B. L.</w:t>
      </w:r>
      <w:r>
        <w:t xml:space="preserve"> </w:t>
      </w:r>
      <w:r>
        <w:rPr>
          <w:iCs/>
          <w:i/>
        </w:rPr>
        <w:t xml:space="preserve">et al.</w:t>
      </w:r>
      <w:r>
        <w:t xml:space="preserve"> </w:t>
      </w:r>
      <w:hyperlink r:id="rId151">
        <w:r>
          <w:rPr>
            <w:rStyle w:val="Hyperlink"/>
          </w:rPr>
          <w:t xml:space="preserve">Variability within rare cell states enables multiple paths toward drug resistance</w:t>
        </w:r>
      </w:hyperlink>
      <w:r>
        <w:t xml:space="preserve">.</w:t>
      </w:r>
      <w:r>
        <w:t xml:space="preserve"> </w:t>
      </w:r>
      <w:r>
        <w:rPr>
          <w:iCs/>
          <w:i/>
        </w:rPr>
        <w:t xml:space="preserve">Nature Biotechnology</w:t>
      </w:r>
      <w:r>
        <w:t xml:space="preserve"> </w:t>
      </w:r>
      <w:r>
        <w:rPr>
          <w:bCs/>
          <w:b/>
        </w:rPr>
        <w:t xml:space="preserve">39</w:t>
      </w:r>
      <w:r>
        <w:t xml:space="preserve">, 865–876 (2021).</w:t>
      </w:r>
    </w:p>
    <w:bookmarkEnd w:id="152"/>
    <w:bookmarkStart w:id="154" w:name="ref-torre2021"/>
    <w:p>
      <w:pPr>
        <w:pStyle w:val="Bibliography"/>
      </w:pPr>
      <w:r>
        <w:t xml:space="preserve">39.</w:t>
      </w:r>
      <w:r>
        <w:t xml:space="preserve"> </w:t>
      </w:r>
      <w:r>
        <w:t xml:space="preserve">	</w:t>
      </w:r>
      <w:r>
        <w:t xml:space="preserve">Torre, E. A.</w:t>
      </w:r>
      <w:r>
        <w:t xml:space="preserve"> </w:t>
      </w:r>
      <w:r>
        <w:rPr>
          <w:iCs/>
          <w:i/>
        </w:rPr>
        <w:t xml:space="preserve">et al.</w:t>
      </w:r>
      <w:r>
        <w:t xml:space="preserve"> </w:t>
      </w:r>
      <w:hyperlink r:id="rId153">
        <w:r>
          <w:rPr>
            <w:rStyle w:val="Hyperlink"/>
          </w:rPr>
          <w:t xml:space="preserve">Genetic screening for single-cell variability modulators driving therapy resistance</w:t>
        </w:r>
      </w:hyperlink>
      <w:r>
        <w:t xml:space="preserve">.</w:t>
      </w:r>
      <w:r>
        <w:t xml:space="preserve"> </w:t>
      </w:r>
      <w:r>
        <w:rPr>
          <w:iCs/>
          <w:i/>
        </w:rPr>
        <w:t xml:space="preserve">Nature Genetics</w:t>
      </w:r>
      <w:r>
        <w:t xml:space="preserve"> </w:t>
      </w:r>
      <w:r>
        <w:rPr>
          <w:bCs/>
          <w:b/>
        </w:rPr>
        <w:t xml:space="preserve">53</w:t>
      </w:r>
      <w:r>
        <w:t xml:space="preserve">, 76–85 (2021).</w:t>
      </w:r>
    </w:p>
    <w:bookmarkEnd w:id="154"/>
    <w:bookmarkStart w:id="156" w:name="ref-gunnarsson2020"/>
    <w:p>
      <w:pPr>
        <w:pStyle w:val="Bibliography"/>
      </w:pPr>
      <w:r>
        <w:t xml:space="preserve">40.</w:t>
      </w:r>
      <w:r>
        <w:t xml:space="preserve"> </w:t>
      </w:r>
      <w:r>
        <w:t xml:space="preserve">	</w:t>
      </w:r>
      <w:r>
        <w:t xml:space="preserve">Gunnarsson, E. B., De, S., Leder, K. &amp; Foo, J.</w:t>
      </w:r>
      <w:r>
        <w:t xml:space="preserve"> </w:t>
      </w:r>
      <w:hyperlink r:id="rId155">
        <w:r>
          <w:rPr>
            <w:rStyle w:val="Hyperlink"/>
          </w:rPr>
          <w:t xml:space="preserve">Understanding the role of phenotypic switching in cancer drug resistance</w:t>
        </w:r>
      </w:hyperlink>
      <w:r>
        <w:t xml:space="preserve">.</w:t>
      </w:r>
      <w:r>
        <w:t xml:space="preserve"> </w:t>
      </w:r>
      <w:r>
        <w:rPr>
          <w:iCs/>
          <w:i/>
        </w:rPr>
        <w:t xml:space="preserve">Journal of Theoretical Biology</w:t>
      </w:r>
      <w:r>
        <w:t xml:space="preserve"> </w:t>
      </w:r>
      <w:r>
        <w:rPr>
          <w:bCs/>
          <w:b/>
        </w:rPr>
        <w:t xml:space="preserve">490</w:t>
      </w:r>
      <w:r>
        <w:t xml:space="preserve">, 110162 (2020).</w:t>
      </w:r>
    </w:p>
    <w:bookmarkEnd w:id="156"/>
    <w:bookmarkStart w:id="158" w:name="ref-lasri2020"/>
    <w:p>
      <w:pPr>
        <w:pStyle w:val="Bibliography"/>
      </w:pPr>
      <w:r>
        <w:t xml:space="preserve">41.</w:t>
      </w:r>
      <w:r>
        <w:t xml:space="preserve"> </w:t>
      </w:r>
      <w:r>
        <w:t xml:space="preserve">	</w:t>
      </w:r>
      <w:r>
        <w:t xml:space="preserve">Lasri, A.</w:t>
      </w:r>
      <w:r>
        <w:t xml:space="preserve"> </w:t>
      </w:r>
      <w:r>
        <w:rPr>
          <w:iCs/>
          <w:i/>
        </w:rPr>
        <w:t xml:space="preserve">et al.</w:t>
      </w:r>
      <w:r>
        <w:t xml:space="preserve"> </w:t>
      </w:r>
      <w:hyperlink r:id="rId157">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Cs/>
          <w:i/>
        </w:rPr>
        <w:t xml:space="preserve">Royal Society Open Science</w:t>
      </w:r>
      <w:r>
        <w:t xml:space="preserve"> </w:t>
      </w:r>
      <w:r>
        <w:rPr>
          <w:bCs/>
          <w:b/>
        </w:rPr>
        <w:t xml:space="preserve">7</w:t>
      </w:r>
      <w:r>
        <w:t xml:space="preserve">, 191243 (2020).</w:t>
      </w:r>
    </w:p>
    <w:bookmarkEnd w:id="158"/>
    <w:bookmarkStart w:id="160"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Cs/>
          <w:i/>
        </w:rPr>
        <w:t xml:space="preserve">PRX Life</w:t>
      </w:r>
      <w:r>
        <w:t xml:space="preserve"> </w:t>
      </w:r>
      <w:hyperlink r:id="rId159">
        <w:r>
          <w:rPr>
            <w:rStyle w:val="Hyperlink"/>
          </w:rPr>
          <w:t xml:space="preserve">https://doi.org/10.1103/mh5v-lcyw</w:t>
        </w:r>
      </w:hyperlink>
      <w:r>
        <w:t xml:space="preserve"> </w:t>
      </w:r>
      <w:r>
        <w:t xml:space="preserve">(2025).</w:t>
      </w:r>
    </w:p>
    <w:bookmarkEnd w:id="160"/>
    <w:bookmarkStart w:id="162" w:name="ref-bernton2019"/>
    <w:p>
      <w:pPr>
        <w:pStyle w:val="Bibliography"/>
      </w:pPr>
      <w:r>
        <w:t xml:space="preserve">43.</w:t>
      </w:r>
      <w:r>
        <w:t xml:space="preserve"> </w:t>
      </w:r>
      <w:r>
        <w:t xml:space="preserve">	</w:t>
      </w:r>
      <w:r>
        <w:t xml:space="preserve">Bernton, E., Jacob, P. E., Gerber, M. &amp; Robert, C. P.</w:t>
      </w:r>
      <w:r>
        <w:t xml:space="preserve"> </w:t>
      </w:r>
      <w:hyperlink r:id="rId161">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Cs/>
          <w:i/>
        </w:rPr>
        <w:t xml:space="preserve">Journal of the Royal Statistical Society: Series B</w:t>
      </w:r>
      <w:r>
        <w:t xml:space="preserve"> </w:t>
      </w:r>
      <w:r>
        <w:rPr>
          <w:bCs/>
          <w:b/>
        </w:rPr>
        <w:t xml:space="preserve">81</w:t>
      </w:r>
      <w:r>
        <w:t xml:space="preserve">, 235–269 (2019).</w:t>
      </w:r>
    </w:p>
    <w:bookmarkEnd w:id="162"/>
    <w:bookmarkStart w:id="164" w:name="ref-sandler2015"/>
    <w:p>
      <w:pPr>
        <w:pStyle w:val="Bibliography"/>
      </w:pPr>
      <w:r>
        <w:t xml:space="preserve">44.</w:t>
      </w:r>
      <w:r>
        <w:t xml:space="preserve"> </w:t>
      </w:r>
      <w:r>
        <w:t xml:space="preserve">	</w:t>
      </w:r>
      <w:r>
        <w:t xml:space="preserve">Sandler, O.</w:t>
      </w:r>
      <w:r>
        <w:t xml:space="preserve"> </w:t>
      </w:r>
      <w:r>
        <w:rPr>
          <w:iCs/>
          <w:i/>
        </w:rPr>
        <w:t xml:space="preserve">et al.</w:t>
      </w:r>
      <w:r>
        <w:t xml:space="preserve"> </w:t>
      </w:r>
      <w:hyperlink r:id="rId163">
        <w:r>
          <w:rPr>
            <w:rStyle w:val="Hyperlink"/>
          </w:rPr>
          <w:t xml:space="preserve">Lineage correlations of single cell division time as a probe of cell-cycle dynamics</w:t>
        </w:r>
      </w:hyperlink>
      <w:r>
        <w:t xml:space="preserve">.</w:t>
      </w:r>
      <w:r>
        <w:t xml:space="preserve"> </w:t>
      </w:r>
      <w:r>
        <w:rPr>
          <w:iCs/>
          <w:i/>
        </w:rPr>
        <w:t xml:space="preserve">Nature</w:t>
      </w:r>
      <w:r>
        <w:t xml:space="preserve"> </w:t>
      </w:r>
      <w:r>
        <w:rPr>
          <w:bCs/>
          <w:b/>
        </w:rPr>
        <w:t xml:space="preserve">519</w:t>
      </w:r>
      <w:r>
        <w:t xml:space="preserve">, 468–471 (2015).</w:t>
      </w:r>
    </w:p>
    <w:bookmarkEnd w:id="164"/>
    <w:bookmarkStart w:id="166" w:name="ref-kuchen2020"/>
    <w:p>
      <w:pPr>
        <w:pStyle w:val="Bibliography"/>
      </w:pPr>
      <w:r>
        <w:t xml:space="preserve">45.</w:t>
      </w:r>
      <w:r>
        <w:t xml:space="preserve"> </w:t>
      </w:r>
      <w:r>
        <w:t xml:space="preserve">	</w:t>
      </w:r>
      <w:r>
        <w:t xml:space="preserve">Kuchen, E. E., Becker, N. B., Claudino, N. &amp; Höfer, T.</w:t>
      </w:r>
      <w:r>
        <w:t xml:space="preserve"> </w:t>
      </w:r>
      <w:hyperlink r:id="rId165">
        <w:r>
          <w:rPr>
            <w:rStyle w:val="Hyperlink"/>
          </w:rPr>
          <w:t xml:space="preserve">Hidden long-range memories of growth and cycle speed correlate cell cycles in lineage trees</w:t>
        </w:r>
      </w:hyperlink>
      <w:r>
        <w:t xml:space="preserve">.</w:t>
      </w:r>
      <w:r>
        <w:t xml:space="preserve"> </w:t>
      </w:r>
      <w:r>
        <w:rPr>
          <w:iCs/>
          <w:i/>
        </w:rPr>
        <w:t xml:space="preserve">eLife</w:t>
      </w:r>
      <w:r>
        <w:t xml:space="preserve"> </w:t>
      </w:r>
      <w:r>
        <w:rPr>
          <w:bCs/>
          <w:b/>
        </w:rPr>
        <w:t xml:space="preserve">9</w:t>
      </w:r>
      <w:r>
        <w:t xml:space="preserve">, e51002 (2020).</w:t>
      </w:r>
    </w:p>
    <w:bookmarkEnd w:id="166"/>
    <w:bookmarkStart w:id="168" w:name="ref-chakrabarti2018"/>
    <w:p>
      <w:pPr>
        <w:pStyle w:val="Bibliography"/>
      </w:pPr>
      <w:r>
        <w:t xml:space="preserve">46.</w:t>
      </w:r>
      <w:r>
        <w:t xml:space="preserve"> </w:t>
      </w:r>
      <w:r>
        <w:t xml:space="preserve">	</w:t>
      </w:r>
      <w:r>
        <w:t xml:space="preserve">Chakrabarti, S.</w:t>
      </w:r>
      <w:r>
        <w:t xml:space="preserve"> </w:t>
      </w:r>
      <w:r>
        <w:rPr>
          <w:iCs/>
          <w:i/>
        </w:rPr>
        <w:t xml:space="preserve">et al.</w:t>
      </w:r>
      <w:r>
        <w:t xml:space="preserve"> </w:t>
      </w:r>
      <w:hyperlink r:id="rId167">
        <w:r>
          <w:rPr>
            <w:rStyle w:val="Hyperlink"/>
          </w:rPr>
          <w:t xml:space="preserve">Hidden heterogeneity and circadian-controlled cell fate inferred from single cell lineages</w:t>
        </w:r>
      </w:hyperlink>
      <w:r>
        <w:t xml:space="preserve">.</w:t>
      </w:r>
      <w:r>
        <w:t xml:space="preserve"> </w:t>
      </w:r>
      <w:r>
        <w:rPr>
          <w:iCs/>
          <w:i/>
        </w:rPr>
        <w:t xml:space="preserve">Nature Communications</w:t>
      </w:r>
      <w:r>
        <w:t xml:space="preserve"> </w:t>
      </w:r>
      <w:r>
        <w:rPr>
          <w:bCs/>
          <w:b/>
        </w:rPr>
        <w:t xml:space="preserve">9</w:t>
      </w:r>
      <w:r>
        <w:t xml:space="preserve">, 5372 (2018).</w:t>
      </w:r>
    </w:p>
    <w:bookmarkEnd w:id="168"/>
    <w:bookmarkStart w:id="170" w:name="ref-algazi2020"/>
    <w:p>
      <w:pPr>
        <w:pStyle w:val="Bibliography"/>
      </w:pPr>
      <w:r>
        <w:t xml:space="preserve">47.</w:t>
      </w:r>
      <w:r>
        <w:t xml:space="preserve"> </w:t>
      </w:r>
      <w:r>
        <w:t xml:space="preserve">	</w:t>
      </w:r>
      <w:r>
        <w:t xml:space="preserve">Algazi, A. P.</w:t>
      </w:r>
      <w:r>
        <w:t xml:space="preserve"> </w:t>
      </w:r>
      <w:r>
        <w:rPr>
          <w:iCs/>
          <w:i/>
        </w:rPr>
        <w:t xml:space="preserve">et al.</w:t>
      </w:r>
      <w:r>
        <w:t xml:space="preserve"> </w:t>
      </w:r>
      <w:hyperlink r:id="rId169">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Cs/>
          <w:i/>
        </w:rPr>
        <w:t xml:space="preserve">Nature Medicine</w:t>
      </w:r>
      <w:r>
        <w:t xml:space="preserve"> </w:t>
      </w:r>
      <w:r>
        <w:rPr>
          <w:bCs/>
          <w:b/>
        </w:rPr>
        <w:t xml:space="preserve">26</w:t>
      </w:r>
      <w:r>
        <w:t xml:space="preserve">, 1564–1568 (2020).</w:t>
      </w:r>
    </w:p>
    <w:bookmarkEnd w:id="170"/>
    <w:bookmarkStart w:id="172" w:name="ref-zhang2017adaptive"/>
    <w:p>
      <w:pPr>
        <w:pStyle w:val="Bibliography"/>
      </w:pPr>
      <w:r>
        <w:t xml:space="preserve">48.</w:t>
      </w:r>
      <w:r>
        <w:t xml:space="preserve"> </w:t>
      </w:r>
      <w:r>
        <w:t xml:space="preserve">	</w:t>
      </w:r>
      <w:r>
        <w:t xml:space="preserve">Zhang, J., Cunningham, J. J., Brown, J. S. &amp; Gatenby, R. A.</w:t>
      </w:r>
      <w:r>
        <w:t xml:space="preserve"> </w:t>
      </w:r>
      <w:hyperlink r:id="rId171">
        <w:r>
          <w:rPr>
            <w:rStyle w:val="Hyperlink"/>
          </w:rPr>
          <w:t xml:space="preserve">Integrating evolutionary dynamics into treatment of metastatic castrate-resistant prostate cancer</w:t>
        </w:r>
      </w:hyperlink>
      <w:r>
        <w:t xml:space="preserve">.</w:t>
      </w:r>
      <w:r>
        <w:t xml:space="preserve"> </w:t>
      </w:r>
      <w:r>
        <w:rPr>
          <w:iCs/>
          <w:i/>
        </w:rPr>
        <w:t xml:space="preserve">Nature Communications</w:t>
      </w:r>
      <w:r>
        <w:t xml:space="preserve"> </w:t>
      </w:r>
      <w:r>
        <w:rPr>
          <w:bCs/>
          <w:b/>
        </w:rPr>
        <w:t xml:space="preserve">8</w:t>
      </w:r>
      <w:r>
        <w:t xml:space="preserve">, 1816 (2017).</w:t>
      </w:r>
    </w:p>
    <w:bookmarkEnd w:id="172"/>
    <w:bookmarkStart w:id="174" w:name="ref-dasthakur2013"/>
    <w:p>
      <w:pPr>
        <w:pStyle w:val="Bibliography"/>
      </w:pPr>
      <w:r>
        <w:t xml:space="preserve">49.</w:t>
      </w:r>
      <w:r>
        <w:t xml:space="preserve"> </w:t>
      </w:r>
      <w:r>
        <w:t xml:space="preserve">	</w:t>
      </w:r>
      <w:r>
        <w:t xml:space="preserve">Das Thakur, M.</w:t>
      </w:r>
      <w:r>
        <w:t xml:space="preserve"> </w:t>
      </w:r>
      <w:r>
        <w:rPr>
          <w:iCs/>
          <w:i/>
        </w:rPr>
        <w:t xml:space="preserve">et al.</w:t>
      </w:r>
      <w:r>
        <w:t xml:space="preserve"> </w:t>
      </w:r>
      <w:hyperlink r:id="rId173">
        <w:r>
          <w:rPr>
            <w:rStyle w:val="Hyperlink"/>
          </w:rPr>
          <w:t xml:space="preserve">Modelling vemurafenib resistance in melanoma reveals a strategy to forestall drug resistance</w:t>
        </w:r>
      </w:hyperlink>
      <w:r>
        <w:t xml:space="preserve">.</w:t>
      </w:r>
      <w:r>
        <w:t xml:space="preserve"> </w:t>
      </w:r>
      <w:r>
        <w:rPr>
          <w:iCs/>
          <w:i/>
        </w:rPr>
        <w:t xml:space="preserve">Nature</w:t>
      </w:r>
      <w:r>
        <w:t xml:space="preserve"> </w:t>
      </w:r>
      <w:r>
        <w:rPr>
          <w:bCs/>
          <w:b/>
        </w:rPr>
        <w:t xml:space="preserve">494</w:t>
      </w:r>
      <w:r>
        <w:t xml:space="preserve">, 251–255 (2013).</w:t>
      </w:r>
    </w:p>
    <w:bookmarkEnd w:id="174"/>
    <w:bookmarkStart w:id="176" w:name="ref-strobl2021"/>
    <w:p>
      <w:pPr>
        <w:pStyle w:val="Bibliography"/>
      </w:pPr>
      <w:r>
        <w:t xml:space="preserve">50.</w:t>
      </w:r>
      <w:r>
        <w:t xml:space="preserve"> </w:t>
      </w:r>
      <w:r>
        <w:t xml:space="preserve">	</w:t>
      </w:r>
      <w:r>
        <w:t xml:space="preserve">Strobl, M. A. R.</w:t>
      </w:r>
      <w:r>
        <w:t xml:space="preserve"> </w:t>
      </w:r>
      <w:r>
        <w:rPr>
          <w:iCs/>
          <w:i/>
        </w:rPr>
        <w:t xml:space="preserve">et al.</w:t>
      </w:r>
      <w:r>
        <w:t xml:space="preserve"> </w:t>
      </w:r>
      <w:hyperlink r:id="rId175">
        <w:r>
          <w:rPr>
            <w:rStyle w:val="Hyperlink"/>
          </w:rPr>
          <w:t xml:space="preserve">Turnover modulates the need for a cost of resistance in adaptive therapy</w:t>
        </w:r>
      </w:hyperlink>
      <w:r>
        <w:t xml:space="preserve">.</w:t>
      </w:r>
      <w:r>
        <w:t xml:space="preserve"> </w:t>
      </w:r>
      <w:r>
        <w:rPr>
          <w:iCs/>
          <w:i/>
        </w:rPr>
        <w:t xml:space="preserve">Cancer Research</w:t>
      </w:r>
      <w:r>
        <w:t xml:space="preserve"> </w:t>
      </w:r>
      <w:r>
        <w:rPr>
          <w:bCs/>
          <w:b/>
        </w:rPr>
        <w:t xml:space="preserve">81</w:t>
      </w:r>
      <w:r>
        <w:t xml:space="preserve">, 1135–1147 (2021).</w:t>
      </w:r>
    </w:p>
    <w:bookmarkEnd w:id="176"/>
    <w:bookmarkStart w:id="178" w:name="ref-gilbert2013"/>
    <w:p>
      <w:pPr>
        <w:pStyle w:val="Bibliography"/>
      </w:pPr>
      <w:r>
        <w:t xml:space="preserve">51.</w:t>
      </w:r>
      <w:r>
        <w:t xml:space="preserve"> </w:t>
      </w:r>
      <w:r>
        <w:t xml:space="preserve">	</w:t>
      </w:r>
      <w:r>
        <w:t xml:space="preserve">Gilbert, M. R.</w:t>
      </w:r>
      <w:r>
        <w:t xml:space="preserve"> </w:t>
      </w:r>
      <w:r>
        <w:rPr>
          <w:iCs/>
          <w:i/>
        </w:rPr>
        <w:t xml:space="preserve">et al.</w:t>
      </w:r>
      <w:r>
        <w:t xml:space="preserve"> </w:t>
      </w:r>
      <w:hyperlink r:id="rId177">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Cs/>
          <w:i/>
        </w:rPr>
        <w:t xml:space="preserve">Journal of Clinical Oncology</w:t>
      </w:r>
      <w:r>
        <w:t xml:space="preserve"> </w:t>
      </w:r>
      <w:r>
        <w:rPr>
          <w:bCs/>
          <w:b/>
        </w:rPr>
        <w:t xml:space="preserve">31</w:t>
      </w:r>
      <w:r>
        <w:t xml:space="preserve">, 4085–4091 (2013).</w:t>
      </w:r>
    </w:p>
    <w:bookmarkEnd w:id="178"/>
    <w:bookmarkStart w:id="180" w:name="ref-ostermann2004"/>
    <w:p>
      <w:pPr>
        <w:pStyle w:val="Bibliography"/>
      </w:pPr>
      <w:r>
        <w:t xml:space="preserve">52.</w:t>
      </w:r>
      <w:r>
        <w:t xml:space="preserve"> </w:t>
      </w:r>
      <w:r>
        <w:t xml:space="preserve">	</w:t>
      </w:r>
      <w:r>
        <w:t xml:space="preserve">Ostermann, S.</w:t>
      </w:r>
      <w:r>
        <w:t xml:space="preserve"> </w:t>
      </w:r>
      <w:r>
        <w:rPr>
          <w:iCs/>
          <w:i/>
        </w:rPr>
        <w:t xml:space="preserve">et al.</w:t>
      </w:r>
      <w:r>
        <w:t xml:space="preserve"> </w:t>
      </w:r>
      <w:hyperlink r:id="rId179">
        <w:r>
          <w:rPr>
            <w:rStyle w:val="Hyperlink"/>
          </w:rPr>
          <w:t xml:space="preserve">Plasma and cerebrospinal fluid population pharmacokinetics of temozolomide in malignant glioma patients</w:t>
        </w:r>
      </w:hyperlink>
      <w:r>
        <w:t xml:space="preserve">.</w:t>
      </w:r>
      <w:r>
        <w:t xml:space="preserve"> </w:t>
      </w:r>
      <w:r>
        <w:rPr>
          <w:iCs/>
          <w:i/>
        </w:rPr>
        <w:t xml:space="preserve">Clinical Cancer Research</w:t>
      </w:r>
      <w:r>
        <w:t xml:space="preserve"> </w:t>
      </w:r>
      <w:r>
        <w:rPr>
          <w:bCs/>
          <w:b/>
        </w:rPr>
        <w:t xml:space="preserve">10</w:t>
      </w:r>
      <w:r>
        <w:t xml:space="preserve">, 3728–3736 (2004).</w:t>
      </w:r>
    </w:p>
    <w:bookmarkEnd w:id="180"/>
    <w:bookmarkStart w:id="182" w:name="ref-rudek2004"/>
    <w:p>
      <w:pPr>
        <w:pStyle w:val="Bibliography"/>
      </w:pPr>
      <w:r>
        <w:t xml:space="preserve">53.</w:t>
      </w:r>
      <w:r>
        <w:t xml:space="preserve"> </w:t>
      </w:r>
      <w:r>
        <w:t xml:space="preserve">	</w:t>
      </w:r>
      <w:r>
        <w:t xml:space="preserve">Rudek, M. A.</w:t>
      </w:r>
      <w:r>
        <w:t xml:space="preserve"> </w:t>
      </w:r>
      <w:r>
        <w:rPr>
          <w:iCs/>
          <w:i/>
        </w:rPr>
        <w:t xml:space="preserve">et al.</w:t>
      </w:r>
      <w:r>
        <w:t xml:space="preserve"> </w:t>
      </w:r>
      <w:hyperlink r:id="rId181">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Cs/>
          <w:i/>
        </w:rPr>
        <w:t xml:space="preserve">Pharmacotherapy</w:t>
      </w:r>
      <w:r>
        <w:t xml:space="preserve"> </w:t>
      </w:r>
      <w:r>
        <w:rPr>
          <w:bCs/>
          <w:b/>
        </w:rPr>
        <w:t xml:space="preserve">24</w:t>
      </w:r>
      <w:r>
        <w:t xml:space="preserve">, 16–25 (2004).</w:t>
      </w:r>
    </w:p>
    <w:bookmarkEnd w:id="182"/>
    <w:bookmarkStart w:id="184" w:name="ref-tolcher2003"/>
    <w:p>
      <w:pPr>
        <w:pStyle w:val="Bibliography"/>
      </w:pPr>
      <w:r>
        <w:t xml:space="preserve">54.</w:t>
      </w:r>
      <w:r>
        <w:t xml:space="preserve"> </w:t>
      </w:r>
      <w:r>
        <w:t xml:space="preserve">	</w:t>
      </w:r>
      <w:r>
        <w:t xml:space="preserve">Tolcher, A. W.</w:t>
      </w:r>
      <w:r>
        <w:t xml:space="preserve"> </w:t>
      </w:r>
      <w:r>
        <w:rPr>
          <w:iCs/>
          <w:i/>
        </w:rPr>
        <w:t xml:space="preserve">et al.</w:t>
      </w:r>
      <w:r>
        <w:t xml:space="preserve"> </w:t>
      </w:r>
      <w:hyperlink r:id="rId183">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Cs/>
          <w:i/>
        </w:rPr>
        <w:t xml:space="preserve">British Journal of Cancer</w:t>
      </w:r>
      <w:r>
        <w:t xml:space="preserve"> </w:t>
      </w:r>
      <w:r>
        <w:rPr>
          <w:bCs/>
          <w:b/>
        </w:rPr>
        <w:t xml:space="preserve">88</w:t>
      </w:r>
      <w:r>
        <w:t xml:space="preserve">, 1004–1011 (2003).</w:t>
      </w:r>
    </w:p>
    <w:bookmarkEnd w:id="184"/>
    <w:bookmarkStart w:id="186" w:name="ref-middleton2000"/>
    <w:p>
      <w:pPr>
        <w:pStyle w:val="Bibliography"/>
      </w:pPr>
      <w:r>
        <w:t xml:space="preserve">55.</w:t>
      </w:r>
      <w:r>
        <w:t xml:space="preserve"> </w:t>
      </w:r>
      <w:r>
        <w:t xml:space="preserve">	</w:t>
      </w:r>
      <w:r>
        <w:t xml:space="preserve">Middleton, M. R.</w:t>
      </w:r>
      <w:r>
        <w:t xml:space="preserve"> </w:t>
      </w:r>
      <w:r>
        <w:rPr>
          <w:iCs/>
          <w:i/>
        </w:rPr>
        <w:t xml:space="preserve">et al.</w:t>
      </w:r>
      <w:r>
        <w:t xml:space="preserve"> </w:t>
      </w:r>
      <w:hyperlink r:id="rId185">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Cs/>
          <w:i/>
        </w:rPr>
        <w:t xml:space="preserve">International Journal of Cancer</w:t>
      </w:r>
      <w:r>
        <w:t xml:space="preserve"> </w:t>
      </w:r>
      <w:r>
        <w:rPr>
          <w:bCs/>
          <w:b/>
        </w:rPr>
        <w:t xml:space="preserve">88</w:t>
      </w:r>
      <w:r>
        <w:t xml:space="preserve">, 469–473 (2000).</w:t>
      </w:r>
    </w:p>
    <w:bookmarkEnd w:id="186"/>
    <w:bookmarkStart w:id="188" w:name="ref-robinson2010"/>
    <w:p>
      <w:pPr>
        <w:pStyle w:val="Bibliography"/>
      </w:pPr>
      <w:r>
        <w:t xml:space="preserve">56.</w:t>
      </w:r>
      <w:r>
        <w:t xml:space="preserve"> </w:t>
      </w:r>
      <w:r>
        <w:t xml:space="preserve">	</w:t>
      </w:r>
      <w:r>
        <w:t xml:space="preserve">Robinson, C. G.</w:t>
      </w:r>
      <w:r>
        <w:t xml:space="preserve"> </w:t>
      </w:r>
      <w:r>
        <w:rPr>
          <w:iCs/>
          <w:i/>
        </w:rPr>
        <w:t xml:space="preserve">et al.</w:t>
      </w:r>
      <w:r>
        <w:t xml:space="preserve"> </w:t>
      </w:r>
      <w:hyperlink r:id="rId187">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Cs/>
          <w:i/>
        </w:rPr>
        <w:t xml:space="preserve">British Journal of Cancer</w:t>
      </w:r>
      <w:r>
        <w:t xml:space="preserve"> </w:t>
      </w:r>
      <w:r>
        <w:rPr>
          <w:bCs/>
          <w:b/>
        </w:rPr>
        <w:t xml:space="preserve">103</w:t>
      </w:r>
      <w:r>
        <w:t xml:space="preserve">, 498–504 (2010).</w:t>
      </w:r>
    </w:p>
    <w:bookmarkEnd w:id="188"/>
    <w:bookmarkStart w:id="190" w:name="ref-gillespie1977"/>
    <w:p>
      <w:pPr>
        <w:pStyle w:val="Bibliography"/>
      </w:pPr>
      <w:r>
        <w:t xml:space="preserve">57.</w:t>
      </w:r>
      <w:r>
        <w:t xml:space="preserve"> </w:t>
      </w:r>
      <w:r>
        <w:t xml:space="preserve">	</w:t>
      </w:r>
      <w:r>
        <w:t xml:space="preserve">Gillespie, D. T.</w:t>
      </w:r>
      <w:r>
        <w:t xml:space="preserve"> </w:t>
      </w:r>
      <w:hyperlink r:id="rId189">
        <w:r>
          <w:rPr>
            <w:rStyle w:val="Hyperlink"/>
          </w:rPr>
          <w:t xml:space="preserve">Exact stochastic simulation of coupled chemical reactions</w:t>
        </w:r>
      </w:hyperlink>
      <w:r>
        <w:t xml:space="preserve">.</w:t>
      </w:r>
      <w:r>
        <w:t xml:space="preserve"> </w:t>
      </w:r>
      <w:r>
        <w:rPr>
          <w:iCs/>
          <w:i/>
        </w:rPr>
        <w:t xml:space="preserve">The Journal of Physical Chemistry</w:t>
      </w:r>
      <w:r>
        <w:t xml:space="preserve"> </w:t>
      </w:r>
      <w:r>
        <w:rPr>
          <w:bCs/>
          <w:b/>
        </w:rPr>
        <w:t xml:space="preserve">81</w:t>
      </w:r>
      <w:r>
        <w:t xml:space="preserve">, 2340–2361 (1977).</w:t>
      </w:r>
    </w:p>
    <w:bookmarkEnd w:id="190"/>
    <w:bookmarkStart w:id="192" w:name="ref-gillespie2001"/>
    <w:p>
      <w:pPr>
        <w:pStyle w:val="Bibliography"/>
      </w:pPr>
      <w:r>
        <w:t xml:space="preserve">58.</w:t>
      </w:r>
      <w:r>
        <w:t xml:space="preserve"> </w:t>
      </w:r>
      <w:r>
        <w:t xml:space="preserve">	</w:t>
      </w:r>
      <w:r>
        <w:t xml:space="preserve">Gillespie, D. T.</w:t>
      </w:r>
      <w:r>
        <w:t xml:space="preserve"> </w:t>
      </w:r>
      <w:hyperlink r:id="rId191">
        <w:r>
          <w:rPr>
            <w:rStyle w:val="Hyperlink"/>
          </w:rPr>
          <w:t xml:space="preserve">Approximate accelerated stochastic simulation of chemically reacting systems</w:t>
        </w:r>
      </w:hyperlink>
      <w:r>
        <w:t xml:space="preserve">.</w:t>
      </w:r>
      <w:r>
        <w:t xml:space="preserve"> </w:t>
      </w:r>
      <w:r>
        <w:rPr>
          <w:iCs/>
          <w:i/>
        </w:rPr>
        <w:t xml:space="preserve">The Journal of Chemical Physics</w:t>
      </w:r>
      <w:r>
        <w:t xml:space="preserve"> </w:t>
      </w:r>
      <w:r>
        <w:rPr>
          <w:bCs/>
          <w:b/>
        </w:rPr>
        <w:t xml:space="preserve">115</w:t>
      </w:r>
      <w:r>
        <w:t xml:space="preserve">, 1716–1733 (2001).</w:t>
      </w:r>
    </w:p>
    <w:bookmarkEnd w:id="192"/>
    <w:bookmarkStart w:id="194" w:name="ref-cao2006"/>
    <w:p>
      <w:pPr>
        <w:pStyle w:val="Bibliography"/>
      </w:pPr>
      <w:r>
        <w:t xml:space="preserve">59.</w:t>
      </w:r>
      <w:r>
        <w:t xml:space="preserve"> </w:t>
      </w:r>
      <w:r>
        <w:t xml:space="preserve">	</w:t>
      </w:r>
      <w:r>
        <w:t xml:space="preserve">Cao, Y., Gillespie, D. T. &amp; Petzold, L. R.</w:t>
      </w:r>
      <w:r>
        <w:t xml:space="preserve"> </w:t>
      </w:r>
      <w:hyperlink r:id="rId193">
        <w:r>
          <w:rPr>
            <w:rStyle w:val="Hyperlink"/>
          </w:rPr>
          <w:t xml:space="preserve">Efficient step size selection for the tau-leaping simulation method</w:t>
        </w:r>
      </w:hyperlink>
      <w:r>
        <w:t xml:space="preserve">.</w:t>
      </w:r>
      <w:r>
        <w:t xml:space="preserve"> </w:t>
      </w:r>
      <w:r>
        <w:rPr>
          <w:iCs/>
          <w:i/>
        </w:rPr>
        <w:t xml:space="preserve">The Journal of Chemical Physics</w:t>
      </w:r>
      <w:r>
        <w:t xml:space="preserve"> </w:t>
      </w:r>
      <w:r>
        <w:rPr>
          <w:bCs/>
          <w:b/>
        </w:rPr>
        <w:t xml:space="preserve">124</w:t>
      </w:r>
      <w:r>
        <w:t xml:space="preserve">, 044109 (2006).</w:t>
      </w:r>
    </w:p>
    <w:bookmarkEnd w:id="194"/>
    <w:bookmarkStart w:id="196" w:name="ref-cao2005"/>
    <w:p>
      <w:pPr>
        <w:pStyle w:val="Bibliography"/>
      </w:pPr>
      <w:r>
        <w:t xml:space="preserve">60.</w:t>
      </w:r>
      <w:r>
        <w:t xml:space="preserve"> </w:t>
      </w:r>
      <w:r>
        <w:t xml:space="preserve">	</w:t>
      </w:r>
      <w:r>
        <w:t xml:space="preserve">Cao, Y., Gillespie, D. T. &amp; Petzold, L. R.</w:t>
      </w:r>
      <w:r>
        <w:t xml:space="preserve"> </w:t>
      </w:r>
      <w:hyperlink r:id="rId19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Cs/>
          <w:i/>
        </w:rPr>
        <w:t xml:space="preserve">The Journal of Chemical Physics</w:t>
      </w:r>
      <w:r>
        <w:t xml:space="preserve"> </w:t>
      </w:r>
      <w:r>
        <w:rPr>
          <w:bCs/>
          <w:b/>
        </w:rPr>
        <w:t xml:space="preserve">123</w:t>
      </w:r>
      <w:r>
        <w:t xml:space="preserve">, 054104 (2005).</w:t>
      </w:r>
    </w:p>
    <w:bookmarkEnd w:id="196"/>
    <w:bookmarkStart w:id="198" w:name="ref-shaffer2020"/>
    <w:p>
      <w:pPr>
        <w:pStyle w:val="Bibliography"/>
      </w:pPr>
      <w:r>
        <w:t xml:space="preserve">61.</w:t>
      </w:r>
      <w:r>
        <w:t xml:space="preserve"> </w:t>
      </w:r>
      <w:r>
        <w:t xml:space="preserve">	</w:t>
      </w:r>
      <w:r>
        <w:t xml:space="preserve">Shaffer, S. M.</w:t>
      </w:r>
      <w:r>
        <w:t xml:space="preserve"> </w:t>
      </w:r>
      <w:r>
        <w:rPr>
          <w:iCs/>
          <w:i/>
        </w:rPr>
        <w:t xml:space="preserve">et al.</w:t>
      </w:r>
      <w:r>
        <w:t xml:space="preserve"> </w:t>
      </w:r>
      <w:hyperlink r:id="rId197">
        <w:r>
          <w:rPr>
            <w:rStyle w:val="Hyperlink"/>
          </w:rPr>
          <w:t xml:space="preserve">Memory sequencing reveals heritable single-cell gene expression programs associated with distinct cellular behaviors</w:t>
        </w:r>
      </w:hyperlink>
      <w:r>
        <w:t xml:space="preserve">.</w:t>
      </w:r>
      <w:r>
        <w:t xml:space="preserve"> </w:t>
      </w:r>
      <w:r>
        <w:rPr>
          <w:iCs/>
          <w:i/>
        </w:rPr>
        <w:t xml:space="preserve">Cell</w:t>
      </w:r>
      <w:r>
        <w:t xml:space="preserve"> </w:t>
      </w:r>
      <w:r>
        <w:rPr>
          <w:bCs/>
          <w:b/>
        </w:rPr>
        <w:t xml:space="preserve">182</w:t>
      </w:r>
      <w:r>
        <w:t xml:space="preserve">, 947–959 (2020).</w:t>
      </w:r>
    </w:p>
    <w:bookmarkEnd w:id="198"/>
    <w:bookmarkStart w:id="200" w:name="ref-toni2009"/>
    <w:p>
      <w:pPr>
        <w:pStyle w:val="Bibliography"/>
      </w:pPr>
      <w:r>
        <w:t xml:space="preserve">62.</w:t>
      </w:r>
      <w:r>
        <w:t xml:space="preserve"> </w:t>
      </w:r>
      <w:r>
        <w:t xml:space="preserve">	</w:t>
      </w:r>
      <w:r>
        <w:t xml:space="preserve">Toni, T., Welch, D., Strelkowa, N., Ipsen, A. &amp; Stumpf, M. P. H.</w:t>
      </w:r>
      <w:r>
        <w:t xml:space="preserve"> </w:t>
      </w:r>
      <w:hyperlink r:id="rId19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Cs/>
          <w:i/>
        </w:rPr>
        <w:t xml:space="preserve">Journal of the Royal Society Interface</w:t>
      </w:r>
      <w:r>
        <w:t xml:space="preserve"> </w:t>
      </w:r>
      <w:r>
        <w:rPr>
          <w:bCs/>
          <w:b/>
        </w:rPr>
        <w:t xml:space="preserve">6</w:t>
      </w:r>
      <w:r>
        <w:t xml:space="preserve">, 187–202 (2009).</w:t>
      </w:r>
    </w:p>
    <w:bookmarkEnd w:id="200"/>
    <w:bookmarkStart w:id="202" w:name="ref-ellingson2016"/>
    <w:p>
      <w:pPr>
        <w:pStyle w:val="Bibliography"/>
      </w:pPr>
      <w:r>
        <w:t xml:space="preserve">63.</w:t>
      </w:r>
      <w:r>
        <w:t xml:space="preserve"> </w:t>
      </w:r>
      <w:r>
        <w:t xml:space="preserve">	</w:t>
      </w:r>
      <w:r>
        <w:t xml:space="preserve">Ellingson, B. M.</w:t>
      </w:r>
      <w:r>
        <w:t xml:space="preserve"> </w:t>
      </w:r>
      <w:r>
        <w:rPr>
          <w:iCs/>
          <w:i/>
        </w:rPr>
        <w:t xml:space="preserve">et al.</w:t>
      </w:r>
      <w:r>
        <w:t xml:space="preserve"> </w:t>
      </w:r>
      <w:hyperlink r:id="rId201">
        <w:r>
          <w:rPr>
            <w:rStyle w:val="Hyperlink"/>
          </w:rPr>
          <w:t xml:space="preserve">Contrast-enhancing tumor growth dynamics of preoperative, treatment-naive human glioblastoma</w:t>
        </w:r>
      </w:hyperlink>
      <w:r>
        <w:t xml:space="preserve">.</w:t>
      </w:r>
      <w:r>
        <w:t xml:space="preserve"> </w:t>
      </w:r>
      <w:r>
        <w:rPr>
          <w:iCs/>
          <w:i/>
        </w:rPr>
        <w:t xml:space="preserve">Cancer</w:t>
      </w:r>
      <w:r>
        <w:t xml:space="preserve"> </w:t>
      </w:r>
      <w:r>
        <w:rPr>
          <w:bCs/>
          <w:b/>
        </w:rPr>
        <w:t xml:space="preserve">122</w:t>
      </w:r>
      <w:r>
        <w:t xml:space="preserve">, 1718–1727 (2016).</w:t>
      </w:r>
    </w:p>
    <w:bookmarkEnd w:id="202"/>
    <w:bookmarkStart w:id="204" w:name="ref-stensjoen2015"/>
    <w:p>
      <w:pPr>
        <w:pStyle w:val="Bibliography"/>
      </w:pPr>
      <w:r>
        <w:t xml:space="preserve">64.</w:t>
      </w:r>
      <w:r>
        <w:t xml:space="preserve"> </w:t>
      </w:r>
      <w:r>
        <w:t xml:space="preserve">	</w:t>
      </w:r>
      <w:r>
        <w:t xml:space="preserve">Stensjøen, A. L.</w:t>
      </w:r>
      <w:r>
        <w:t xml:space="preserve"> </w:t>
      </w:r>
      <w:r>
        <w:rPr>
          <w:iCs/>
          <w:i/>
        </w:rPr>
        <w:t xml:space="preserve">et al.</w:t>
      </w:r>
      <w:r>
        <w:t xml:space="preserve"> </w:t>
      </w:r>
      <w:hyperlink r:id="rId203">
        <w:r>
          <w:rPr>
            <w:rStyle w:val="Hyperlink"/>
          </w:rPr>
          <w:t xml:space="preserve">Growth dynamics of untreated glioblastomas in vivo</w:t>
        </w:r>
      </w:hyperlink>
      <w:r>
        <w:t xml:space="preserve">.</w:t>
      </w:r>
      <w:r>
        <w:t xml:space="preserve"> </w:t>
      </w:r>
      <w:r>
        <w:rPr>
          <w:iCs/>
          <w:i/>
        </w:rPr>
        <w:t xml:space="preserve">Neuro-Oncology</w:t>
      </w:r>
      <w:r>
        <w:t xml:space="preserve"> </w:t>
      </w:r>
      <w:r>
        <w:rPr>
          <w:bCs/>
          <w:b/>
        </w:rPr>
        <w:t xml:space="preserve">17</w:t>
      </w:r>
      <w:r>
        <w:t xml:space="preserve">, 1402–1411 (2015).</w:t>
      </w:r>
    </w:p>
    <w:bookmarkEnd w:id="204"/>
    <w:bookmarkStart w:id="206" w:name="ref-friedman2006"/>
    <w:p>
      <w:pPr>
        <w:pStyle w:val="Bibliography"/>
      </w:pPr>
      <w:r>
        <w:t xml:space="preserve">65.</w:t>
      </w:r>
      <w:r>
        <w:t xml:space="preserve"> </w:t>
      </w:r>
      <w:r>
        <w:t xml:space="preserve">	</w:t>
      </w:r>
      <w:r>
        <w:t xml:space="preserve">Friedman, N., Cai, L. &amp; Xie, X. S.</w:t>
      </w:r>
      <w:r>
        <w:t xml:space="preserve"> </w:t>
      </w:r>
      <w:hyperlink r:id="rId205">
        <w:r>
          <w:rPr>
            <w:rStyle w:val="Hyperlink"/>
          </w:rPr>
          <w:t xml:space="preserve">Linking stochastic dynamics to population distribution: An analytical framework of gene expression</w:t>
        </w:r>
      </w:hyperlink>
      <w:r>
        <w:t xml:space="preserve">.</w:t>
      </w:r>
      <w:r>
        <w:t xml:space="preserve"> </w:t>
      </w:r>
      <w:r>
        <w:rPr>
          <w:iCs/>
          <w:i/>
        </w:rPr>
        <w:t xml:space="preserve">Physical Review Letters</w:t>
      </w:r>
      <w:r>
        <w:t xml:space="preserve"> </w:t>
      </w:r>
      <w:r>
        <w:rPr>
          <w:bCs/>
          <w:b/>
        </w:rPr>
        <w:t xml:space="preserve">97</w:t>
      </w:r>
      <w:r>
        <w:t xml:space="preserve">, 168302 (2006).</w:t>
      </w:r>
    </w:p>
    <w:bookmarkEnd w:id="206"/>
    <w:bookmarkStart w:id="208" w:name="ref-shahrezaei2008"/>
    <w:p>
      <w:pPr>
        <w:pStyle w:val="Bibliography"/>
      </w:pPr>
      <w:r>
        <w:t xml:space="preserve">66.</w:t>
      </w:r>
      <w:r>
        <w:t xml:space="preserve"> </w:t>
      </w:r>
      <w:r>
        <w:t xml:space="preserve">	</w:t>
      </w:r>
      <w:r>
        <w:t xml:space="preserve">Shahrezaei, V. &amp; Swain, P. S.</w:t>
      </w:r>
      <w:r>
        <w:t xml:space="preserve"> </w:t>
      </w:r>
      <w:hyperlink r:id="rId207">
        <w:r>
          <w:rPr>
            <w:rStyle w:val="Hyperlink"/>
          </w:rPr>
          <w:t xml:space="preserve">Analytical distributions for stochastic gene expression</w:t>
        </w:r>
      </w:hyperlink>
      <w:r>
        <w:t xml:space="preserve">.</w:t>
      </w:r>
      <w:r>
        <w:t xml:space="preserve"> </w:t>
      </w:r>
      <w:r>
        <w:rPr>
          <w:iCs/>
          <w:i/>
        </w:rPr>
        <w:t xml:space="preserve">Proceedings of the National Academy of Sciences</w:t>
      </w:r>
      <w:r>
        <w:t xml:space="preserve"> </w:t>
      </w:r>
      <w:r>
        <w:rPr>
          <w:bCs/>
          <w:b/>
        </w:rPr>
        <w:t xml:space="preserve">105</w:t>
      </w:r>
      <w:r>
        <w:t xml:space="preserve">, 17256–17261 (2008).</w:t>
      </w:r>
    </w:p>
    <w:bookmarkEnd w:id="208"/>
    <w:bookmarkStart w:id="210" w:name="ref-sciml"/>
    <w:p>
      <w:pPr>
        <w:pStyle w:val="Bibliography"/>
      </w:pPr>
      <w:r>
        <w:t xml:space="preserve">67.</w:t>
      </w:r>
      <w:r>
        <w:t xml:space="preserve"> </w:t>
      </w:r>
      <w:r>
        <w:t xml:space="preserve">	</w:t>
      </w:r>
      <w:r>
        <w:t xml:space="preserve">Rackauckas, C. &amp; Nie, Q.</w:t>
      </w:r>
      <w:r>
        <w:t xml:space="preserve"> </w:t>
      </w:r>
      <w:hyperlink r:id="rId20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Cs/>
          <w:i/>
        </w:rPr>
        <w:t xml:space="preserve">Journal of Open Research Software</w:t>
      </w:r>
      <w:r>
        <w:t xml:space="preserve"> </w:t>
      </w:r>
      <w:r>
        <w:rPr>
          <w:bCs/>
          <w:b/>
        </w:rPr>
        <w:t xml:space="preserve">5</w:t>
      </w:r>
      <w:r>
        <w:t xml:space="preserve">, 15 (2017).</w:t>
      </w:r>
    </w:p>
    <w:bookmarkEnd w:id="210"/>
    <w:bookmarkStart w:id="212" w:name="ref-huh2011"/>
    <w:p>
      <w:pPr>
        <w:pStyle w:val="Bibliography"/>
      </w:pPr>
      <w:r>
        <w:t xml:space="preserve">68.</w:t>
      </w:r>
      <w:r>
        <w:t xml:space="preserve"> </w:t>
      </w:r>
      <w:r>
        <w:t xml:space="preserve">	</w:t>
      </w:r>
      <w:r>
        <w:t xml:space="preserve">Huh, D. &amp; Paulsson, J.</w:t>
      </w:r>
      <w:r>
        <w:t xml:space="preserve"> </w:t>
      </w:r>
      <w:hyperlink r:id="rId211">
        <w:r>
          <w:rPr>
            <w:rStyle w:val="Hyperlink"/>
          </w:rPr>
          <w:t xml:space="preserve">Non-genetic heterogeneity from stochastic partitioning at cell division</w:t>
        </w:r>
      </w:hyperlink>
      <w:r>
        <w:t xml:space="preserve">.</w:t>
      </w:r>
      <w:r>
        <w:t xml:space="preserve"> </w:t>
      </w:r>
      <w:r>
        <w:rPr>
          <w:iCs/>
          <w:i/>
        </w:rPr>
        <w:t xml:space="preserve">Nature Genetics</w:t>
      </w:r>
      <w:r>
        <w:t xml:space="preserve"> </w:t>
      </w:r>
      <w:r>
        <w:rPr>
          <w:bCs/>
          <w:b/>
        </w:rPr>
        <w:t xml:space="preserve">43</w:t>
      </w:r>
      <w:r>
        <w:t xml:space="preserve">, 95–100 (2011).</w:t>
      </w:r>
    </w:p>
    <w:bookmarkEnd w:id="212"/>
    <w:bookmarkStart w:id="214" w:name="ref-huynhthu2010"/>
    <w:p>
      <w:pPr>
        <w:pStyle w:val="Bibliography"/>
      </w:pPr>
      <w:r>
        <w:t xml:space="preserve">69.</w:t>
      </w:r>
      <w:r>
        <w:t xml:space="preserve"> </w:t>
      </w:r>
      <w:r>
        <w:t xml:space="preserve">	</w:t>
      </w:r>
      <w:r>
        <w:t xml:space="preserve">Huynh-Thu, V. A., Irrthum, A., Wehenkel, L. &amp; Geurts, P.</w:t>
      </w:r>
      <w:r>
        <w:t xml:space="preserve"> </w:t>
      </w:r>
      <w:hyperlink r:id="rId213">
        <w:r>
          <w:rPr>
            <w:rStyle w:val="Hyperlink"/>
          </w:rPr>
          <w:t xml:space="preserve">Inferring regulatory networks from expression data using tree-based methods</w:t>
        </w:r>
      </w:hyperlink>
      <w:r>
        <w:t xml:space="preserve">.</w:t>
      </w:r>
      <w:r>
        <w:t xml:space="preserve"> </w:t>
      </w:r>
      <w:r>
        <w:rPr>
          <w:iCs/>
          <w:i/>
        </w:rPr>
        <w:t xml:space="preserve">PLoS ONE</w:t>
      </w:r>
      <w:r>
        <w:t xml:space="preserve"> </w:t>
      </w:r>
      <w:r>
        <w:rPr>
          <w:bCs/>
          <w:b/>
        </w:rPr>
        <w:t xml:space="preserve">5</w:t>
      </w:r>
      <w:r>
        <w:t xml:space="preserve">, e12776 (2010).</w:t>
      </w:r>
    </w:p>
    <w:bookmarkEnd w:id="214"/>
    <w:bookmarkStart w:id="216" w:name="ref-vandijk2018"/>
    <w:p>
      <w:pPr>
        <w:pStyle w:val="Bibliography"/>
      </w:pPr>
      <w:r>
        <w:t xml:space="preserve">70.</w:t>
      </w:r>
      <w:r>
        <w:t xml:space="preserve"> </w:t>
      </w:r>
      <w:r>
        <w:t xml:space="preserve">	</w:t>
      </w:r>
      <w:r>
        <w:t xml:space="preserve">Dijk, D. van</w:t>
      </w:r>
      <w:r>
        <w:t xml:space="preserve"> </w:t>
      </w:r>
      <w:r>
        <w:rPr>
          <w:iCs/>
          <w:i/>
        </w:rPr>
        <w:t xml:space="preserve">et al.</w:t>
      </w:r>
      <w:r>
        <w:t xml:space="preserve"> </w:t>
      </w:r>
      <w:hyperlink r:id="rId215">
        <w:r>
          <w:rPr>
            <w:rStyle w:val="Hyperlink"/>
          </w:rPr>
          <w:t xml:space="preserve">Recovering gene interactions from single-cell data using data diffusion</w:t>
        </w:r>
      </w:hyperlink>
      <w:r>
        <w:t xml:space="preserve">.</w:t>
      </w:r>
      <w:r>
        <w:t xml:space="preserve"> </w:t>
      </w:r>
      <w:r>
        <w:rPr>
          <w:iCs/>
          <w:i/>
        </w:rPr>
        <w:t xml:space="preserve">Cell</w:t>
      </w:r>
      <w:r>
        <w:t xml:space="preserve"> </w:t>
      </w:r>
      <w:r>
        <w:rPr>
          <w:bCs/>
          <w:b/>
        </w:rPr>
        <w:t xml:space="preserve">174</w:t>
      </w:r>
      <w:r>
        <w:t xml:space="preserve">, 716–729 (2018).</w:t>
      </w:r>
    </w:p>
    <w:bookmarkEnd w:id="216"/>
    <w:bookmarkStart w:id="218"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Cs/>
          <w:i/>
        </w:rPr>
        <w:t xml:space="preserve">bioRxiv</w:t>
      </w:r>
      <w:r>
        <w:t xml:space="preserve"> </w:t>
      </w:r>
      <w:hyperlink r:id="rId217">
        <w:r>
          <w:rPr>
            <w:rStyle w:val="Hyperlink"/>
          </w:rPr>
          <w:t xml:space="preserve">https://doi.org/10.1101/217737</w:t>
        </w:r>
      </w:hyperlink>
      <w:r>
        <w:t xml:space="preserve"> </w:t>
      </w:r>
      <w:r>
        <w:t xml:space="preserve">(2018).</w:t>
      </w:r>
    </w:p>
    <w:bookmarkEnd w:id="218"/>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hyperlink" Id="rId185" Target="https://doi.org/10.1002/1097-0215(20001101)88:3&lt;469::AID-IJC21&gt;3.0.CO;2-7" TargetMode="External" /><Relationship Type="http://schemas.openxmlformats.org/officeDocument/2006/relationships/hyperlink" Id="rId201" Target="https://doi.org/10.1002/cncr.29957" TargetMode="External" /><Relationship Type="http://schemas.openxmlformats.org/officeDocument/2006/relationships/hyperlink" Id="rId143" Target="https://doi.org/10.1006/tpbi.1995.1027" TargetMode="External" /><Relationship Type="http://schemas.openxmlformats.org/officeDocument/2006/relationships/hyperlink" Id="rId77" Target="https://doi.org/10.1016/j.cell.2010.02.027" TargetMode="External" /><Relationship Type="http://schemas.openxmlformats.org/officeDocument/2006/relationships/hyperlink" Id="rId215" Target="https://doi.org/10.1016/j.cell.2018.05.061" TargetMode="External" /><Relationship Type="http://schemas.openxmlformats.org/officeDocument/2006/relationships/hyperlink" Id="rId197" Target="https://doi.org/10.1016/j.cell.2020.07.003" TargetMode="External" /><Relationship Type="http://schemas.openxmlformats.org/officeDocument/2006/relationships/hyperlink" Id="rId107" Target="https://doi.org/10.1016/j.cell.2024.11.015" TargetMode="External" /><Relationship Type="http://schemas.openxmlformats.org/officeDocument/2006/relationships/hyperlink" Id="rId117"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147" Target="https://doi.org/10.1016/j.isci.2022.105746" TargetMode="External" /><Relationship Type="http://schemas.openxmlformats.org/officeDocument/2006/relationships/hyperlink" Id="rId155" Target="https://doi.org/10.1016/j.jtbi.2020.110162" TargetMode="External" /><Relationship Type="http://schemas.openxmlformats.org/officeDocument/2006/relationships/hyperlink" Id="rId189" Target="https://doi.org/10.1021/j100540a008" TargetMode="External" /><Relationship Type="http://schemas.openxmlformats.org/officeDocument/2006/relationships/hyperlink" Id="rId173" Target="https://doi.org/10.1038/nature11814" TargetMode="External" /><Relationship Type="http://schemas.openxmlformats.org/officeDocument/2006/relationships/hyperlink" Id="rId163" Target="https://doi.org/10.1038/nature14318" TargetMode="External" /><Relationship Type="http://schemas.openxmlformats.org/officeDocument/2006/relationships/hyperlink" Id="rId79" Target="https://doi.org/10.1038/nature22794" TargetMode="External" /><Relationship Type="http://schemas.openxmlformats.org/officeDocument/2006/relationships/hyperlink" Id="rId211" Target="https://doi.org/10.1038/ng.729" TargetMode="External" /><Relationship Type="http://schemas.openxmlformats.org/officeDocument/2006/relationships/hyperlink" Id="rId81" Target="https://doi.org/10.1038/nm.4040" TargetMode="External" /><Relationship Type="http://schemas.openxmlformats.org/officeDocument/2006/relationships/hyperlink" Id="rId171" Target="https://doi.org/10.1038/s41467-017-01968-5" TargetMode="External" /><Relationship Type="http://schemas.openxmlformats.org/officeDocument/2006/relationships/hyperlink" Id="rId167" Target="https://doi.org/10.1038/s41467-018-07788-5" TargetMode="External" /><Relationship Type="http://schemas.openxmlformats.org/officeDocument/2006/relationships/hyperlink" Id="rId115" Target="https://doi.org/10.1038/s41467-019-10500-w" TargetMode="External" /><Relationship Type="http://schemas.openxmlformats.org/officeDocument/2006/relationships/hyperlink" Id="rId119"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13" Target="https://doi.org/10.1038/s41467-024-48516-6" TargetMode="External" /><Relationship Type="http://schemas.openxmlformats.org/officeDocument/2006/relationships/hyperlink" Id="rId139" Target="https://doi.org/10.1038/s41540-023-00314-4" TargetMode="External" /><Relationship Type="http://schemas.openxmlformats.org/officeDocument/2006/relationships/hyperlink" Id="rId83" Target="https://doi.org/10.1038/s41586-021-03796-6" TargetMode="External" /><Relationship Type="http://schemas.openxmlformats.org/officeDocument/2006/relationships/hyperlink" Id="rId85" Target="https://doi.org/10.1038/s41586-024-07690-9" TargetMode="External" /><Relationship Type="http://schemas.openxmlformats.org/officeDocument/2006/relationships/hyperlink" Id="rId151" Target="https://doi.org/10.1038/s41587-021-00837-3" TargetMode="External" /><Relationship Type="http://schemas.openxmlformats.org/officeDocument/2006/relationships/hyperlink" Id="rId111" Target="https://doi.org/10.1038/s41587-023-01772-1" TargetMode="External" /><Relationship Type="http://schemas.openxmlformats.org/officeDocument/2006/relationships/hyperlink" Id="rId153" Target="https://doi.org/10.1038/s41588-020-00749-z" TargetMode="External" /><Relationship Type="http://schemas.openxmlformats.org/officeDocument/2006/relationships/hyperlink" Id="rId169" Target="https://doi.org/10.1038/s41591-020-1060-8" TargetMode="External" /><Relationship Type="http://schemas.openxmlformats.org/officeDocument/2006/relationships/hyperlink" Id="rId127" Target="https://doi.org/10.1038/s41592-019-0690-6" TargetMode="External" /><Relationship Type="http://schemas.openxmlformats.org/officeDocument/2006/relationships/hyperlink" Id="rId121" Target="https://doi.org/10.1038/s41592-025-02651-0" TargetMode="External" /><Relationship Type="http://schemas.openxmlformats.org/officeDocument/2006/relationships/hyperlink" Id="rId101" Target="https://doi.org/10.1038/s41592-025-02772-6" TargetMode="External" /><Relationship Type="http://schemas.openxmlformats.org/officeDocument/2006/relationships/hyperlink" Id="rId183" Target="https://doi.org/10.1038/sj.bjc.6600827" TargetMode="External" /><Relationship Type="http://schemas.openxmlformats.org/officeDocument/2006/relationships/hyperlink" Id="rId187" Target="https://doi.org/10.1038/sj.bjc.6605792" TargetMode="External" /><Relationship Type="http://schemas.openxmlformats.org/officeDocument/2006/relationships/hyperlink" Id="rId191" Target="https://doi.org/10.1063/1.1378322" TargetMode="External" /><Relationship Type="http://schemas.openxmlformats.org/officeDocument/2006/relationships/hyperlink" Id="rId195" Target="https://doi.org/10.1063/1.1992473" TargetMode="External" /><Relationship Type="http://schemas.openxmlformats.org/officeDocument/2006/relationships/hyperlink" Id="rId193" Target="https://doi.org/10.1063/1.2159468" TargetMode="External" /><Relationship Type="http://schemas.openxmlformats.org/officeDocument/2006/relationships/hyperlink" Id="rId207" Target="https://doi.org/10.1073/pnas.0803850105" TargetMode="External" /><Relationship Type="http://schemas.openxmlformats.org/officeDocument/2006/relationships/hyperlink" Id="rId123" Target="https://doi.org/10.1093/nar/gkac235" TargetMode="External" /><Relationship Type="http://schemas.openxmlformats.org/officeDocument/2006/relationships/hyperlink" Id="rId95" Target="https://doi.org/10.1093/nar/gkaf295" TargetMode="External" /><Relationship Type="http://schemas.openxmlformats.org/officeDocument/2006/relationships/hyperlink" Id="rId203" Target="https://doi.org/10.1093/neuonc/nov029" TargetMode="External" /><Relationship Type="http://schemas.openxmlformats.org/officeDocument/2006/relationships/hyperlink" Id="rId199" Target="https://doi.org/10.1098/rsif.2008.0172" TargetMode="External" /><Relationship Type="http://schemas.openxmlformats.org/officeDocument/2006/relationships/hyperlink" Id="rId149" Target="https://doi.org/10.1098/rsif.2017.0467" TargetMode="External" /><Relationship Type="http://schemas.openxmlformats.org/officeDocument/2006/relationships/hyperlink" Id="rId135" Target="https://doi.org/10.1098/rsif.2021.0274" TargetMode="External" /><Relationship Type="http://schemas.openxmlformats.org/officeDocument/2006/relationships/hyperlink" Id="rId129" Target="https://doi.org/10.1098/rsos.172234" TargetMode="External" /><Relationship Type="http://schemas.openxmlformats.org/officeDocument/2006/relationships/hyperlink" Id="rId157" Target="https://doi.org/10.1098/rsos.191243" TargetMode="External" /><Relationship Type="http://schemas.openxmlformats.org/officeDocument/2006/relationships/hyperlink" Id="rId91" Target="https://doi.org/10.1101/2025.01.15.633183" TargetMode="External" /><Relationship Type="http://schemas.openxmlformats.org/officeDocument/2006/relationships/hyperlink" Id="rId217" Target="https://doi.org/10.1101/217737" TargetMode="External" /><Relationship Type="http://schemas.openxmlformats.org/officeDocument/2006/relationships/hyperlink" Id="rId145" Target="https://doi.org/10.1103/PhysRevE.101.032403" TargetMode="External" /><Relationship Type="http://schemas.openxmlformats.org/officeDocument/2006/relationships/hyperlink" Id="rId205" Target="https://doi.org/10.1103/PhysRevLett.97.168302" TargetMode="External" /><Relationship Type="http://schemas.openxmlformats.org/officeDocument/2006/relationships/hyperlink" Id="rId159" Target="https://doi.org/10.1103/mh5v-lcyw" TargetMode="External" /><Relationship Type="http://schemas.openxmlformats.org/officeDocument/2006/relationships/hyperlink" Id="rId161" Target="https://doi.org/10.1111/rssb.12312" TargetMode="External" /><Relationship Type="http://schemas.openxmlformats.org/officeDocument/2006/relationships/hyperlink" Id="rId133" Target="https://doi.org/10.1126/sciadv.adl4895" TargetMode="External" /><Relationship Type="http://schemas.openxmlformats.org/officeDocument/2006/relationships/hyperlink" Id="rId175" Target="https://doi.org/10.1158/0008-5472.CAN-20-0806" TargetMode="External" /><Relationship Type="http://schemas.openxmlformats.org/officeDocument/2006/relationships/hyperlink" Id="rId179" Target="https://doi.org/10.1158/1078-0432.CCR-03-0807" TargetMode="External" /><Relationship Type="http://schemas.openxmlformats.org/officeDocument/2006/relationships/hyperlink" Id="rId141" Target="https://doi.org/10.1186/s12859-022-04778-9" TargetMode="External" /><Relationship Type="http://schemas.openxmlformats.org/officeDocument/2006/relationships/hyperlink" Id="rId109" Target="https://doi.org/10.1186/s13059-017-1305-0" TargetMode="External" /><Relationship Type="http://schemas.openxmlformats.org/officeDocument/2006/relationships/hyperlink" Id="rId125" Target="https://doi.org/10.1186/s13059-020-02000-8" TargetMode="External" /><Relationship Type="http://schemas.openxmlformats.org/officeDocument/2006/relationships/hyperlink" Id="rId177" Target="https://doi.org/10.1200/JCO.2013.49.6968" TargetMode="External" /><Relationship Type="http://schemas.openxmlformats.org/officeDocument/2006/relationships/hyperlink" Id="rId137" Target="https://doi.org/10.1371/journal.pcbi.1005991" TargetMode="External" /><Relationship Type="http://schemas.openxmlformats.org/officeDocument/2006/relationships/hyperlink" Id="rId97" Target="https://doi.org/10.1371/journal.pcbi.1013014" TargetMode="External" /><Relationship Type="http://schemas.openxmlformats.org/officeDocument/2006/relationships/hyperlink" Id="rId87" Target="https://doi.org/10.1371/journal.pcbi.1013446" TargetMode="External" /><Relationship Type="http://schemas.openxmlformats.org/officeDocument/2006/relationships/hyperlink" Id="rId131" Target="https://doi.org/10.1371/journal.pcbi.1014366" TargetMode="External" /><Relationship Type="http://schemas.openxmlformats.org/officeDocument/2006/relationships/hyperlink" Id="rId213" Target="https://doi.org/10.1371/journal.pone.0012776" TargetMode="External" /><Relationship Type="http://schemas.openxmlformats.org/officeDocument/2006/relationships/hyperlink" Id="rId181" Target="https://doi.org/10.1592/phco.24.1.16.34800" TargetMode="External" /><Relationship Type="http://schemas.openxmlformats.org/officeDocument/2006/relationships/hyperlink" Id="rId209" Target="https://doi.org/10.5334/jors.151" TargetMode="External" /><Relationship Type="http://schemas.openxmlformats.org/officeDocument/2006/relationships/hyperlink" Id="rId105" Target="https://doi.org/10.64898/2026.02.04.703804" TargetMode="External" /><Relationship Type="http://schemas.openxmlformats.org/officeDocument/2006/relationships/hyperlink" Id="rId99" Target="https://doi.org/10.64898/2026.04.14.718485" TargetMode="External" /><Relationship Type="http://schemas.openxmlformats.org/officeDocument/2006/relationships/hyperlink" Id="rId103" Target="https://doi.org/10.64898/2026.04.20.719650" TargetMode="External" /><Relationship Type="http://schemas.openxmlformats.org/officeDocument/2006/relationships/hyperlink" Id="rId165"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85" Target="https://doi.org/10.1002/1097-0215(20001101)88:3&lt;469::AID-IJC21&gt;3.0.CO;2-7" TargetMode="External" /><Relationship Type="http://schemas.openxmlformats.org/officeDocument/2006/relationships/hyperlink" Id="rId201" Target="https://doi.org/10.1002/cncr.29957" TargetMode="External" /><Relationship Type="http://schemas.openxmlformats.org/officeDocument/2006/relationships/hyperlink" Id="rId143" Target="https://doi.org/10.1006/tpbi.1995.1027" TargetMode="External" /><Relationship Type="http://schemas.openxmlformats.org/officeDocument/2006/relationships/hyperlink" Id="rId77" Target="https://doi.org/10.1016/j.cell.2010.02.027" TargetMode="External" /><Relationship Type="http://schemas.openxmlformats.org/officeDocument/2006/relationships/hyperlink" Id="rId215" Target="https://doi.org/10.1016/j.cell.2018.05.061" TargetMode="External" /><Relationship Type="http://schemas.openxmlformats.org/officeDocument/2006/relationships/hyperlink" Id="rId197" Target="https://doi.org/10.1016/j.cell.2020.07.003" TargetMode="External" /><Relationship Type="http://schemas.openxmlformats.org/officeDocument/2006/relationships/hyperlink" Id="rId107" Target="https://doi.org/10.1016/j.cell.2024.11.015" TargetMode="External" /><Relationship Type="http://schemas.openxmlformats.org/officeDocument/2006/relationships/hyperlink" Id="rId117"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147" Target="https://doi.org/10.1016/j.isci.2022.105746" TargetMode="External" /><Relationship Type="http://schemas.openxmlformats.org/officeDocument/2006/relationships/hyperlink" Id="rId155" Target="https://doi.org/10.1016/j.jtbi.2020.110162" TargetMode="External" /><Relationship Type="http://schemas.openxmlformats.org/officeDocument/2006/relationships/hyperlink" Id="rId189" Target="https://doi.org/10.1021/j100540a008" TargetMode="External" /><Relationship Type="http://schemas.openxmlformats.org/officeDocument/2006/relationships/hyperlink" Id="rId173" Target="https://doi.org/10.1038/nature11814" TargetMode="External" /><Relationship Type="http://schemas.openxmlformats.org/officeDocument/2006/relationships/hyperlink" Id="rId163" Target="https://doi.org/10.1038/nature14318" TargetMode="External" /><Relationship Type="http://schemas.openxmlformats.org/officeDocument/2006/relationships/hyperlink" Id="rId79" Target="https://doi.org/10.1038/nature22794" TargetMode="External" /><Relationship Type="http://schemas.openxmlformats.org/officeDocument/2006/relationships/hyperlink" Id="rId211" Target="https://doi.org/10.1038/ng.729" TargetMode="External" /><Relationship Type="http://schemas.openxmlformats.org/officeDocument/2006/relationships/hyperlink" Id="rId81" Target="https://doi.org/10.1038/nm.4040" TargetMode="External" /><Relationship Type="http://schemas.openxmlformats.org/officeDocument/2006/relationships/hyperlink" Id="rId171" Target="https://doi.org/10.1038/s41467-017-01968-5" TargetMode="External" /><Relationship Type="http://schemas.openxmlformats.org/officeDocument/2006/relationships/hyperlink" Id="rId167" Target="https://doi.org/10.1038/s41467-018-07788-5" TargetMode="External" /><Relationship Type="http://schemas.openxmlformats.org/officeDocument/2006/relationships/hyperlink" Id="rId115" Target="https://doi.org/10.1038/s41467-019-10500-w" TargetMode="External" /><Relationship Type="http://schemas.openxmlformats.org/officeDocument/2006/relationships/hyperlink" Id="rId119" Target="https://doi.org/10.1038/s41467-021-24152-2" TargetMode="External" /><Relationship Type="http://schemas.openxmlformats.org/officeDocument/2006/relationships/hyperlink" Id="rId93" Target="https://doi.org/10.1038/s41467-023-41811-8" TargetMode="External" /><Relationship Type="http://schemas.openxmlformats.org/officeDocument/2006/relationships/hyperlink" Id="rId113" Target="https://doi.org/10.1038/s41467-024-48516-6" TargetMode="External" /><Relationship Type="http://schemas.openxmlformats.org/officeDocument/2006/relationships/hyperlink" Id="rId139" Target="https://doi.org/10.1038/s41540-023-00314-4" TargetMode="External" /><Relationship Type="http://schemas.openxmlformats.org/officeDocument/2006/relationships/hyperlink" Id="rId83" Target="https://doi.org/10.1038/s41586-021-03796-6" TargetMode="External" /><Relationship Type="http://schemas.openxmlformats.org/officeDocument/2006/relationships/hyperlink" Id="rId85" Target="https://doi.org/10.1038/s41586-024-07690-9" TargetMode="External" /><Relationship Type="http://schemas.openxmlformats.org/officeDocument/2006/relationships/hyperlink" Id="rId151" Target="https://doi.org/10.1038/s41587-021-00837-3" TargetMode="External" /><Relationship Type="http://schemas.openxmlformats.org/officeDocument/2006/relationships/hyperlink" Id="rId111" Target="https://doi.org/10.1038/s41587-023-01772-1" TargetMode="External" /><Relationship Type="http://schemas.openxmlformats.org/officeDocument/2006/relationships/hyperlink" Id="rId153" Target="https://doi.org/10.1038/s41588-020-00749-z" TargetMode="External" /><Relationship Type="http://schemas.openxmlformats.org/officeDocument/2006/relationships/hyperlink" Id="rId169" Target="https://doi.org/10.1038/s41591-020-1060-8" TargetMode="External" /><Relationship Type="http://schemas.openxmlformats.org/officeDocument/2006/relationships/hyperlink" Id="rId127" Target="https://doi.org/10.1038/s41592-019-0690-6" TargetMode="External" /><Relationship Type="http://schemas.openxmlformats.org/officeDocument/2006/relationships/hyperlink" Id="rId121" Target="https://doi.org/10.1038/s41592-025-02651-0" TargetMode="External" /><Relationship Type="http://schemas.openxmlformats.org/officeDocument/2006/relationships/hyperlink" Id="rId101" Target="https://doi.org/10.1038/s41592-025-02772-6" TargetMode="External" /><Relationship Type="http://schemas.openxmlformats.org/officeDocument/2006/relationships/hyperlink" Id="rId183" Target="https://doi.org/10.1038/sj.bjc.6600827" TargetMode="External" /><Relationship Type="http://schemas.openxmlformats.org/officeDocument/2006/relationships/hyperlink" Id="rId187" Target="https://doi.org/10.1038/sj.bjc.6605792" TargetMode="External" /><Relationship Type="http://schemas.openxmlformats.org/officeDocument/2006/relationships/hyperlink" Id="rId191" Target="https://doi.org/10.1063/1.1378322" TargetMode="External" /><Relationship Type="http://schemas.openxmlformats.org/officeDocument/2006/relationships/hyperlink" Id="rId195" Target="https://doi.org/10.1063/1.1992473" TargetMode="External" /><Relationship Type="http://schemas.openxmlformats.org/officeDocument/2006/relationships/hyperlink" Id="rId193" Target="https://doi.org/10.1063/1.2159468" TargetMode="External" /><Relationship Type="http://schemas.openxmlformats.org/officeDocument/2006/relationships/hyperlink" Id="rId207" Target="https://doi.org/10.1073/pnas.0803850105" TargetMode="External" /><Relationship Type="http://schemas.openxmlformats.org/officeDocument/2006/relationships/hyperlink" Id="rId123" Target="https://doi.org/10.1093/nar/gkac235" TargetMode="External" /><Relationship Type="http://schemas.openxmlformats.org/officeDocument/2006/relationships/hyperlink" Id="rId95" Target="https://doi.org/10.1093/nar/gkaf295" TargetMode="External" /><Relationship Type="http://schemas.openxmlformats.org/officeDocument/2006/relationships/hyperlink" Id="rId203" Target="https://doi.org/10.1093/neuonc/nov029" TargetMode="External" /><Relationship Type="http://schemas.openxmlformats.org/officeDocument/2006/relationships/hyperlink" Id="rId199" Target="https://doi.org/10.1098/rsif.2008.0172" TargetMode="External" /><Relationship Type="http://schemas.openxmlformats.org/officeDocument/2006/relationships/hyperlink" Id="rId149" Target="https://doi.org/10.1098/rsif.2017.0467" TargetMode="External" /><Relationship Type="http://schemas.openxmlformats.org/officeDocument/2006/relationships/hyperlink" Id="rId135" Target="https://doi.org/10.1098/rsif.2021.0274" TargetMode="External" /><Relationship Type="http://schemas.openxmlformats.org/officeDocument/2006/relationships/hyperlink" Id="rId129" Target="https://doi.org/10.1098/rsos.172234" TargetMode="External" /><Relationship Type="http://schemas.openxmlformats.org/officeDocument/2006/relationships/hyperlink" Id="rId157" Target="https://doi.org/10.1098/rsos.191243" TargetMode="External" /><Relationship Type="http://schemas.openxmlformats.org/officeDocument/2006/relationships/hyperlink" Id="rId91" Target="https://doi.org/10.1101/2025.01.15.633183" TargetMode="External" /><Relationship Type="http://schemas.openxmlformats.org/officeDocument/2006/relationships/hyperlink" Id="rId217" Target="https://doi.org/10.1101/217737" TargetMode="External" /><Relationship Type="http://schemas.openxmlformats.org/officeDocument/2006/relationships/hyperlink" Id="rId145" Target="https://doi.org/10.1103/PhysRevE.101.032403" TargetMode="External" /><Relationship Type="http://schemas.openxmlformats.org/officeDocument/2006/relationships/hyperlink" Id="rId205" Target="https://doi.org/10.1103/PhysRevLett.97.168302" TargetMode="External" /><Relationship Type="http://schemas.openxmlformats.org/officeDocument/2006/relationships/hyperlink" Id="rId159" Target="https://doi.org/10.1103/mh5v-lcyw" TargetMode="External" /><Relationship Type="http://schemas.openxmlformats.org/officeDocument/2006/relationships/hyperlink" Id="rId161" Target="https://doi.org/10.1111/rssb.12312" TargetMode="External" /><Relationship Type="http://schemas.openxmlformats.org/officeDocument/2006/relationships/hyperlink" Id="rId133" Target="https://doi.org/10.1126/sciadv.adl4895" TargetMode="External" /><Relationship Type="http://schemas.openxmlformats.org/officeDocument/2006/relationships/hyperlink" Id="rId175" Target="https://doi.org/10.1158/0008-5472.CAN-20-0806" TargetMode="External" /><Relationship Type="http://schemas.openxmlformats.org/officeDocument/2006/relationships/hyperlink" Id="rId179" Target="https://doi.org/10.1158/1078-0432.CCR-03-0807" TargetMode="External" /><Relationship Type="http://schemas.openxmlformats.org/officeDocument/2006/relationships/hyperlink" Id="rId141" Target="https://doi.org/10.1186/s12859-022-04778-9" TargetMode="External" /><Relationship Type="http://schemas.openxmlformats.org/officeDocument/2006/relationships/hyperlink" Id="rId109" Target="https://doi.org/10.1186/s13059-017-1305-0" TargetMode="External" /><Relationship Type="http://schemas.openxmlformats.org/officeDocument/2006/relationships/hyperlink" Id="rId125" Target="https://doi.org/10.1186/s13059-020-02000-8" TargetMode="External" /><Relationship Type="http://schemas.openxmlformats.org/officeDocument/2006/relationships/hyperlink" Id="rId177" Target="https://doi.org/10.1200/JCO.2013.49.6968" TargetMode="External" /><Relationship Type="http://schemas.openxmlformats.org/officeDocument/2006/relationships/hyperlink" Id="rId137" Target="https://doi.org/10.1371/journal.pcbi.1005991" TargetMode="External" /><Relationship Type="http://schemas.openxmlformats.org/officeDocument/2006/relationships/hyperlink" Id="rId97" Target="https://doi.org/10.1371/journal.pcbi.1013014" TargetMode="External" /><Relationship Type="http://schemas.openxmlformats.org/officeDocument/2006/relationships/hyperlink" Id="rId87" Target="https://doi.org/10.1371/journal.pcbi.1013446" TargetMode="External" /><Relationship Type="http://schemas.openxmlformats.org/officeDocument/2006/relationships/hyperlink" Id="rId131" Target="https://doi.org/10.1371/journal.pcbi.1014366" TargetMode="External" /><Relationship Type="http://schemas.openxmlformats.org/officeDocument/2006/relationships/hyperlink" Id="rId213" Target="https://doi.org/10.1371/journal.pone.0012776" TargetMode="External" /><Relationship Type="http://schemas.openxmlformats.org/officeDocument/2006/relationships/hyperlink" Id="rId181" Target="https://doi.org/10.1592/phco.24.1.16.34800" TargetMode="External" /><Relationship Type="http://schemas.openxmlformats.org/officeDocument/2006/relationships/hyperlink" Id="rId209" Target="https://doi.org/10.5334/jors.151" TargetMode="External" /><Relationship Type="http://schemas.openxmlformats.org/officeDocument/2006/relationships/hyperlink" Id="rId105" Target="https://doi.org/10.64898/2026.02.04.703804" TargetMode="External" /><Relationship Type="http://schemas.openxmlformats.org/officeDocument/2006/relationships/hyperlink" Id="rId99" Target="https://doi.org/10.64898/2026.04.14.718485" TargetMode="External" /><Relationship Type="http://schemas.openxmlformats.org/officeDocument/2006/relationships/hyperlink" Id="rId103" Target="https://doi.org/10.64898/2026.04.20.719650" TargetMode="External" /><Relationship Type="http://schemas.openxmlformats.org/officeDocument/2006/relationships/hyperlink" Id="rId165"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2026-09-21T18:49:55Z</dcterms:created>
  <dcterms:modified xsi:type="dcterms:W3CDTF">2026-09-21T18:49:55Z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Expression memory, cell-size scaling and cell-cycle-dependent bursting emerge from this physiology rather than imposed. One resistance gene with slow promoter switching reproduces the lineage and memory signatures of drug tolerance, and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Its schedule optimiser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Independent researcher, Dublin, Ireland. Correspondence: alasri@berache.com</vt:lpwstr>
  </property>
</Properties>
</file>