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w:t>
      </w:r>
      <w:r>
        <w:t xml:space="preserve"> </w:t>
      </w:r>
      <w:r>
        <w:t xml:space="preserve">simulation</w:t>
      </w:r>
      <w:r>
        <w:t xml:space="preserve"> </w:t>
      </w:r>
      <w:r>
        <w:t xml:space="preserve">of</w:t>
      </w:r>
      <w:r>
        <w:t xml:space="preserve"> </w:t>
      </w:r>
      <w:r>
        <w:t xml:space="preserve">heritable</w:t>
      </w:r>
      <w:r>
        <w:t xml:space="preserve"> </w:t>
      </w:r>
      <w:r>
        <w:t xml:space="preserve">expression</w:t>
      </w:r>
      <w:r>
        <w:t xml:space="preserve"> </w:t>
      </w:r>
      <w:r>
        <w:t xml:space="preserve">states,</w:t>
      </w:r>
      <w:r>
        <w:t xml:space="preserve"> </w:t>
      </w:r>
      <w:r>
        <w:t xml:space="preserve">cell</w:t>
      </w:r>
      <w:r>
        <w:t xml:space="preserve"> </w:t>
      </w:r>
      <w:r>
        <w:t xml:space="preserve">division</w:t>
      </w:r>
      <w:r>
        <w:t xml:space="preserve"> </w:t>
      </w:r>
      <w:r>
        <w:t xml:space="preserve">and</w:t>
      </w:r>
      <w:r>
        <w:t xml:space="preserve"> </w:t>
      </w:r>
      <w:r>
        <w:t xml:space="preserve">drug</w:t>
      </w:r>
      <w:r>
        <w:t xml:space="preserve"> </w:t>
      </w:r>
      <w:r>
        <w:t xml:space="preserve">response</w:t>
      </w:r>
      <w:r>
        <w:t xml:space="preserve"> </w:t>
      </w:r>
      <w:r>
        <w:t xml:space="preserve">in</w:t>
      </w:r>
      <w:r>
        <w:t xml:space="preserve"> </w:t>
      </w:r>
      <w:r>
        <w:t xml:space="preserve">single-cell</w:t>
      </w:r>
      <w:r>
        <w:t xml:space="preserve"> </w:t>
      </w:r>
      <w:r>
        <w:t xml:space="preserve">populations</w:t>
      </w:r>
    </w:p>
    <w:p>
      <w:pPr>
        <w:pStyle w:val="Author"/>
      </w:pPr>
      <w:r>
        <w:t xml:space="preserve">Ayoub</w:t>
      </w:r>
      <w:r>
        <w:t xml:space="preserve"> </w:t>
      </w:r>
      <w:r>
        <w:t xml:space="preserve">Lasri</w:t>
      </w:r>
    </w:p>
    <w:p>
      <w:pPr>
        <w:pStyle w:val="Date"/>
      </w:pPr>
      <w:r>
        <w:t xml:space="preserve">Correspondence:</w:t>
      </w:r>
      <w:r>
        <w:t xml:space="preserve"> </w:t>
      </w:r>
      <w:r>
        <w:t xml:space="preserve">alasri@berache.com</w:t>
      </w:r>
    </w:p>
    <w:p>
      <w:pPr>
        <w:pStyle w:val="AbstractTitle"/>
      </w:pPr>
      <w:r>
        <w:t xml:space="preserve">Abstract</w:t>
      </w:r>
    </w:p>
    <w:p>
      <w:pPr>
        <w:pStyle w:val="Abstract"/>
      </w:pPr>
      <w:r>
        <w:t xml:space="preserve">Heritable</w:t>
      </w:r>
      <w:r>
        <w:t xml:space="preserve"> </w:t>
      </w:r>
      <w:r>
        <w:t xml:space="preserve">differences</w:t>
      </w:r>
      <w:r>
        <w:t xml:space="preserve"> </w:t>
      </w:r>
      <w:r>
        <w:t xml:space="preserve">in</w:t>
      </w:r>
      <w:r>
        <w:t xml:space="preserve"> </w:t>
      </w:r>
      <w:r>
        <w:t xml:space="preserve">gene</w:t>
      </w:r>
      <w:r>
        <w:t xml:space="preserve"> </w:t>
      </w:r>
      <w:r>
        <w:t xml:space="preserve">expression</w:t>
      </w:r>
      <w:r>
        <w:t xml:space="preserve"> </w:t>
      </w:r>
      <w:r>
        <w:t xml:space="preserve">decide</w:t>
      </w:r>
      <w:r>
        <w:t xml:space="preserve"> </w:t>
      </w:r>
      <w:r>
        <w:t xml:space="preserve">which</w:t>
      </w:r>
      <w:r>
        <w:t xml:space="preserve"> </w:t>
      </w:r>
      <w:r>
        <w:t xml:space="preserve">cancer</w:t>
      </w:r>
      <w:r>
        <w:t xml:space="preserve"> </w:t>
      </w:r>
      <w:r>
        <w:t xml:space="preserve">cells</w:t>
      </w:r>
      <w:r>
        <w:t xml:space="preserve"> </w:t>
      </w:r>
      <w:r>
        <w:t xml:space="preserve">survive</w:t>
      </w:r>
      <w:r>
        <w:t xml:space="preserve"> </w:t>
      </w:r>
      <w:r>
        <w:t xml:space="preserve">a</w:t>
      </w:r>
      <w:r>
        <w:t xml:space="preserve"> </w:t>
      </w:r>
      <w:r>
        <w:t xml:space="preserve">drug,</w:t>
      </w:r>
      <w:r>
        <w:t xml:space="preserve"> </w:t>
      </w:r>
      <w:r>
        <w:t xml:space="preserve">yet</w:t>
      </w:r>
      <w:r>
        <w:t xml:space="preserve"> </w:t>
      </w:r>
      <w:r>
        <w:t xml:space="preserve">the</w:t>
      </w:r>
      <w:r>
        <w:t xml:space="preserve"> </w:t>
      </w:r>
      <w:r>
        <w:t xml:space="preserve">simulators</w:t>
      </w:r>
      <w:r>
        <w:t xml:space="preserve"> </w:t>
      </w:r>
      <w:r>
        <w:t xml:space="preserve">used</w:t>
      </w:r>
      <w:r>
        <w:t xml:space="preserve"> </w:t>
      </w:r>
      <w:r>
        <w:t xml:space="preserve">to</w:t>
      </w:r>
      <w:r>
        <w:t xml:space="preserve"> </w:t>
      </w:r>
      <w:r>
        <w:t xml:space="preserve">benchmark</w:t>
      </w:r>
      <w:r>
        <w:t xml:space="preserve"> </w:t>
      </w:r>
      <w:r>
        <w:t xml:space="preserve">single-cell</w:t>
      </w:r>
      <w:r>
        <w:t xml:space="preserve"> </w:t>
      </w:r>
      <w:r>
        <w:t xml:space="preserve">methods</w:t>
      </w:r>
      <w:r>
        <w:t xml:space="preserve"> </w:t>
      </w:r>
      <w:r>
        <w:t xml:space="preserve">model</w:t>
      </w:r>
      <w:r>
        <w:t xml:space="preserve"> </w:t>
      </w:r>
      <w:r>
        <w:t xml:space="preserve">neither</w:t>
      </w:r>
      <w:r>
        <w:t xml:space="preserve"> </w:t>
      </w:r>
      <w:r>
        <w:t xml:space="preserve">growth</w:t>
      </w:r>
      <w:r>
        <w:t xml:space="preserve"> </w:t>
      </w:r>
      <w:r>
        <w:t xml:space="preserve">nor</w:t>
      </w:r>
      <w:r>
        <w:t xml:space="preserve"> </w:t>
      </w:r>
      <w:r>
        <w:t xml:space="preserve">division,</w:t>
      </w:r>
      <w:r>
        <w:t xml:space="preserve"> </w:t>
      </w:r>
      <w:r>
        <w:t xml:space="preserve">so</w:t>
      </w:r>
      <w:r>
        <w:t xml:space="preserve"> </w:t>
      </w:r>
      <w:r>
        <w:t xml:space="preserve">cannot</w:t>
      </w:r>
      <w:r>
        <w:t xml:space="preserve"> </w:t>
      </w:r>
      <w:r>
        <w:t xml:space="preserve">generate</w:t>
      </w:r>
      <w:r>
        <w:t xml:space="preserve"> </w:t>
      </w:r>
      <w:r>
        <w:t xml:space="preserve">such</w:t>
      </w:r>
      <w:r>
        <w:t xml:space="preserve"> </w:t>
      </w:r>
      <w:r>
        <w:t xml:space="preserve">states.</w:t>
      </w:r>
      <w:r>
        <w:t xml:space="preserve"> </w:t>
      </w:r>
      <w:r>
        <w:t xml:space="preserve">Here</w:t>
      </w:r>
      <w:r>
        <w:t xml:space="preserve"> </w:t>
      </w:r>
      <w:r>
        <w:t xml:space="preserve">we</w:t>
      </w:r>
      <w:r>
        <w:t xml:space="preserve"> </w:t>
      </w:r>
      <w:r>
        <w:t xml:space="preserve">present</w:t>
      </w:r>
      <w:r>
        <w:t xml:space="preserve"> </w:t>
      </w:r>
      <w:r>
        <w:t xml:space="preserve">Biomodelling.jl</w:t>
      </w:r>
      <w:r>
        <w:t xml:space="preserve"> </w:t>
      </w:r>
      <w:r>
        <w:t xml:space="preserve">2.0,</w:t>
      </w:r>
      <w:r>
        <w:t xml:space="preserve"> </w:t>
      </w:r>
      <w:r>
        <w:t xml:space="preserve">in</w:t>
      </w:r>
      <w:r>
        <w:t xml:space="preserve"> </w:t>
      </w:r>
      <w:r>
        <w:t xml:space="preserve">which</w:t>
      </w:r>
      <w:r>
        <w:t xml:space="preserve"> </w:t>
      </w:r>
      <w:r>
        <w:t xml:space="preserve">stochastic</w:t>
      </w:r>
      <w:r>
        <w:t xml:space="preserve"> </w:t>
      </w:r>
      <w:r>
        <w:t xml:space="preserve">reaction</w:t>
      </w:r>
      <w:r>
        <w:t xml:space="preserve"> </w:t>
      </w:r>
      <w:r>
        <w:t xml:space="preserve">kinetics</w:t>
      </w:r>
      <w:r>
        <w:t xml:space="preserve"> </w:t>
      </w:r>
      <w:r>
        <w:t xml:space="preserve">run</w:t>
      </w:r>
      <w:r>
        <w:t xml:space="preserve"> </w:t>
      </w:r>
      <w:r>
        <w:t xml:space="preserve">inside</w:t>
      </w:r>
      <w:r>
        <w:t xml:space="preserve"> </w:t>
      </w:r>
      <w:r>
        <w:t xml:space="preserve">growing,</w:t>
      </w:r>
      <w:r>
        <w:t xml:space="preserve"> </w:t>
      </w:r>
      <w:r>
        <w:t xml:space="preserve">dividing,</w:t>
      </w:r>
      <w:r>
        <w:t xml:space="preserve"> </w:t>
      </w:r>
      <w:r>
        <w:t xml:space="preserve">drug-treated</w:t>
      </w:r>
      <w:r>
        <w:t xml:space="preserve"> </w:t>
      </w:r>
      <w:r>
        <w:t xml:space="preserve">cells.</w:t>
      </w:r>
      <w:r>
        <w:t xml:space="preserve"> </w:t>
      </w:r>
      <w:r>
        <w:t xml:space="preserve">Exact,</w:t>
      </w:r>
      <w:r>
        <w:t xml:space="preserve"> </w:t>
      </w:r>
      <w:r>
        <w:t xml:space="preserve">hybrid</w:t>
      </w:r>
      <w:r>
        <w:t xml:space="preserve"> </w:t>
      </w:r>
      <w:r>
        <w:t xml:space="preserve">and</w:t>
      </w:r>
      <w:r>
        <w:t xml:space="preserve"> </w:t>
      </w:r>
      <w:r>
        <w:t xml:space="preserve">adaptive</w:t>
      </w:r>
      <w:r>
        <w:t xml:space="preserve"> </w:t>
      </w:r>
      <w:r>
        <w:t xml:space="preserve">kernels</w:t>
      </w:r>
      <w:r>
        <w:t xml:space="preserve"> </w:t>
      </w:r>
      <w:r>
        <w:t xml:space="preserve">couple</w:t>
      </w:r>
      <w:r>
        <w:t xml:space="preserve"> </w:t>
      </w:r>
      <w:r>
        <w:t xml:space="preserve">to</w:t>
      </w:r>
      <w:r>
        <w:t xml:space="preserve"> </w:t>
      </w:r>
      <w:r>
        <w:t xml:space="preserve">exponential</w:t>
      </w:r>
      <w:r>
        <w:t xml:space="preserve"> </w:t>
      </w:r>
      <w:r>
        <w:t xml:space="preserve">growth,</w:t>
      </w:r>
      <w:r>
        <w:t xml:space="preserve"> </w:t>
      </w:r>
      <w:r>
        <w:t xml:space="preserve">volume-scaled</w:t>
      </w:r>
      <w:r>
        <w:t xml:space="preserve"> </w:t>
      </w:r>
      <w:r>
        <w:t xml:space="preserve">transcription,</w:t>
      </w:r>
      <w:r>
        <w:t xml:space="preserve"> </w:t>
      </w:r>
      <w:r>
        <w:t xml:space="preserve">gene</w:t>
      </w:r>
      <w:r>
        <w:t xml:space="preserve"> </w:t>
      </w:r>
      <w:r>
        <w:t xml:space="preserve">replication,</w:t>
      </w:r>
      <w:r>
        <w:t xml:space="preserve"> </w:t>
      </w:r>
      <w:r>
        <w:t xml:space="preserve">division</w:t>
      </w:r>
      <w:r>
        <w:t xml:space="preserve"> </w:t>
      </w:r>
      <w:r>
        <w:t xml:space="preserve">with</w:t>
      </w:r>
      <w:r>
        <w:t xml:space="preserve"> </w:t>
      </w:r>
      <w:r>
        <w:t xml:space="preserve">binomial</w:t>
      </w:r>
      <w:r>
        <w:t xml:space="preserve"> </w:t>
      </w:r>
      <w:r>
        <w:t xml:space="preserve">partitioning,</w:t>
      </w:r>
      <w:r>
        <w:t xml:space="preserve"> </w:t>
      </w:r>
      <w:r>
        <w:t xml:space="preserve">dose</w:t>
      </w:r>
      <w:r>
        <w:t xml:space="preserve"> </w:t>
      </w:r>
      <w:r>
        <w:t xml:space="preserve">schedules</w:t>
      </w:r>
      <w:r>
        <w:t xml:space="preserve"> </w:t>
      </w:r>
      <w:r>
        <w:t xml:space="preserve">with</w:t>
      </w:r>
      <w:r>
        <w:t xml:space="preserve"> </w:t>
      </w:r>
      <w:r>
        <w:t xml:space="preserve">state-dependent</w:t>
      </w:r>
      <w:r>
        <w:t xml:space="preserve"> </w:t>
      </w:r>
      <w:r>
        <w:t xml:space="preserve">killing,</w:t>
      </w:r>
      <w:r>
        <w:t xml:space="preserve"> </w:t>
      </w:r>
      <w:r>
        <w:t xml:space="preserve">a</w:t>
      </w:r>
      <w:r>
        <w:t xml:space="preserve"> </w:t>
      </w:r>
      <w:r>
        <w:t xml:space="preserve">lineage</w:t>
      </w:r>
      <w:r>
        <w:t xml:space="preserve"> </w:t>
      </w:r>
      <w:r>
        <w:t xml:space="preserve">record,</w:t>
      </w:r>
      <w:r>
        <w:t xml:space="preserve"> </w:t>
      </w:r>
      <w:r>
        <w:t xml:space="preserve">observation</w:t>
      </w:r>
      <w:r>
        <w:t xml:space="preserve"> </w:t>
      </w:r>
      <w:r>
        <w:t xml:space="preserve">models</w:t>
      </w:r>
      <w:r>
        <w:t xml:space="preserve"> </w:t>
      </w:r>
      <w:r>
        <w:t xml:space="preserve">and</w:t>
      </w:r>
      <w:r>
        <w:t xml:space="preserve"> </w:t>
      </w:r>
      <w:r>
        <w:t xml:space="preserve">likelihood-free</w:t>
      </w:r>
      <w:r>
        <w:t xml:space="preserve"> </w:t>
      </w:r>
      <w:r>
        <w:t xml:space="preserve">inference.</w:t>
      </w:r>
      <w:r>
        <w:t xml:space="preserve"> </w:t>
      </w:r>
      <w:r>
        <w:t xml:space="preserve">Expression</w:t>
      </w:r>
      <w:r>
        <w:t xml:space="preserve"> </w:t>
      </w:r>
      <w:r>
        <w:t xml:space="preserve">memory,</w:t>
      </w:r>
      <w:r>
        <w:t xml:space="preserve"> </w:t>
      </w:r>
      <w:r>
        <w:t xml:space="preserve">cell-size</w:t>
      </w:r>
      <w:r>
        <w:t xml:space="preserve"> </w:t>
      </w:r>
      <w:r>
        <w:t xml:space="preserve">scaling</w:t>
      </w:r>
      <w:r>
        <w:t xml:space="preserve"> </w:t>
      </w:r>
      <w:r>
        <w:t xml:space="preserve">and</w:t>
      </w:r>
      <w:r>
        <w:t xml:space="preserve"> </w:t>
      </w:r>
      <w:r>
        <w:t xml:space="preserve">cell-cycle-dependent</w:t>
      </w:r>
      <w:r>
        <w:t xml:space="preserve"> </w:t>
      </w:r>
      <w:r>
        <w:t xml:space="preserve">bursting</w:t>
      </w:r>
      <w:r>
        <w:t xml:space="preserve"> </w:t>
      </w:r>
      <w:r>
        <w:t xml:space="preserve">emerge</w:t>
      </w:r>
      <w:r>
        <w:t xml:space="preserve"> </w:t>
      </w:r>
      <w:r>
        <w:t xml:space="preserve">from</w:t>
      </w:r>
      <w:r>
        <w:t xml:space="preserve"> </w:t>
      </w:r>
      <w:r>
        <w:t xml:space="preserve">this</w:t>
      </w:r>
      <w:r>
        <w:t xml:space="preserve"> </w:t>
      </w:r>
      <w:r>
        <w:t xml:space="preserve">physiology</w:t>
      </w:r>
      <w:r>
        <w:t xml:space="preserve"> </w:t>
      </w:r>
      <w:r>
        <w:t xml:space="preserve">rather</w:t>
      </w:r>
      <w:r>
        <w:t xml:space="preserve"> </w:t>
      </w:r>
      <w:r>
        <w:t xml:space="preserve">than</w:t>
      </w:r>
      <w:r>
        <w:t xml:space="preserve"> </w:t>
      </w:r>
      <w:r>
        <w:t xml:space="preserve">being</w:t>
      </w:r>
      <w:r>
        <w:t xml:space="preserve"> </w:t>
      </w:r>
      <w:r>
        <w:t xml:space="preserve">imposed.</w:t>
      </w:r>
      <w:r>
        <w:t xml:space="preserve"> </w:t>
      </w:r>
      <w:r>
        <w:t xml:space="preserve">One</w:t>
      </w:r>
      <w:r>
        <w:t xml:space="preserve"> </w:t>
      </w:r>
      <w:r>
        <w:t xml:space="preserve">resistance</w:t>
      </w:r>
      <w:r>
        <w:t xml:space="preserve"> </w:t>
      </w:r>
      <w:r>
        <w:t xml:space="preserve">gene</w:t>
      </w:r>
      <w:r>
        <w:t xml:space="preserve"> </w:t>
      </w:r>
      <w:r>
        <w:t xml:space="preserve">with</w:t>
      </w:r>
      <w:r>
        <w:t xml:space="preserve"> </w:t>
      </w:r>
      <w:r>
        <w:t xml:space="preserve">slow</w:t>
      </w:r>
      <w:r>
        <w:t xml:space="preserve"> </w:t>
      </w:r>
      <w:r>
        <w:t xml:space="preserve">promoter</w:t>
      </w:r>
      <w:r>
        <w:t xml:space="preserve"> </w:t>
      </w:r>
      <w:r>
        <w:t xml:space="preserve">switching</w:t>
      </w:r>
      <w:r>
        <w:t xml:space="preserve"> </w:t>
      </w:r>
      <w:r>
        <w:t xml:space="preserve">reproduces</w:t>
      </w:r>
      <w:r>
        <w:t xml:space="preserve"> </w:t>
      </w:r>
      <w:r>
        <w:t xml:space="preserve">the</w:t>
      </w:r>
      <w:r>
        <w:t xml:space="preserve"> </w:t>
      </w:r>
      <w:r>
        <w:t xml:space="preserve">lineage</w:t>
      </w:r>
      <w:r>
        <w:t xml:space="preserve"> </w:t>
      </w:r>
      <w:r>
        <w:t xml:space="preserve">and</w:t>
      </w:r>
      <w:r>
        <w:t xml:space="preserve"> </w:t>
      </w:r>
      <w:r>
        <w:t xml:space="preserve">memory</w:t>
      </w:r>
      <w:r>
        <w:t xml:space="preserve"> </w:t>
      </w:r>
      <w:r>
        <w:t xml:space="preserve">signatures</w:t>
      </w:r>
      <w:r>
        <w:t xml:space="preserve"> </w:t>
      </w:r>
      <w:r>
        <w:t xml:space="preserve">of</w:t>
      </w:r>
      <w:r>
        <w:t xml:space="preserve"> </w:t>
      </w:r>
      <w:r>
        <w:t xml:space="preserve">drug</w:t>
      </w:r>
      <w:r>
        <w:t xml:space="preserve"> </w:t>
      </w:r>
      <w:r>
        <w:t xml:space="preserve">tolerance,</w:t>
      </w:r>
      <w:r>
        <w:t xml:space="preserve"> </w:t>
      </w:r>
      <w:r>
        <w:t xml:space="preserve">and</w:t>
      </w:r>
      <w:r>
        <w:t xml:space="preserve"> </w:t>
      </w:r>
      <w:r>
        <w:t xml:space="preserve">the</w:t>
      </w:r>
      <w:r>
        <w:t xml:space="preserve"> </w:t>
      </w:r>
      <w:r>
        <w:t xml:space="preserve">framework</w:t>
      </w:r>
      <w:r>
        <w:t xml:space="preserve"> </w:t>
      </w:r>
      <w:r>
        <w:t xml:space="preserve">supplies</w:t>
      </w:r>
      <w:r>
        <w:t xml:space="preserve"> </w:t>
      </w:r>
      <w:r>
        <w:t xml:space="preserve">ground</w:t>
      </w:r>
      <w:r>
        <w:t xml:space="preserve"> </w:t>
      </w:r>
      <w:r>
        <w:t xml:space="preserve">truth</w:t>
      </w:r>
      <w:r>
        <w:t xml:space="preserve"> </w:t>
      </w:r>
      <w:r>
        <w:t xml:space="preserve">that</w:t>
      </w:r>
      <w:r>
        <w:t xml:space="preserve"> </w:t>
      </w:r>
      <w:r>
        <w:t xml:space="preserve">benchmarks</w:t>
      </w:r>
      <w:r>
        <w:t xml:space="preserve"> </w:t>
      </w:r>
      <w:r>
        <w:t xml:space="preserve">of</w:t>
      </w:r>
      <w:r>
        <w:t xml:space="preserve"> </w:t>
      </w:r>
      <w:r>
        <w:t xml:space="preserve">memory</w:t>
      </w:r>
      <w:r>
        <w:t xml:space="preserve"> </w:t>
      </w:r>
      <w:r>
        <w:t xml:space="preserve">genes,</w:t>
      </w:r>
      <w:r>
        <w:t xml:space="preserve"> </w:t>
      </w:r>
      <w:r>
        <w:t xml:space="preserve">network</w:t>
      </w:r>
      <w:r>
        <w:t xml:space="preserve"> </w:t>
      </w:r>
      <w:r>
        <w:t xml:space="preserve">inference</w:t>
      </w:r>
      <w:r>
        <w:t xml:space="preserve"> </w:t>
      </w:r>
      <w:r>
        <w:t xml:space="preserve">and</w:t>
      </w:r>
      <w:r>
        <w:t xml:space="preserve"> </w:t>
      </w:r>
      <w:r>
        <w:t xml:space="preserve">perturbation</w:t>
      </w:r>
      <w:r>
        <w:t xml:space="preserve"> </w:t>
      </w:r>
      <w:r>
        <w:t xml:space="preserve">prediction</w:t>
      </w:r>
      <w:r>
        <w:t xml:space="preserve"> </w:t>
      </w:r>
      <w:r>
        <w:t xml:space="preserve">lack.</w:t>
      </w:r>
      <w:r>
        <w:t xml:space="preserve"> </w:t>
      </w:r>
      <w:r>
        <w:t xml:space="preserve">Calibrated</w:t>
      </w:r>
      <w:r>
        <w:t xml:space="preserve"> </w:t>
      </w:r>
      <w:r>
        <w:t xml:space="preserve">to</w:t>
      </w:r>
      <w:r>
        <w:t xml:space="preserve"> </w:t>
      </w:r>
      <w:r>
        <w:t xml:space="preserve">time-lapse</w:t>
      </w:r>
      <w:r>
        <w:t xml:space="preserve"> </w:t>
      </w:r>
      <w:r>
        <w:t xml:space="preserve">measurements</w:t>
      </w:r>
      <w:r>
        <w:t xml:space="preserve"> </w:t>
      </w:r>
      <w:r>
        <w:t xml:space="preserve">of</w:t>
      </w:r>
      <w:r>
        <w:t xml:space="preserve"> </w:t>
      </w:r>
      <w:r>
        <w:t xml:space="preserve">cisplatin-treated</w:t>
      </w:r>
      <w:r>
        <w:t xml:space="preserve"> </w:t>
      </w:r>
      <w:r>
        <w:t xml:space="preserve">cells,</w:t>
      </w:r>
      <w:r>
        <w:t xml:space="preserve"> </w:t>
      </w:r>
      <w:r>
        <w:t xml:space="preserve">it</w:t>
      </w:r>
      <w:r>
        <w:t xml:space="preserve"> </w:t>
      </w:r>
      <w:r>
        <w:t xml:space="preserve">reproduces</w:t>
      </w:r>
      <w:r>
        <w:t xml:space="preserve"> </w:t>
      </w:r>
      <w:r>
        <w:t xml:space="preserve">the</w:t>
      </w:r>
      <w:r>
        <w:t xml:space="preserve"> </w:t>
      </w:r>
      <w:r>
        <w:t xml:space="preserve">dose-invariance</w:t>
      </w:r>
      <w:r>
        <w:t xml:space="preserve"> </w:t>
      </w:r>
      <w:r>
        <w:t xml:space="preserve">of</w:t>
      </w:r>
      <w:r>
        <w:t xml:space="preserve"> </w:t>
      </w:r>
      <w:r>
        <w:t xml:space="preserve">single-cell</w:t>
      </w:r>
      <w:r>
        <w:t xml:space="preserve"> </w:t>
      </w:r>
      <w:r>
        <w:t xml:space="preserve">timing</w:t>
      </w:r>
      <w:r>
        <w:t xml:space="preserve"> </w:t>
      </w:r>
      <w:r>
        <w:t xml:space="preserve">and</w:t>
      </w:r>
      <w:r>
        <w:t xml:space="preserve"> </w:t>
      </w:r>
      <w:r>
        <w:t xml:space="preserve">the</w:t>
      </w:r>
      <w:r>
        <w:t xml:space="preserve"> </w:t>
      </w:r>
      <w:r>
        <w:t xml:space="preserve">kin</w:t>
      </w:r>
      <w:r>
        <w:t xml:space="preserve"> </w:t>
      </w:r>
      <w:r>
        <w:t xml:space="preserve">fate</w:t>
      </w:r>
      <w:r>
        <w:t xml:space="preserve"> </w:t>
      </w:r>
      <w:r>
        <w:t xml:space="preserve">correlations,</w:t>
      </w:r>
      <w:r>
        <w:t xml:space="preserve"> </w:t>
      </w:r>
      <w:r>
        <w:t xml:space="preserve">though</w:t>
      </w:r>
      <w:r>
        <w:t xml:space="preserve"> </w:t>
      </w:r>
      <w:r>
        <w:t xml:space="preserve">six</w:t>
      </w:r>
      <w:r>
        <w:t xml:space="preserve"> </w:t>
      </w:r>
      <w:r>
        <w:t xml:space="preserve">parameters</w:t>
      </w:r>
      <w:r>
        <w:t xml:space="preserve"> </w:t>
      </w:r>
      <w:r>
        <w:t xml:space="preserve">fitted</w:t>
      </w:r>
      <w:r>
        <w:t xml:space="preserve"> </w:t>
      </w:r>
      <w:r>
        <w:t xml:space="preserve">to</w:t>
      </w:r>
      <w:r>
        <w:t xml:space="preserve"> </w:t>
      </w:r>
      <w:r>
        <w:t xml:space="preserve">six</w:t>
      </w:r>
      <w:r>
        <w:t xml:space="preserve"> </w:t>
      </w:r>
      <w:r>
        <w:t xml:space="preserve">fate</w:t>
      </w:r>
      <w:r>
        <w:t xml:space="preserve"> </w:t>
      </w:r>
      <w:r>
        <w:t xml:space="preserve">fractions</w:t>
      </w:r>
      <w:r>
        <w:t xml:space="preserve"> </w:t>
      </w:r>
      <w:r>
        <w:t xml:space="preserve">leave</w:t>
      </w:r>
      <w:r>
        <w:t xml:space="preserve"> </w:t>
      </w:r>
      <w:r>
        <w:t xml:space="preserve">that</w:t>
      </w:r>
      <w:r>
        <w:t xml:space="preserve"> </w:t>
      </w:r>
      <w:r>
        <w:t xml:space="preserve">memory</w:t>
      </w:r>
      <w:r>
        <w:t xml:space="preserve"> </w:t>
      </w:r>
      <w:r>
        <w:t xml:space="preserve">undetermined,</w:t>
      </w:r>
      <w:r>
        <w:t xml:space="preserve"> </w:t>
      </w:r>
      <w:r>
        <w:t xml:space="preserve">and</w:t>
      </w:r>
      <w:r>
        <w:t xml:space="preserve"> </w:t>
      </w:r>
      <w:r>
        <w:t xml:space="preserve">a</w:t>
      </w:r>
      <w:r>
        <w:t xml:space="preserve"> </w:t>
      </w:r>
      <w:r>
        <w:t xml:space="preserve">cycle-gated</w:t>
      </w:r>
      <w:r>
        <w:t xml:space="preserve"> </w:t>
      </w:r>
      <w:r>
        <w:t xml:space="preserve">hazard</w:t>
      </w:r>
      <w:r>
        <w:t xml:space="preserve"> </w:t>
      </w:r>
      <w:r>
        <w:t xml:space="preserve">fits</w:t>
      </w:r>
      <w:r>
        <w:t xml:space="preserve"> </w:t>
      </w:r>
      <w:r>
        <w:t xml:space="preserve">as</w:t>
      </w:r>
      <w:r>
        <w:t xml:space="preserve"> </w:t>
      </w:r>
      <w:r>
        <w:t xml:space="preserve">well.</w:t>
      </w:r>
      <w:r>
        <w:t xml:space="preserve"> </w:t>
      </w:r>
      <w:r>
        <w:t xml:space="preserve">With</w:t>
      </w:r>
      <w:r>
        <w:t xml:space="preserve"> </w:t>
      </w:r>
      <w:r>
        <w:t xml:space="preserve">a</w:t>
      </w:r>
      <w:r>
        <w:t xml:space="preserve"> </w:t>
      </w:r>
      <w:r>
        <w:t xml:space="preserve">built-in</w:t>
      </w:r>
      <w:r>
        <w:t xml:space="preserve"> </w:t>
      </w:r>
      <w:r>
        <w:t xml:space="preserve">optimiser</w:t>
      </w:r>
      <w:r>
        <w:t xml:space="preserve"> </w:t>
      </w:r>
      <w:r>
        <w:t xml:space="preserve">it</w:t>
      </w:r>
      <w:r>
        <w:t xml:space="preserve"> </w:t>
      </w:r>
      <w:r>
        <w:t xml:space="preserve">reproduces</w:t>
      </w:r>
      <w:r>
        <w:t xml:space="preserve"> </w:t>
      </w:r>
      <w:r>
        <w:t xml:space="preserve">the</w:t>
      </w:r>
      <w:r>
        <w:t xml:space="preserve"> </w:t>
      </w:r>
      <w:r>
        <w:t xml:space="preserve">opposite</w:t>
      </w:r>
      <w:r>
        <w:t xml:space="preserve"> </w:t>
      </w:r>
      <w:r>
        <w:t xml:space="preserve">rankings</w:t>
      </w:r>
      <w:r>
        <w:t xml:space="preserve"> </w:t>
      </w:r>
      <w:r>
        <w:t xml:space="preserve">of</w:t>
      </w:r>
      <w:r>
        <w:t xml:space="preserve"> </w:t>
      </w:r>
      <w:r>
        <w:t xml:space="preserve">intermittent</w:t>
      </w:r>
      <w:r>
        <w:t xml:space="preserve"> </w:t>
      </w:r>
      <w:r>
        <w:t xml:space="preserve">dosing</w:t>
      </w:r>
      <w:r>
        <w:t xml:space="preserve"> </w:t>
      </w:r>
      <w:r>
        <w:t xml:space="preserve">reported</w:t>
      </w:r>
      <w:r>
        <w:t xml:space="preserve"> </w:t>
      </w:r>
      <w:r>
        <w:t xml:space="preserve">in</w:t>
      </w:r>
      <w:r>
        <w:t xml:space="preserve"> </w:t>
      </w:r>
      <w:r>
        <w:t xml:space="preserve">a</w:t>
      </w:r>
      <w:r>
        <w:t xml:space="preserve"> </w:t>
      </w:r>
      <w:r>
        <w:t xml:space="preserve">melanoma</w:t>
      </w:r>
      <w:r>
        <w:t xml:space="preserve"> </w:t>
      </w:r>
      <w:r>
        <w:t xml:space="preserve">trial</w:t>
      </w:r>
      <w:r>
        <w:t xml:space="preserve"> </w:t>
      </w:r>
      <w:r>
        <w:t xml:space="preserve">and</w:t>
      </w:r>
      <w:r>
        <w:t xml:space="preserve"> </w:t>
      </w:r>
      <w:r>
        <w:t xml:space="preserve">in</w:t>
      </w:r>
      <w:r>
        <w:t xml:space="preserve"> </w:t>
      </w:r>
      <w:r>
        <w:t xml:space="preserve">xenografts,</w:t>
      </w:r>
      <w:r>
        <w:t xml:space="preserve"> </w:t>
      </w:r>
      <w:r>
        <w:t xml:space="preserve">and</w:t>
      </w:r>
      <w:r>
        <w:t xml:space="preserve"> </w:t>
      </w:r>
      <w:r>
        <w:t xml:space="preserve">shows</w:t>
      </w:r>
      <w:r>
        <w:t xml:space="preserve"> </w:t>
      </w:r>
      <w:r>
        <w:t xml:space="preserve">the</w:t>
      </w:r>
      <w:r>
        <w:t xml:space="preserve"> </w:t>
      </w:r>
      <w:r>
        <w:t xml:space="preserve">ranking</w:t>
      </w:r>
      <w:r>
        <w:t xml:space="preserve"> </w:t>
      </w:r>
      <w:r>
        <w:t xml:space="preserve">to</w:t>
      </w:r>
      <w:r>
        <w:t xml:space="preserve"> </w:t>
      </w:r>
      <w:r>
        <w:t xml:space="preserve">turn</w:t>
      </w:r>
      <w:r>
        <w:t xml:space="preserve"> </w:t>
      </w:r>
      <w:r>
        <w:t xml:space="preserve">on</w:t>
      </w:r>
      <w:r>
        <w:t xml:space="preserve"> </w:t>
      </w:r>
      <w:r>
        <w:t xml:space="preserve">two</w:t>
      </w:r>
      <w:r>
        <w:t xml:space="preserve"> </w:t>
      </w:r>
      <w:r>
        <w:t xml:space="preserve">measurable</w:t>
      </w:r>
      <w:r>
        <w:t xml:space="preserve"> </w:t>
      </w:r>
      <w:r>
        <w:t xml:space="preserve">cell</w:t>
      </w:r>
      <w:r>
        <w:t xml:space="preserve"> </w:t>
      </w:r>
      <w:r>
        <w:t xml:space="preserve">properties:</w:t>
      </w:r>
      <w:r>
        <w:t xml:space="preserve"> </w:t>
      </w:r>
      <w:r>
        <w:t xml:space="preserve">growth</w:t>
      </w:r>
      <w:r>
        <w:t xml:space="preserve"> </w:t>
      </w:r>
      <w:r>
        <w:t xml:space="preserve">under</w:t>
      </w:r>
      <w:r>
        <w:t xml:space="preserve"> </w:t>
      </w:r>
      <w:r>
        <w:t xml:space="preserve">drug</w:t>
      </w:r>
      <w:r>
        <w:t xml:space="preserve"> </w:t>
      </w:r>
      <w:r>
        <w:t xml:space="preserve">and</w:t>
      </w:r>
      <w:r>
        <w:t xml:space="preserve"> </w:t>
      </w:r>
      <w:r>
        <w:t xml:space="preserve">fitness</w:t>
      </w:r>
      <w:r>
        <w:t xml:space="preserve"> </w:t>
      </w:r>
      <w:r>
        <w:t xml:space="preserve">without</w:t>
      </w:r>
      <w:r>
        <w:t xml:space="preserve"> </w:t>
      </w:r>
      <w:r>
        <w:t xml:space="preserve">it.</w:t>
      </w:r>
    </w:p>
    <w:p>
      <w:pPr>
        <w:pStyle w:val="FirstParagraph"/>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w:t>
      </w:r>
      <w:r>
        <w:t xml:space="preserve">virtual cell</w:t>
      </w:r>
      <w:r>
        <w:t xml:space="preserve">”</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among them Splatter, SymSim, scDesign3, SERGIO, dyngen, scMultiSim and GRouNdGAN</w:t>
      </w:r>
      <w:r>
        <w:rPr>
          <w:vertAlign w:val="superscript"/>
        </w:rPr>
        <w:t xml:space="preserve">17–23</w:t>
      </w:r>
      <w:r>
        <w:t xml:space="preserve">, model regulation and technical noise but not cell growth, volume-dependent transcription, gene replication or the partitioning of molecules at division; the last of these do place cells on a differentiation trajectory, and lineage simulators such as TedSim and Cassiopeia</w:t>
      </w:r>
      <w:r>
        <w:rPr>
          <w:vertAlign w:val="superscript"/>
        </w:rPr>
        <w:t xml:space="preserve">24,25</w:t>
      </w:r>
      <w:r>
        <w:t xml:space="preserve"> </w:t>
      </w:r>
      <w:r>
        <w:t xml:space="preserve">generate division trees, but the expression attached to those trees is phenomenological and largely Markovian. Expression memory, cell-size scaling, cell-cycle-dependent bursting and persister dynamics therefore have to be imposed on them rather than emerging, and none provides the ground truth that the methods now being developed for exactly those phenomena require</w:t>
      </w:r>
      <w:r>
        <w:rPr>
          <w:vertAlign w:val="superscript"/>
        </w:rPr>
        <w:t xml:space="preserve">26</w:t>
      </w:r>
      <w:r>
        <w:t xml:space="preserve">. Stochastic simulators of growing and dividing cells do exist, and the most complete of them couples reaction kinetics to growth, division and inference from lineage data</w:t>
      </w:r>
      <w:r>
        <w:rPr>
          <w:vertAlign w:val="superscript"/>
        </w:rPr>
        <w:t xml:space="preserve">27–30</w:t>
      </w:r>
      <w:r>
        <w:t xml:space="preserve">; what none of them adds is a drug and schedule layer, observation models for the measurements these questions are asked of, and benchmark generation. Agent-based tumour simulators supply the drug response and the spatial structure but not stochastic transcription in dividing cells</w:t>
      </w:r>
      <w:r>
        <w:rPr>
          <w:vertAlign w:val="superscript"/>
        </w:rPr>
        <w:t xml:space="preserve">31,32</w:t>
      </w:r>
      <w:r>
        <w:t xml:space="preserve">.</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33</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Start w:id="28" w:name="results"/>
    <w:p>
      <w:pPr>
        <w:pStyle w:val="Heading1"/>
      </w:pPr>
      <w:r>
        <w:t xml:space="preserve">Results</w:t>
      </w:r>
    </w:p>
    <w:bookmarkStart w:id="20"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20</w:t>
      </w:r>
      <w:r>
        <w:t xml:space="preserve">, dyngen</w:t>
      </w:r>
      <w:r>
        <w:rPr>
          <w:vertAlign w:val="superscript"/>
        </w:rPr>
        <w:t xml:space="preserve">21</w:t>
      </w:r>
      <w:r>
        <w:t xml:space="preserve">, scMultiSim</w:t>
      </w:r>
      <w:r>
        <w:rPr>
          <w:vertAlign w:val="superscript"/>
        </w:rPr>
        <w:t xml:space="preserve">22</w:t>
      </w:r>
      <w:r>
        <w:t xml:space="preserve">, GRouNdGAN</w:t>
      </w:r>
      <w:r>
        <w:rPr>
          <w:vertAlign w:val="superscript"/>
        </w:rPr>
        <w:t xml:space="preserve">23</w:t>
      </w:r>
      <w:r>
        <w:t xml:space="preserve">, TedSim</w:t>
      </w:r>
      <w:r>
        <w:rPr>
          <w:vertAlign w:val="superscript"/>
        </w:rPr>
        <w:t xml:space="preserve">24</w:t>
      </w:r>
      <w:r>
        <w:t xml:space="preserve">, Cassiopeia</w:t>
      </w:r>
      <w:r>
        <w:rPr>
          <w:vertAlign w:val="superscript"/>
        </w:rPr>
        <w:t xml:space="preserve">25</w:t>
      </w:r>
      <w:r>
        <w:t xml:space="preserve">, ABM.jl (AgentBasedModeling.jl)</w:t>
      </w:r>
      <w:r>
        <w:rPr>
          <w:vertAlign w:val="superscript"/>
        </w:rPr>
        <w:t xml:space="preserve">28</w:t>
      </w:r>
      <w:r>
        <w:t xml:space="preserve">, Biomodelling.jl v1.x</w:t>
      </w:r>
      <w:r>
        <w:rPr>
          <w:vertAlign w:val="superscript"/>
        </w:rPr>
        <w:t xml:space="preserve">33</w:t>
      </w:r>
      <w:r>
        <w:t xml:space="preserve"> </w:t>
      </w:r>
      <w:r>
        <w:t xml:space="preserve">and v2.0 (this work). Entries were read from each tool’s publication and documentation, and describe what the tool provides rather than what its formalism could express. Three readings need qualifying. SERGIO is a Python package that returns expression matrices as arrays and scMultiSim is an R package returning SingleCellExperiment-style objects, so neither writes AnnData natively; scMultiSim does carry a differentiation tree, so cells are related by a trajectory even though per-cell division and fate are not simulated. ABM.jl is the closest comparator: it simulates stochastic reaction networks in growing, dividing agents with an adder division rule, binomial partitioning, death and environmental coupling, and its companion work infers kinetic and selection parameters from mother-machine and lineage-tree data</w:t>
      </w:r>
      <w:r>
        <w:rPr>
          <w:vertAlign w:val="superscript"/>
        </w:rPr>
        <w:t xml:space="preserve">29</w:t>
      </w:r>
      <w:r>
        <w:t xml:space="preserve">, which the partial marks in an earlier version of this table understated; its ○ entries are for gene replication, which its agent formalism can express but does not provide, and for lineage output, which traces a cell back to its ancestor rather than recording a tree with per-cell fates. Cassiopeia simulates division topologies with heritable fitness and CRISPR barcodes rather than molecular content, and its inference recovers phylogenies rather than kinetic parameters.</w:t>
      </w:r>
    </w:p>
    <w:tbl>
      <w:tblPr>
        <w:tblStyle w:val="Table"/>
        <w:tblW w:type="pct" w:w="5000"/>
        <w:tblLook w:firstRow="1" w:lastRow="0" w:firstColumn="0" w:lastColumn="0" w:noHBand="0" w:noVBand="0" w:val="0020"/>
        <w:jc w:val="start"/>
      </w:tblPr>
      <w:tblGrid>
        <w:gridCol w:w="2527"/>
        <w:gridCol w:w="589"/>
        <w:gridCol w:w="589"/>
        <w:gridCol w:w="758"/>
        <w:gridCol w:w="674"/>
        <w:gridCol w:w="589"/>
        <w:gridCol w:w="758"/>
        <w:gridCol w:w="589"/>
        <w:gridCol w:w="421"/>
        <w:gridCol w:w="421"/>
      </w:tblGrid>
      <w:tr>
        <w:trPr>
          <w:tblHeader w:val="true"/>
        </w:trPr>
        <w:tc>
          <w:tcPr/>
          <w:p>
            <w:pPr>
              <w:pStyle w:val="Compact"/>
              <w:jc w:val="left"/>
            </w:pPr>
            <w:r>
              <w:t xml:space="preserve">Capability</w:t>
            </w:r>
          </w:p>
        </w:tc>
        <w:tc>
          <w:tcPr/>
          <w:p>
            <w:pPr>
              <w:pStyle w:val="Compact"/>
              <w:jc w:val="left"/>
            </w:pPr>
            <w:r>
              <w:t xml:space="preserve">SERGIO</w:t>
            </w:r>
          </w:p>
        </w:tc>
        <w:tc>
          <w:tcPr/>
          <w:p>
            <w:pPr>
              <w:pStyle w:val="Compact"/>
              <w:jc w:val="lef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jc w:val="left"/>
            </w:pPr>
            <w:r>
              <w:t xml:space="preserve">TedSim</w:t>
            </w:r>
          </w:p>
        </w:tc>
        <w:tc>
          <w:tcPr/>
          <w:p>
            <w:pPr>
              <w:pStyle w:val="Compact"/>
              <w:jc w:val="left"/>
            </w:pPr>
            <w:r>
              <w:t xml:space="preserve">Cassio-</w:t>
            </w:r>
            <w:r>
              <w:t xml:space="preserve"> </w:t>
            </w:r>
            <w:r>
              <w:t xml:space="preserve">peia</w:t>
            </w:r>
          </w:p>
        </w:tc>
        <w:tc>
          <w:tcPr/>
          <w:p>
            <w:pPr>
              <w:pStyle w:val="Compact"/>
              <w:jc w:val="left"/>
            </w:pPr>
            <w:r>
              <w:t xml:space="preserve">ABM.jl</w:t>
            </w:r>
          </w:p>
        </w:tc>
        <w:tc>
          <w:tcPr/>
          <w:p>
            <w:pPr>
              <w:pStyle w:val="Compact"/>
              <w:jc w:val="left"/>
            </w:pPr>
            <w:r>
              <w:t xml:space="preserve">v1.x</w:t>
            </w:r>
          </w:p>
        </w:tc>
        <w:tc>
          <w:tcPr/>
          <w:p>
            <w:pPr>
              <w:pStyle w:val="Compact"/>
              <w:jc w:val="lef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Cell growth, volume-scaled</w:t>
            </w:r>
            <w:r>
              <w:t xml:space="preserve"> </w:t>
            </w:r>
            <w:r>
              <w:t xml:space="preserve">transcription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replication / cell-</w:t>
            </w:r>
            <w:r>
              <w:t xml:space="preserve"> </w:t>
            </w:r>
            <w:r>
              <w:t xml:space="preserve">cycle copy number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Division with molecular</w:t>
            </w:r>
            <w:r>
              <w:t xml:space="preserve"> </w:t>
            </w:r>
            <w:r>
              <w:t xml:space="preserve">partitioning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Heritable promoter states,</w:t>
            </w:r>
            <w:r>
              <w:t xml:space="preserve"> </w:t>
            </w:r>
            <w:r>
              <w:t xml:space="preserve">expression memory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Lineage tree with per-cell</w:t>
            </w:r>
            <w:r>
              <w:t xml:space="preserve"> </w:t>
            </w:r>
            <w:r>
              <w:t xml:space="preserve">fates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scRNA-seq observation model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smFISH / time-lapse</w:t>
            </w:r>
            <w:r>
              <w:t xml:space="preserve"> </w:t>
            </w:r>
            <w:r>
              <w:t xml:space="preserve">observation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Parameter inference from</w:t>
            </w:r>
            <w:r>
              <w:t xml:space="preserve"> </w:t>
            </w:r>
            <w:r>
              <w:t xml:space="preserve">data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AnnData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0"/>
    <w:bookmarkStart w:id="21"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34</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Those tests exercise one cell at fixed volume. The layer above them, growth, replication, partitioning and the difference between a lineage and a population, has exact solutions of its own for this class of model, which take different closed forms in the two settings</w:t>
      </w:r>
      <w:r>
        <w:rPr>
          <w:vertAlign w:val="superscript"/>
        </w:rPr>
        <w:t xml:space="preserve">35–37</w:t>
      </w:r>
      <w:r>
        <w:t xml:space="preserve">. We reproduced four analytically solvable members of that class, with constitutive, bursty and two-state promoter kinetics under a memoryless interdivision time and with volume-scaled synthesis from a replicating gene under a deterministic cycle, in both modes. Along single lineages, where the mother-machine control makes the recorded cells independent and the Kolmogorov-Smirnov test applies as it stands, all 4 samples match the exact law of their mode (distances 0.0023 to 0.0054 against 99% critical values of 0.0081 to 0.0115). A population snapshot is not an independent sample, because its cells share ancestors, so the independent critical value understates the true one and the population mode is judged on the agreement of its replicate means with the exact mean. Over the four models those means sit within 2.5 standard errors of the exact values (18 of the 20 individual samples also fall below the independent critical value, the largest distance being 0.0170). Scored against the exact law of the other mode, the same samples give distances at least 6 times larger, so the comparison has ample power to tell the two settings apart. The two differ because a snapshot of a growing population over-weights cells that have just divided and so just lost half their molecules: the mean molecule number is constitutive production 13.33 against 10.00; bursts of four molecules 13.33 against 10.00; two-state promoter 8.89 against 6.67; volume-scaled synthesis with gene replication 25.64 against 23.96 along a lineage and in a population respectively (Supplementary Note 14 and Supplementary Fig. 6). Population simulations scale linearly with the number of cells: 2.6 s for 5000 cells × 10 telegraph genes × 200 steps (hybrid kernel) with four threads (Fig. 2f and Supplementary Table 3). Scaling in the number of reactions depends on the kernel and is close to linear only for the hybrid one (0.58 s to 6.4 s for the hybrid kernel, a factor of 11 for the same factor of 10 in genes; 1.04 s to 31.4 s for the direct kernel, a factor of 30 for the same factor of 10 in genes), because the direct method draws one event at a time while the hybrid kernel leaps over the non-critical channels in a fixed number of operations.</w:t>
      </w:r>
    </w:p>
    <w:bookmarkEnd w:id="21"/>
    <w:bookmarkStart w:id="22"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move in the direction gene replication implies, but not by the factor it alone would give (Fig. 3f). Between the one-copy and the two-copy subsets the fitted transcription rate rises 2.0-fold, of which 1.4-fold is the larger volume of cells that have already replicated, leaving 1.4-fold per unit volume rather than the twofold that doubling the copy number implies; the fitted activation rate rises 1.4-fold over the same comparison, and the pooled fit that ignores the cell cycle returns a transcription rate above both subsets. Part of that shortfall is misspecification rather than copy number, and the figure shows it: two independently switching alleles are not one telegraph gene, and neither subset fit recovers the truth (0.5, 1.5 and 2 transcripts per unit volume per allele, against 0.59, 1.89 and 2.4 fitted to the one-copy cells and 0.65, 3.27 and 4.8 pooled). What the panel demonstrates is that a cell-cycle-blind fit is biased, not how large the copy-number effect is.</w:t>
      </w:r>
    </w:p>
    <w:bookmarkEnd w:id="22"/>
    <w:bookmarkStart w:id="23"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rPr>
          <w:vertAlign w:val="superscript"/>
        </w:rPr>
        <w:t xml:space="preserve">6</w:t>
      </w:r>
      <w:r>
        <w:t xml:space="preserve">, because fate is biased by states that exist before the drug arrives. Unlike the growth-arrested persisters of the canonical definition</w:t>
      </w:r>
      <w:r>
        <w:rPr>
          <w:vertAlign w:val="superscript"/>
        </w:rP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conditional and marginal probabilities coincide (0.03 versus 0.02;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 the follow-up method that traces resistant fates back to their drug-naive precursors puts those precursors at an initial frequency of about 1 in 1,000 to 1 in 10,000 cells</w:t>
      </w:r>
      <w:r>
        <w:rPr>
          <w:vertAlign w:val="superscript"/>
        </w:rPr>
        <w:t xml:space="preserve">38</w:t>
      </w:r>
      <w:r>
        <w:t xml:space="preserve">, the regime the pre-resistant fraction of the melanoma case study below is set to.</w:t>
      </w:r>
    </w:p>
    <w:p>
      <w:pPr>
        <w:pStyle w:val="BodyText"/>
      </w:pPr>
      <w:r>
        <w:t xml:space="preserve">Disrupting expression memory changes the outcome, and when it is disrupted matters. Accelerating promoter switching 20-fold from two cell-cycle times before the drug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w:t>
      </w:r>
    </w:p>
    <w:p>
      <w:pPr>
        <w:pStyle w:val="BodyText"/>
      </w:pPr>
      <w:r>
        <w:t xml:space="preserve">Two published experiments bear on this prediction and they point in opposite directions, so it is worth being explicit about which perturbation each one performs. A CRISPR screen for modulators of single-cell variability found that inhibiting DOT1L</w:t>
      </w:r>
      <w:r>
        <w:t xml:space="preserve"> </w:t>
      </w:r>
      <w:r>
        <w:rPr>
          <w:iCs/>
          <w:i/>
        </w:rPr>
        <w:t xml:space="preserve">before</w:t>
      </w:r>
      <w:r>
        <w:t xml:space="preserve"> </w:t>
      </w:r>
      <w:r>
        <w:t xml:space="preserve">adding a BRAF inhibitor produced more therapy resistance than giving the two together</w:t>
      </w:r>
      <w:r>
        <w:rPr>
          <w:vertAlign w:val="superscript"/>
        </w:rPr>
        <w:t xml:space="preserve">39</w:t>
      </w:r>
      <w:r>
        <w:t xml:space="preserve">, which is the ordering the model predicts. A lineage-tracing study that identified PI3K and TGF-β signalling as switching modulators found the opposite for its own pretreatment: a PI3K inhibitor applied before targeted therapy left less resistance than targeted therapy alone</w:t>
      </w:r>
      <w:r>
        <w:rPr>
          <w:vertAlign w:val="superscript"/>
        </w:rPr>
        <w:t xml:space="preserve">9</w:t>
      </w:r>
      <w:r>
        <w:t xml:space="preserve">. The two results are not in conflict with each other, and only the first is a test of what is simulated here. The perturbation in the model is symmetric: it multiplies the activation and the inactivation rate by the same factor, so it accelerates relaxation towards the stationary resistant fraction without moving that fraction, and its only effect before the drug is to spread the resistant state over more lineages. A modulator that shifts the balance between the states is a different perturbation, and a pretreatment that drives cells out of the primed state lowers the number of protected cells at the moment the drug arrives, which reduces resistance whether or not it is maintained. The prediction here is therefore specific to perturbations that speed switching without biasing it, of which DOT1L inhibition appears to be one and PI3K inhibition is not; distinguishing the two experimentally requires measuring the resistant fraction as well as the switching rate, which memory-sequencing and lineage-tracing assays do. Compartment theory for phenotypic switching already predicts that an agent which perturbs the retention of the resistant state can turn treatment failure into success</w:t>
      </w:r>
      <w:r>
        <w:rPr>
          <w:vertAlign w:val="superscript"/>
        </w:rPr>
        <w:t xml:space="preserve">40</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41</w:t>
      </w:r>
      <w:r>
        <w:t xml:space="preserve">. Finally, scanning release periods and doses of intermittent schedules (Fig. 4h), the most effective schedule is release period 0, dose 2 (growth rate +0.0038 per time unit, ± 0.0007 over 5 seeds) for pre-existing tolerance, release period 0, dose 2 (growth rate -0.0151 per time unit, ± 0.0012 over 5 seeds) when the resistant state carries a fitness cost, and release period 0, dose 1 (growth rate +0.0089 per time unit, ± 0.0001 over 5 seeds) for drug-induced tolerance. Each point of the scan is the mean of 5 independent seeds. The gap between the best schedule and the next best is 0.0003 to 0.0006 per time unit, against a standard error of 0.0001 to 0.0008 on the difference, so the ranking of the top two schedules is resolved in 1 of the 3 mechanisms; elsewhere the scan identifies a region of good schedules rather than a single best one.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match continuous dosing (-0.0151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0, dose 1 (growth rate +0.0089 per time unit, ± 0.0001 over 5 seeds), against +0.0123 for continuous dose 2), the intermediate-dose optimum reported previously</w:t>
      </w:r>
      <w:r>
        <w:rPr>
          <w:vertAlign w:val="superscript"/>
        </w:rPr>
        <w:t xml:space="preserve">42</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9.9 against 6.2 to 8.5 time units),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The schedule conclusions are the fragile ones, because the best dose is unchanged in 3 of 3 models, but the best release period is not. With a fitness cost of resistance and with drug-induced tolerance, the holidays that won without the gate collapse to continuous dosing, because a gated hazard kills the reverting cells more slowly on re-exposure (Supplementary Note 13 and Supplementary Fig. 5).</w:t>
      </w:r>
    </w:p>
    <w:bookmarkEnd w:id="23"/>
    <w:bookmarkStart w:id="24"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a mean of 29.6 for genes with memory beyond a hundred cell-cycle times, the highest single gene reaching 44.5 (38.4 on sequenced counts),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small enough that the methods were run with their default settings and the ranking of datasets rather than the absolute accuracy is what should be read,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One comparison in that panel runs the wrong way: for Pearson correlation the library-size-normalised sequenced counts score above the true concentrations (0.24 against 0.18). Dividing counts by the library size removes cell-to-cell scale, and in a dividing population that scale is dominated by volume and gene copy number, so the normalisation acts as a coarse correction for the growth confound that dividing by the true volume does not make. It is not evidence that sequencing helps; the fixed-volume ceiling (0.52) is above both, and the cell-cycle regression (0.46) is above both as well.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rPr>
          <w:vertAlign w:val="superscript"/>
        </w:rPr>
        <w:t xml:space="preserve">33</w:t>
      </w:r>
      <w:r>
        <w:t xml:space="preserve">. Knocking down the five most connected regulators of a 20-gene network, again small and run at default settings,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rPr>
          <w:vertAlign w:val="superscript"/>
        </w:rPr>
        <w:t xml:space="preserve">13,14</w:t>
      </w:r>
      <w:r>
        <w:t xml:space="preserve">.</w:t>
      </w:r>
    </w:p>
    <w:bookmarkEnd w:id="24"/>
    <w:bookmarkStart w:id="25"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43</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25"/>
    <w:bookmarkStart w:id="26"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0.077 (memory 2.8 generations, resistant fraction 15.2%, EC</w:t>
      </w:r>
      <m:oMath>
        <m:sSub>
          <m:e>
            <m:r>
              <m:t>​</m:t>
            </m:r>
          </m:e>
          <m:sub>
            <m:r>
              <m:t>50</m:t>
            </m:r>
          </m:sub>
        </m:sSub>
      </m:oMath>
      <w:r>
        <w:t xml:space="preserve"> </w:t>
      </w:r>
      <w:r>
        <w:t xml:space="preserve">16.7 µM; Fig. 7a,f). Three related numbers appear in this Article and are not interchangeable. Every root-mean-square error quoted in the text, here and at the held-out concentration, is the residual of the seed-averaged fate fractions pooled over every fraction of the concentrations named, four seeds per condition. The colour scale of Fig. 7f is the quantity the optimiser minimised, which is evaluated on a single seed and adds the memory prior: at the optimum it is 0.067, made up of 0.061 of single-seed training error and 0.006 of prior penalty. The comparison of the two killing mechanisms in Supplementary Note 12 uses that single-seed training error for both models, so that they are scored by the same rule as the fit itself. That error should be read against the precision of the measurement: the observed fractions carry a mean binomial standard error of 0.028 and repeated simulations differ by 0.015, so the fit is about 2.4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(95% confidence interval +0.000 to +0.043 over 3 seeds, a range that contains zero) and 0.00 for unrelated cells (Fig. 7c). That is the pattern reported for HCT116 lineages, in which fate correlations are present for first and second cousins and absent for third cousins, with memory inherited over at least two to three generations</w:t>
      </w:r>
      <w:r>
        <w:rPr>
          <w:vertAlign w:val="superscript"/>
        </w:rPr>
        <w:t xml:space="preserve">6</w:t>
      </w:r>
      <w:r>
        <w:t xml:space="preserve">; the comparison is qualitative on both sides, because the source reports these correlations graphically and gives no numeric coefficients or confidence intervals to match. One caveat belongs beside this agreement. Cells here draw their cycle times independently, so no cycle timing is inherited and every correlation between related cells is carried by the inherited promoter state. Cell-cycle duration is in fact heritable over several generations, and its inheritance alone produces strong cousin and second-cousin correlations even when mother-daughter correlations are weak</w:t>
      </w:r>
      <w:r>
        <w:rPr>
          <w:vertAlign w:val="superscript"/>
        </w:rPr>
        <w:t xml:space="preserve">44–46</w:t>
      </w:r>
      <w:r>
        <w:t xml:space="preserve">. Coupled to a cycle-gated hazard, that is a complete alternative explanation for the correlations fitted here, and the model as built cannot produce it.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rPr>
          <w:vertAlign w:val="superscript"/>
        </w:rP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26"/>
    <w:bookmarkStart w:id="27"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47</w:t>
      </w:r>
      <w:r>
        <w:t xml:space="preserve">, and adaptive therapy, in which the drug is withdrawn when the population has halved and resumed when it regrows to its initial size</w:t>
      </w:r>
      <w:r>
        <w:rPr>
          <w:vertAlign w:val="superscript"/>
        </w:rPr>
        <w:t xml:space="preserve">48</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so a holiday cannot cost the resistant subpopulation anything and can only let sensitive cells regrow to be killed again. Even so, both interrupted schedules keep control longer than continuous dosing: the three lose control after 23, 26 and 27 weeks, with the intermittent schedule delivering 65% of the cumulative dose of continuous dosing over the full 60-week simulation. The reason is a second drug effect rather than the fitness of resistant cells: the drug stabilises the resistant state tenfold by suppressing the promoter inactivation rate (Methods), so continuous exposure keeps cells resistant that a holiday allows to revert. That effect is set in the model, not fitted, and it is what makes holidays worth anything at all in this arm.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rPr>
          <w:vertAlign w:val="superscript"/>
        </w:rPr>
        <w:t xml:space="preserve">49</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Gating three quarters of the death hazard to a window of the cell cycle, as in the persister simulations above, leaves these comparisons standing, whether or not the maximal hazard is raised to hold the cycle-averaged hazard fixed (Supplementary Note 13 and Supplementary Fig. 5): the best schedule is unchanged in 3 of 3 mechanisms and the model still favours continuous dosing under partial protection (52 against 43 weeks, from 52 and 49). The memory of the resistant state, five net population doublings, is an assumption rather than a measurement, and it is what decides whether resistant cells revert during a three-week holiday; scanning it from two to twelve doublings leaves the ranking unchanged and narrows the advantage of holidays from 9 weeks at 2 net doublings of memory to 1.7 weeks at 12 (Supplementary Note 15). That the benefit of holidays should depend on a cost of resistance is established by compartment models of adaptive therapy, which also show that tumour turnover modulates how large that cost must be</w:t>
      </w:r>
      <w:r>
        <w:rPr>
          <w:vertAlign w:val="superscript"/>
        </w:rPr>
        <w:t xml:space="preserve">50</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A bacterial-persistence model adapted to colorectal-cancer lines reaches the same conclusion by another route: an intermediate dose with release periods is optimal, because the rate of transition into the persistent state rises with concentration and then saturates</w:t>
      </w:r>
      <w:r>
        <w:rPr>
          <w:vertAlign w:val="superscript"/>
        </w:rPr>
        <w:t xml:space="preserve">42</w:t>
      </w:r>
      <w:r>
        <w:t xml:space="preserve">. The agreement is partial and the difference is informative. Where tolerance is drug-induced, the optimiser here also selects an intermediate dose over the highest one, for the same reason. Release periods, however, help there only when the drug changes the kinetics of the resistant state, either by stabilising it, as in the melanoma arm above, or by inducing it at a rate that saturates, as in that model; with a state whose decay rate is the same with and without drug, a holiday merely postpones the death of reverting cells while every cell grows, and the optimiser rejects it.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rPr>
          <w:vertAlign w:val="superscript"/>
        </w:rPr>
        <w:t xml:space="preserve">51</w:t>
      </w:r>
      <w:r>
        <w:t xml:space="preserve">. We simulated both regimens with one-compartment pharmacokinetics (elimination half-life 2.1 h in the cerebrospinal-fluid population model used here</w:t>
      </w:r>
      <w:r>
        <w:rPr>
          <w:vertAlign w:val="superscript"/>
        </w:rPr>
        <w:t xml:space="preserve">52</w:t>
      </w:r>
      <w:r>
        <w:t xml:space="preserve">; the plasma value is 1.8 h</w:t>
      </w:r>
      <w:r>
        <w:rPr>
          <w:vertAlign w:val="superscript"/>
        </w:rPr>
        <w:t xml:space="preserve">53</w:t>
      </w:r>
      <w:r>
        <w:t xml:space="preserve">) on populations in which 1% (methylated) or 30% (unmethylated) of cells express MGMT. Those two fractions are illustrative values that bracket low and high expression, not measurements, and the idealisation matters: promoter methylation shifts MGMT expression as a graded quantity across cells rather than switching a discrete subpopulation on, so the whole dose-dense prediction below rests on treating it as two states. With that caveat, with MGMT protein protecting cells from the drug</w:t>
      </w:r>
      <w:r>
        <w:rPr>
          <w:vertAlign w:val="superscript"/>
        </w:rPr>
        <w:t xml:space="preserve">41</w:t>
      </w:r>
      <w:r>
        <w:t xml:space="preserve"> </w:t>
      </w:r>
      <w:r>
        <w:t xml:space="preserve">and either stable or consumed by it stoichiometrically, one molecule per lesion repaired, as a suicide enzyme is, so that the pool follows the cumulative exposure rather than the peak concentration (Fig. 8f,g). Lesions are not tracked as a state variable: they are taken to form in proportion to dose and to be repaired at once, so</w:t>
      </w:r>
      <w:r>
        <w:t xml:space="preserve"> </w:t>
      </w:r>
      <w:r>
        <w:t xml:space="preserve">“</w:t>
      </w:r>
      <w:r>
        <w:t xml:space="preserve">one molecule per lesion</w:t>
      </w:r>
      <w:r>
        <w:t xml:space="preserve">”</w:t>
      </w:r>
      <w:r>
        <w:t xml:space="preserve"> </w:t>
      </w:r>
      <w:r>
        <w:t xml:space="preserve">enters only through the rate of consumption, and no unrepaired damage accumulates. The rate constant of that consumption is not fitted to data; it is set so that consumption at the standard bolus peak matches the first-order parameterisation it replaces, which makes the two mechanisms comparable at the same initial rate and isolates how each integrates over time.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predicts a clear dose-dense advantage in both populations, which RTOG 0525 did not find. Read as a bound rather than as a fit, that disagreement is informative: either temozolomide consumes MGMT in tumours far more slowly than this stoichiometry allows, or the benefit of depleting it is offset by something the model leaves out.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What they add is a sharper version of the rationale for dose-dense dosing: the benefit it is supposed to deliver exists in the model only at consumption rates that the trial’s null result appears to exclude. The quantity the argument rests on is the per-lesion molecular rate constant of that consumption, which has not been measured directly, although bulk depletion time-courses have: protracted temozolomide lowers alkyltransferase activity in peripheral blood mononuclear cells by about 63% at 14 days and 73% at 21 days</w:t>
      </w:r>
      <w:r>
        <w:rPr>
          <w:vertAlign w:val="superscript"/>
        </w:rPr>
        <w:t xml:space="preserve">54</w:t>
      </w:r>
      <w:r>
        <w:t xml:space="preserve">, a compressed 1,000 mg/m² schedule takes it to 18% of initial levels while O⁶-methylguanine accumulates in both blood cells and tumour biopsies</w:t>
      </w:r>
      <w:r>
        <w:rPr>
          <w:vertAlign w:val="superscript"/>
        </w:rPr>
        <w:t xml:space="preserve">55</w:t>
      </w:r>
      <w:r>
        <w:t xml:space="preserve">, and in orthotopic GBM43 xenografts tumour MGMT activity is depleted by day 6 on both the standard and the 21-day schedule and stays suppressed only on the 21-day one</w:t>
      </w:r>
      <w:r>
        <w:rPr>
          <w:vertAlign w:val="superscript"/>
        </w:rPr>
        <w:t xml:space="preserve">56</w:t>
      </w:r>
      <w:r>
        <w:t xml:space="preserve">. The last of these is the sharpest comparison available, and it makes the disagreement more specific than the trial alone does: the deeper and longer tumour depletion that the dose-dense schedule is supposed to deliver was confirmed in that model, and survival still did not improve. Either the depletion measured in bulk is not the per-cell depletion that matters for killing, or the benefit of depleting MGMT is offset by something the model leaves out.</w:t>
      </w:r>
    </w:p>
    <w:bookmarkEnd w:id="27"/>
    <w:bookmarkEnd w:id="28"/>
    <w:bookmarkStart w:id="29"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No individual ingredient is new, and the claim is not that any of them is: stochastic kinetics in growing and dividing cells have been simulated before</w:t>
      </w:r>
      <w:r>
        <w:rPr>
          <w:vertAlign w:val="superscript"/>
        </w:rPr>
        <w:t xml:space="preserve">27,28,33</w:t>
      </w:r>
      <w:r>
        <w:t xml:space="preserve">, lineage-tracing data have their own simulators</w:t>
      </w:r>
      <w:r>
        <w:rPr>
          <w:vertAlign w:val="superscript"/>
        </w:rPr>
        <w:t xml:space="preserve">24,25</w:t>
      </w:r>
      <w:r>
        <w:t xml:space="preserve">, compartment models of adaptive therapy established that the benefit of treatment holidays depends on a cost of resistance and on turnover</w:t>
      </w:r>
      <w:r>
        <w:rPr>
          <w:vertAlign w:val="superscript"/>
        </w:rPr>
        <w:t xml:space="preserve">48,50</w:t>
      </w:r>
      <w:r>
        <w:t xml:space="preserve">, and phenotypic-switching theory established that perturbing the retention of a resistant state can decide a treatment outcome</w:t>
      </w:r>
      <w:r>
        <w:rPr>
          <w:vertAlign w:val="superscript"/>
        </w:rPr>
        <w:t xml:space="preserve">40</w:t>
      </w:r>
      <w:r>
        <w:t xml:space="preserve">. What is new is that this is the first package to combine these mechanisms with joint inference and schedule optimisation in a single forward model. Version 1 of this framework already simulated stochastic gene networks in growing and dividing cells and generated synthetic scRNA-seq for imputation and network-inference benchmarking</w:t>
      </w:r>
      <w:r>
        <w:rPr>
          <w:vertAlign w:val="superscript"/>
        </w:rPr>
        <w:t xml:space="preserve">33</w:t>
      </w:r>
      <w:r>
        <w:t xml:space="preserve">; what version 2 adds to it is gene replication and cell-cycle copy number, division by sizer, adder or timer rules rather than a timer alone, inherited promoter states, the lineage table and its statistics, the drug and pharmacokinetic layer with state-dependent killing, likelihood-free inference, and the schedule optimiser. Relative to the closest external comparator, an agent-based framework that already couples stochastic kinetics to growth, adder division, partitioning and inference from lineage data</w:t>
      </w:r>
      <w:r>
        <w:rPr>
          <w:vertAlign w:val="superscript"/>
        </w:rPr>
        <w:t xml:space="preserve">28,29</w:t>
      </w:r>
      <w:r>
        <w:t xml:space="preserve">, what is added is the drug and schedule layer, the observation models, gene replication, and the benchmark-generation use. Two consequences follow from the combination rather than from any part of it. It makes a resistance phenotype a heritable expression state with measurable kinetics instead of a compartment with an assumed rate, and it supplies ground truth of a kind observational data cannot: the same simulation gives known memory genes, known networks, known perturbation effects and the true lineage tree, which is what the quantification of how growth and sequencing destroy network inference, and of how far cell-cycle regression recovers it, depends on. It also makes the calibrate-then-predict protocol available for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They are set in each case rather than inferred from the outcomes, so the case studies show that the ranking follows from cell properties, not that any particular tumour has them. Neither anchor is as one-sided as a single end point makes it look. In SWOG S1320 the progression-free survival advantage of continuous dosing did not carry through to survival after progression, which favoured the intermittent arm</w:t>
      </w:r>
      <w:r>
        <w:rPr>
          <w:vertAlign w:val="superscript"/>
        </w:rPr>
        <w:t xml:space="preserve">47</w:t>
      </w:r>
      <w:r>
        <w:t xml:space="preserve">; and in the xenografts the resistant tumours were drug-addicted, regressing on withdrawal rather than merely growing more slowly</w:t>
      </w:r>
      <w:r>
        <w:rPr>
          <w:vertAlign w:val="superscript"/>
        </w:rPr>
        <w:t xml:space="preserve">49</w:t>
      </w:r>
      <w:r>
        <w:t xml:space="preserve">, which is the extreme of the fitness cost that the second mechanism here represents.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Cells draw their interdivision times independently, so cell-cycle duration is not inherited, and every fate correlation between related cells in these simulations is carried by the inherited promoter state. That is a real restriction and not only a simplification. Cell-cycle duration is heritable over several generations in mammalian cells, and its inheritance alone produces strong correlations between cousins and second cousins even where mother-daughter correlations are weak</w:t>
      </w:r>
      <w:r>
        <w:rPr>
          <w:vertAlign w:val="superscript"/>
        </w:rPr>
        <w:t xml:space="preserve">44–46</w:t>
      </w:r>
      <w:r>
        <w:t xml:space="preserve">; combined with a cycle-gated hazard it is a complete competing explanation for the second-cousin fate correlations that the calibration in Fig. 7 reproduces, and the model as built cannot generate it, so the fit has no choice but to load all of that correlation onto expression memory. Chromatin states or cycle timing with their own inheritance rules would let the two be separated, and are the extension this points to.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Two things about that model should be read with care. Lesions are not a state variable: they are assumed to form in proportion to dose and to be repaired immediately, so</w:t>
      </w:r>
      <w:r>
        <w:t xml:space="preserve"> </w:t>
      </w:r>
      <w:r>
        <w:t xml:space="preserve">“</w:t>
      </w:r>
      <w:r>
        <w:t xml:space="preserve">one molecule per lesion</w:t>
      </w:r>
      <w:r>
        <w:t xml:space="preserve">”</w:t>
      </w:r>
      <w:r>
        <w:t xml:space="preserve"> </w:t>
      </w:r>
      <w:r>
        <w:t xml:space="preserve">enters only through the consumption rate and no unrepaired damage accumulates. And the rate constant of that consumption was set so that the initial consumption rate at the standard bolus peak matches the first-order parameterisation it replaces, which makes the two mechanisms comparable but leaves the constant itself unmeasured; bulk depletion time-courses in blood cells and in tumour tissue exist</w:t>
      </w:r>
      <w:r>
        <w:rPr>
          <w:vertAlign w:val="superscript"/>
        </w:rPr>
        <w:t xml:space="preserve">54–56</w:t>
      </w:r>
      <w:r>
        <w:t xml:space="preserve"> </w:t>
      </w:r>
      <w:r>
        <w:t xml:space="preserve">and bound it loosely, and that is why we name the per-lesion constant as the quantity that separates the regimens. MGMT is in any case only one determinant of a temozolomide response that is also mismatch-repair-dependent, and the 1% and 30% expressing fractions are illustrative values that bracket low and high expression rather than measured quantities: promoter methylation shifts expression as a graded quantity across cells rather than switching a discrete subpopulation on, and the dose-dense prediction rests entirely on this two-state idealisation.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the spatial half of that list is the province of agent-based tumour simulators such as PhysiCell and PhysiBoSS</w:t>
      </w:r>
      <w:r>
        <w:rPr>
          <w:vertAlign w:val="superscript"/>
        </w:rPr>
        <w:t xml:space="preserve">31,32</w:t>
      </w:r>
      <w:r>
        <w:t xml:space="preserve">, which model tissue mechanics and microenvironment but not stochastic transcription in dividing cells, so the two are complementary rather than competing.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29"/>
    <w:bookmarkStart w:id="47" w:name="methods"/>
    <w:p>
      <w:pPr>
        <w:pStyle w:val="Heading1"/>
      </w:pPr>
      <w:r>
        <w:t xml:space="preserve">Methods</w:t>
      </w:r>
    </w:p>
    <w:bookmarkStart w:id="30"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endChr m:val=")"/>
                  <m:sep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d>
          <m:dPr>
            <m:begChr m:val="("/>
            <m:endChr m:val=")"/>
            <m:sepChr m:val=""/>
            <m:grow/>
          </m:dPr>
          <m:e>
            <m:r>
              <m:t>1</m:t>
            </m:r>
            <m:r>
              <m:rPr>
                <m:sty m:val="p"/>
              </m:rPr>
              <m:t>−</m:t>
            </m:r>
            <m:r>
              <m:t>b</m:t>
            </m:r>
          </m:e>
        </m:d>
        <m:r>
          <m:t>F</m:t>
        </m:r>
        <m:d>
          <m:dPr>
            <m:begChr m:val="("/>
            <m:endChr m:val=")"/>
            <m:sepChr m:val=""/>
            <m:grow/>
          </m:dPr>
          <m:e>
            <m:r>
              <m:rPr>
                <m:sty m:val="b"/>
              </m:rPr>
              <m:t>c</m:t>
            </m:r>
          </m:e>
        </m:d>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d>
          <m:dPr>
            <m:begChr m:val="("/>
            <m:endChr m:val=")"/>
            <m:sepChr m:val=""/>
            <m:grow/>
          </m:dPr>
          <m:e>
            <m:sSubSup>
              <m:e>
                <m:r>
                  <m:t>K</m:t>
                </m:r>
              </m:e>
              <m:sub>
                <m:r>
                  <m:t>j</m:t>
                </m:r>
              </m:sub>
              <m:sup>
                <m:sSub>
                  <m:e>
                    <m:r>
                      <m:t>n</m:t>
                    </m:r>
                  </m:e>
                  <m:sub>
                    <m:r>
                      <m:t>j</m:t>
                    </m:r>
                  </m:sub>
                </m:sSub>
              </m:sup>
            </m:sSubSup>
            <m:r>
              <m:rPr>
                <m:sty m:val="p"/>
              </m:rPr>
              <m:t>+</m:t>
            </m:r>
            <m:sSubSup>
              <m:e>
                <m:r>
                  <m:t>c</m:t>
                </m:r>
              </m:e>
              <m:sub>
                <m:r>
                  <m:t>j</m:t>
                </m:r>
              </m:sub>
              <m:sup>
                <m:sSub>
                  <m:e>
                    <m:r>
                      <m:t>n</m:t>
                    </m:r>
                  </m:e>
                  <m:sub>
                    <m:r>
                      <m:t>j</m:t>
                    </m:r>
                  </m:sub>
                </m:sSub>
              </m:sup>
            </m:sSubSup>
          </m:e>
        </m:d>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h</m:t>
                    </m:r>
                  </m:e>
                  <m:sub>
                    <m:r>
                      <m:t>j</m:t>
                    </m:r>
                  </m:sub>
                </m:sSub>
              </m:e>
            </m:d>
          </m:e>
        </m:nary>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30"/>
    <w:bookmarkStart w:id="31"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57</w:t>
      </w:r>
      <w:r>
        <w:t xml:space="preserve"> </w:t>
      </w:r>
      <w:r>
        <w:t xml:space="preserve">with propensities updated through a species-reaction dependency graph; fixed-step Poisson tau-leaping</w:t>
      </w:r>
      <w:r>
        <w:rPr>
          <w:vertAlign w:val="superscript"/>
        </w:rPr>
        <w:t xml:space="preserve">58</w:t>
      </w:r>
      <w:r>
        <w:t xml:space="preserve">; a hybrid scheme in which a leap that would drive any species negative is discarded and that interval is simulated exactly instead (the</w:t>
      </w:r>
      <w:r>
        <w:t xml:space="preserve"> </w:t>
      </w:r>
      <w:r>
        <w:t xml:space="preserve">“</w:t>
      </w:r>
      <w:r>
        <w:t xml:space="preserve">switching</w:t>
      </w:r>
      <w:r>
        <w:t xml:space="preserve">”</w:t>
      </w:r>
      <w:r>
        <w:t xml:space="preserve"> </w:t>
      </w:r>
      <w:r>
        <w:t xml:space="preserve">scheme of version 1, with the discarded interval resolved exactly rather than clipped); and adaptive tau-leaping with the step-size selection of</w:t>
      </w:r>
      <w:r>
        <w:rPr>
          <w:vertAlign w:val="superscript"/>
        </w:rPr>
        <w:t xml:space="preserve">59</w:t>
      </w:r>
      <w:r>
        <w:t xml:space="preserve"> </w:t>
      </w:r>
      <w:r>
        <w:t xml:space="preserve">and the critical-reaction partition of</w:t>
      </w:r>
      <w:r>
        <w:rPr>
          <w:vertAlign w:val="superscript"/>
        </w:rPr>
        <w:t xml:space="preserve">60</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31"/>
    <w:bookmarkStart w:id="32"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ty m:val="p"/>
            <m:scr m:val="script"/>
          </m:rPr>
          <m:t>N</m:t>
        </m:r>
        <m:d>
          <m:dPr>
            <m:begChr m:val="("/>
            <m:endChr m:val=")"/>
            <m:sepChr m:val=""/>
            <m:grow/>
          </m:dPr>
          <m:e>
            <m:r>
              <m:t>0.5</m:t>
            </m:r>
            <m:r>
              <m:rPr>
                <m:sty m:val="p"/>
              </m:rPr>
              <m:t>,</m:t>
            </m:r>
            <m:sSup>
              <m:e>
                <m:r>
                  <m:t>σ</m:t>
                </m:r>
              </m:e>
              <m:sup>
                <m:r>
                  <m:t>2</m:t>
                </m:r>
              </m:sup>
            </m:sSup>
          </m:e>
        </m:d>
      </m:oMath>
      <w:r>
        <w:t xml:space="preserve"> </w:t>
      </w:r>
      <w:r>
        <w:t xml:space="preserve">(clipped to</w:t>
      </w:r>
      <w:r>
        <w:t xml:space="preserve"> </w:t>
      </w:r>
      <m:oMath>
        <m:d>
          <m:dPr>
            <m:begChr m:val="["/>
            <m:endChr m:val="]"/>
            <m:sepChr m:val=""/>
            <m:grow/>
          </m:dPr>
          <m:e>
            <m:r>
              <m:t>0.05</m:t>
            </m:r>
            <m:r>
              <m:rPr>
                <m:sty m:val="p"/>
              </m:rPr>
              <m:t>,</m:t>
            </m:r>
            <m:r>
              <m:t>0.95</m:t>
            </m:r>
          </m:e>
        </m:d>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32"/>
    <w:bookmarkStart w:id="33" w:name="drug-and-perturbation-layer"/>
    <w:p>
      <w:pPr>
        <w:pStyle w:val="Heading2"/>
      </w:pPr>
      <w:r>
        <w:t xml:space="preserve">Drug and perturbation layer</w:t>
      </w:r>
    </w:p>
    <w:p>
      <w:pPr>
        <w:pStyle w:val="FirstParagraph"/>
      </w:pPr>
      <w:r>
        <w:t xml:space="preserve">A perturbation combines a dose schedule</w:t>
      </w:r>
      <w:r>
        <w:t xml:space="preserve"> </w:t>
      </w:r>
      <m:oMath>
        <m:r>
          <m:t>d</m:t>
        </m:r>
        <m:d>
          <m:dPr>
            <m:begChr m:val="("/>
            <m:endChr m:val=")"/>
            <m:sepChr m:val=""/>
            <m:grow/>
          </m:dPr>
          <m:e>
            <m:r>
              <m:t>t</m:t>
            </m:r>
          </m:e>
        </m:d>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t>Δ</m:t>
            </m:r>
            <m:r>
              <m:t>t</m:t>
            </m:r>
          </m:sup>
        </m:sSup>
      </m:oMath>
      <w:r>
        <w:t xml:space="preserve">); growth inhibition by</w:t>
      </w:r>
      <w:r>
        <w:t xml:space="preserve"> </w:t>
      </w:r>
      <m:oMath>
        <m:r>
          <m:t>1</m:t>
        </m:r>
        <m:r>
          <m:rPr>
            <m:sty m:val="p"/>
          </m:rPr>
          <m:t>/</m:t>
        </m:r>
        <m:d>
          <m:dPr>
            <m:begChr m:val="("/>
            <m:endChr m:val=")"/>
            <m:sepChr m:val=""/>
            <m:grow/>
          </m:dPr>
          <m:e>
            <m:r>
              <m:t>1</m:t>
            </m:r>
            <m:r>
              <m:rPr>
                <m:sty m:val="p"/>
              </m:rPr>
              <m:t>+</m:t>
            </m:r>
            <m:sSup>
              <m:e>
                <m:d>
                  <m:dPr>
                    <m:begChr m:val="("/>
                    <m:endChr m:val=")"/>
                    <m:sepChr m:val=""/>
                    <m:grow/>
                  </m:dPr>
                  <m:e>
                    <m:r>
                      <m:t>d</m:t>
                    </m:r>
                    <m:r>
                      <m:rPr>
                        <m:sty m:val="p"/>
                      </m:rPr>
                      <m:t>/</m:t>
                    </m:r>
                    <m:sSub>
                      <m:e>
                        <m:r>
                          <m:rPr>
                            <m:sty m:val="p"/>
                          </m:rPr>
                          <m:t>I</m:t>
                        </m:r>
                        <m:r>
                          <m:rPr>
                            <m:sty m:val="p"/>
                          </m:rPr>
                          <m:t>C</m:t>
                        </m:r>
                      </m:e>
                      <m:sub>
                        <m:r>
                          <m:t>50</m:t>
                        </m:r>
                      </m:sub>
                    </m:sSub>
                  </m:e>
                </m:d>
              </m:e>
              <m:sup>
                <m:r>
                  <m:t>m</m:t>
                </m:r>
              </m:sup>
            </m:sSup>
          </m:e>
        </m:d>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d>
          <m:dPr>
            <m:begChr m:val="("/>
            <m:endChr m:val=")"/>
            <m:sepChr m:val=""/>
            <m:grow/>
          </m:dPr>
          <m:e>
            <m:sSup>
              <m:e>
                <m:r>
                  <m:t>K</m:t>
                </m:r>
              </m:e>
              <m:sup>
                <m:r>
                  <m:t>q</m:t>
                </m:r>
              </m:sup>
            </m:sSup>
            <m:r>
              <m:rPr>
                <m:sty m:val="p"/>
              </m:rPr>
              <m:t>+</m:t>
            </m:r>
            <m:sSubSup>
              <m:e>
                <m:r>
                  <m:t>c</m:t>
                </m:r>
              </m:e>
              <m:sub>
                <m:r>
                  <m:t>P</m:t>
                </m:r>
              </m:sub>
              <m:sup>
                <m:r>
                  <m:t> </m:t>
                </m:r>
                <m:r>
                  <m:t>q</m:t>
                </m:r>
              </m:sup>
            </m:sSubSup>
          </m:e>
        </m:d>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d>
            <m:dPr>
              <m:begChr m:val="("/>
              <m:endChr m:val=")"/>
              <m:sepChr m:val=""/>
              <m:grow/>
            </m:dPr>
            <m:e>
              <m:r>
                <m:t>1</m:t>
              </m:r>
              <m:r>
                <m:rPr>
                  <m:sty m:val="p"/>
                </m:rPr>
                <m:t>−</m:t>
              </m:r>
              <m:r>
                <m:t>β</m:t>
              </m:r>
            </m:e>
          </m:d>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cell’s progress through its division cycle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33"/>
    <w:bookmarkStart w:id="34"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61</w:t>
      </w:r>
      <w:r>
        <w:t xml:space="preserve">, the variance of clone-mean expression divided by its permutation-null expectation.</w:t>
      </w:r>
    </w:p>
    <w:bookmarkEnd w:id="34"/>
    <w:bookmarkStart w:id="35"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35"/>
    <w:bookmarkStart w:id="36"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34</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62</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43</w:t>
      </w:r>
      <w:r>
        <w:t xml:space="preserve">.</w:t>
      </w:r>
    </w:p>
    <w:bookmarkEnd w:id="36"/>
    <w:bookmarkStart w:id="37"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rPr>
          <w:vertAlign w:val="superscript"/>
        </w:rP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37"/>
    <w:bookmarkStart w:id="38"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48</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rPr>
          <w:vertAlign w:val="superscript"/>
        </w:rPr>
        <w:t xml:space="preserve">63,64</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rPr>
          <w:vertAlign w:val="superscript"/>
        </w:rPr>
        <w:t xml:space="preserve">64</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rPr>
          <w:vertAlign w:val="superscript"/>
        </w:rPr>
        <w:t xml:space="preserve">2</w:t>
      </w:r>
      <w:r>
        <w:t xml:space="preserve"> </w:t>
      </w:r>
      <w:r>
        <w:t xml:space="preserve">used as a proxy for the functional pre-resistant fraction, which is not the same quantity), with a memory of five net doublings (the model’s generation is the net doubling of the tumour, a modelling choice rather than the cell-division-counted memory of memory sequencing</w:t>
      </w:r>
      <w:r>
        <w:rPr>
          <w:vertAlign w:val="superscript"/>
        </w:rPr>
        <w:t xml:space="preserve">61</w:t>
      </w:r>
      <w:r>
        <w:t xml:space="preserve">) 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49</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rPr>
          <w:vertAlign w:val="superscript"/>
        </w:rPr>
        <w:t xml:space="preserve">52</w:t>
      </w:r>
      <w:r>
        <w:t xml:space="preserve"> </w:t>
      </w:r>
      <w:r>
        <w:t xml:space="preserve">(a plasma value from a three-compartment study; the brain-tumour compartment sees roughly a fifth of the plasma exposure with slower kinetics, so this is a surrogate), the regimens of RTOG 0525</w:t>
      </w:r>
      <w:r>
        <w:rPr>
          <w:vertAlign w:val="superscript"/>
        </w:rPr>
        <w:t xml:space="preserve">51</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the dose-scaled first-order degradation used in an earlier version of this model, which isolates the consequence of letting depletion follow the cumulative exposure instead of the peak concentration; this is the suicide-enzyme behaviour that motivated dose-dense schedules.</w:t>
      </w:r>
    </w:p>
    <w:bookmarkEnd w:id="38"/>
    <w:bookmarkStart w:id="39"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39"/>
    <w:bookmarkStart w:id="40"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65,66</w:t>
      </w:r>
      <w:r>
        <w:t xml:space="preserve">), by agreement between kernels, and by a two-sample comparison against JumpProcesses.jl</w:t>
      </w:r>
      <w:r>
        <w:rPr>
          <w:vertAlign w:val="superscript"/>
        </w:rPr>
        <w:t xml:space="preserve">67</w:t>
      </w:r>
      <w:r>
        <w:t xml:space="preserve"> </w:t>
      </w:r>
      <w:r>
        <w:t xml:space="preserve">on the same model.</w:t>
      </w:r>
    </w:p>
    <w:p>
      <w:pPr>
        <w:pStyle w:val="BodyText"/>
      </w:pPr>
      <w:r>
        <w:t xml:space="preserve">The population and lineage layers were then validated against exact solutions for growing, dividing populations, which exist for this class of model and take different forms for a single lineage and for a population snapshot</w:t>
      </w:r>
      <w:r>
        <w:rPr>
          <w:vertAlign w:val="superscript"/>
        </w:rPr>
        <w:t xml:space="preserve">30,35–37</w:t>
      </w:r>
      <w:r>
        <w:t xml:space="preserve">. Four analytically solvable members of that class were simulated in both modes: constitutive production, production in bursts of fixed size, and a two-state promoter, each with a memoryless interdivision time; and volume-scaled synthesis from a gene that replicates at mid-cycle, with a deterministic cycle and exponential volume growth. Single lineages were generated with a mother-machine population control that keeps one daughter at random at every division, so that the recorded cells are independent; population snapshots were generated by free branching growth with uniform subsampling, which preserves the snapshot distribution. For the memoryless models the exact stationary law of the scheme the simulator runs is the leading eigenvector of one update step, exact kinetics over</w:t>
      </w:r>
      <w:r>
        <w:t xml:space="preserve"> </w:t>
      </w:r>
      <m:oMath>
        <m:r>
          <m:t>d</m:t>
        </m:r>
        <m:r>
          <m:t>t</m:t>
        </m:r>
      </m:oMath>
      <w:r>
        <w:t xml:space="preserve"> </w:t>
      </w:r>
      <w:r>
        <w:t xml:space="preserve">followed by division with probability</w:t>
      </w:r>
      <w:r>
        <w:t xml:space="preserve"> </w:t>
      </w:r>
      <m:oMath>
        <m:r>
          <m:t>1</m:t>
        </m:r>
        <m:r>
          <m:rPr>
            <m:sty m:val="p"/>
          </m:rPr>
          <m:t>−</m:t>
        </m:r>
        <m:sSup>
          <m:e>
            <m:r>
              <m:rPr>
                <m:sty m:val="p"/>
              </m:rPr>
              <m:t>e</m:t>
            </m:r>
          </m:e>
          <m:sup>
            <m:r>
              <m:rPr>
                <m:sty m:val="p"/>
              </m:rPr>
              <m:t>−</m:t>
            </m:r>
            <m:r>
              <m:t>d</m:t>
            </m:r>
            <m:r>
              <m:t>t</m:t>
            </m:r>
            <m:r>
              <m:rPr>
                <m:sty m:val="p"/>
              </m:rPr>
              <m:t>/</m:t>
            </m:r>
            <m:r>
              <m:t>T</m:t>
            </m:r>
          </m:sup>
        </m:sSup>
      </m:oMath>
      <w:r>
        <w:t xml:space="preserve">, with the division operator carrying a factor of two in the population mode; it was computed by matrix exponentiation and checked against the closed-form factorial moments, and the step size was scanned to show the discretisation of the interdivision time vanishing. For the replication model the count distribution at every cycle phase is exactly Poisson, and the cycle-phase weights of the population were obtained by iterating the age map of the scheme from the founder ages used, so that no assumption about convergence to a stable age distribution enters. Each simulated distribution was compared with the exact law of its own mode and with that of the other mode, the second as a check that the comparison can tell them apart (Supplementary Note 14). Population-level properties were compared with the analytic expectations for cell-size scaling and concentration homeostasis</w:t>
      </w:r>
      <w:r>
        <w:rPr>
          <w:vertAlign w:val="superscript"/>
        </w:rPr>
        <w:t xml:space="preserve">27</w:t>
      </w:r>
      <w:r>
        <w:t xml:space="preserve">, partitioning noise</w:t>
      </w:r>
      <w:r>
        <w:rPr>
          <w:vertAlign w:val="superscript"/>
        </w:rPr>
        <w:t xml:space="preserve">68</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42</w:t>
      </w:r>
      <w:r>
        <w:t xml:space="preserve"> </w:t>
      </w:r>
      <w:r>
        <w:t xml:space="preserve">and</w:t>
      </w:r>
      <w:r>
        <w:rPr>
          <w:vertAlign w:val="superscript"/>
        </w:rPr>
        <w:t xml:space="preserve">9</w:t>
      </w:r>
      <w:r>
        <w:t xml:space="preserve">, and with the phenotypic-selection model of</w:t>
      </w:r>
      <w:r>
        <w:rPr>
          <w:vertAlign w:val="superscript"/>
        </w:rPr>
        <w:t xml:space="preserve">41</w:t>
      </w:r>
      <w:r>
        <w:t xml:space="preserve">. All scripts, seeds and outputs are in the</w:t>
      </w:r>
      <w:r>
        <w:t xml:space="preserve"> </w:t>
      </w:r>
      <w:r>
        <w:rPr>
          <w:rStyle w:val="VerbatimChar"/>
        </w:rPr>
        <w:t xml:space="preserve">paper/</w:t>
      </w:r>
      <w:r>
        <w:t xml:space="preserve"> </w:t>
      </w:r>
      <w:r>
        <w:t xml:space="preserve">directory of the repository.</w:t>
      </w:r>
    </w:p>
    <w:bookmarkEnd w:id="40"/>
    <w:bookmarkStart w:id="41"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at the middle of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41"/>
    <w:bookmarkStart w:id="42"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42"/>
    <w:bookmarkStart w:id="43"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model is not an author, in keeping with journal policy on generative artificial intelligence.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43"/>
    <w:bookmarkStart w:id="44"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software release.</w:t>
      </w:r>
    </w:p>
    <w:bookmarkEnd w:id="44"/>
    <w:bookmarkStart w:id="45"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timings of Supplementary Table 3, are in</w:t>
      </w:r>
      <w:r>
        <w:t xml:space="preserve"> </w:t>
      </w:r>
      <w:r>
        <w:rPr>
          <w:rStyle w:val="VerbatimChar"/>
        </w:rPr>
        <w:t xml:space="preserve">paper/README.md</w:t>
      </w:r>
      <w:r>
        <w:t xml:space="preserve">.</w:t>
      </w:r>
    </w:p>
    <w:bookmarkEnd w:id="45"/>
    <w:bookmarkStart w:id="46"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69</w:t>
      </w:r>
      <w:r>
        <w:t xml:space="preserve">, MAGIC</w:t>
      </w:r>
      <w:r>
        <w:rPr>
          <w:vertAlign w:val="superscript"/>
        </w:rPr>
        <w:t xml:space="preserve">70</w:t>
      </w:r>
      <w:r>
        <w:t xml:space="preserve"> </w:t>
      </w:r>
      <w:r>
        <w:t xml:space="preserve">and kNN-smoothing</w:t>
      </w:r>
      <w:r>
        <w:rPr>
          <w:vertAlign w:val="superscript"/>
        </w:rPr>
        <w:t xml:space="preserve">71</w:t>
      </w:r>
      <w:r>
        <w:t xml:space="preserve">. The test suite (Aqua quality checks and statistical tests) runs under GitHub Actions on Julia 1.10 and the latest release.</w:t>
      </w:r>
    </w:p>
    <w:bookmarkEnd w:id="46"/>
    <w:bookmarkEnd w:id="47"/>
    <w:bookmarkStart w:id="72" w:name="figure-legends"/>
    <w:p>
      <w:pPr>
        <w:pStyle w:val="Heading1"/>
      </w:pPr>
      <w:r>
        <w:t xml:space="preserve">Figure legends</w:t>
      </w:r>
    </w:p>
    <w:p>
      <w:pPr>
        <w:pStyle w:val="FirstParagraph"/>
      </w:pPr>
      <w:r>
        <w:drawing>
          <wp:inline>
            <wp:extent cx="5334000" cy="3630083"/>
            <wp:effectExtent b="0" l="0" r="0" t="0"/>
            <wp:docPr descr="" title="" id="49" name="Picture"/>
            <a:graphic>
              <a:graphicData uri="http://schemas.openxmlformats.org/drawingml/2006/picture">
                <pic:pic>
                  <pic:nvPicPr>
                    <pic:cNvPr descr="fig1_framework.png" id="50" name="Picture"/>
                    <pic:cNvPicPr>
                      <a:picLocks noChangeArrowheads="1" noChangeAspect="1"/>
                    </pic:cNvPicPr>
                  </pic:nvPicPr>
                  <pic:blipFill>
                    <a:blip r:embed="rId48"/>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Cs/>
          <w:b/>
        </w:rPr>
        <w:t xml:space="preserve">Fig. 1 | The Biomodelling.jl 2.0 framework.</w:t>
      </w:r>
      <w:r>
        <w:t xml:space="preserve"> </w:t>
      </w:r>
      <w:r>
        <w:rPr>
          <w:bCs/>
          <w:b/>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Cs/>
          <w:b/>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Cs/>
          <w:b/>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Cs/>
          <w:b/>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Cs/>
          <w:b/>
        </w:rPr>
        <w:t xml:space="preserve">e</w:t>
      </w:r>
      <w:r>
        <w:t xml:space="preserve">, A complete experiment in twelve lines of code.</w:t>
      </w:r>
    </w:p>
    <w:p>
      <w:pPr>
        <w:pStyle w:val="BodyText"/>
      </w:pPr>
      <w:r>
        <w:drawing>
          <wp:inline>
            <wp:extent cx="5334000" cy="3389118"/>
            <wp:effectExtent b="0" l="0" r="0" t="0"/>
            <wp:docPr descr="" title="" id="52" name="Picture"/>
            <a:graphic>
              <a:graphicData uri="http://schemas.openxmlformats.org/drawingml/2006/picture">
                <pic:pic>
                  <pic:nvPicPr>
                    <pic:cNvPr descr="fig2_engine.png" id="53" name="Picture"/>
                    <pic:cNvPicPr>
                      <a:picLocks noChangeArrowheads="1" noChangeAspect="1"/>
                    </pic:cNvPicPr>
                  </pic:nvPicPr>
                  <pic:blipFill>
                    <a:blip r:embed="rId51"/>
                    <a:stretch>
                      <a:fillRect/>
                    </a:stretch>
                  </pic:blipFill>
                  <pic:spPr bwMode="auto">
                    <a:xfrm>
                      <a:off x="0" y="0"/>
                      <a:ext cx="5334000" cy="3389118"/>
                    </a:xfrm>
                    <a:prstGeom prst="rect">
                      <a:avLst/>
                    </a:prstGeom>
                    <a:noFill/>
                    <a:ln w="9525">
                      <a:noFill/>
                      <a:headEnd/>
                      <a:tailEnd/>
                    </a:ln>
                  </pic:spPr>
                </pic:pic>
              </a:graphicData>
            </a:graphic>
          </wp:inline>
        </w:drawing>
      </w:r>
    </w:p>
    <w:p>
      <w:pPr>
        <w:pStyle w:val="BodyText"/>
      </w:pPr>
      <w:r>
        <w:rPr>
          <w:bCs/>
          <w:b/>
        </w:rPr>
        <w:t xml:space="preserve">Fig. 2 | The engine matches exact laws and an independent implementation.</w:t>
      </w:r>
      <w:r>
        <w:t xml:space="preserve"> </w:t>
      </w:r>
      <w:r>
        <w:rPr>
          <w:bCs/>
          <w:b/>
        </w:rPr>
        <w:t xml:space="preserve">a</w:t>
      </w:r>
      <w:r>
        <w:t xml:space="preserve">, Stationary distribution of a birth-death process (bars, 50,000 simulated cells; line, Poisson law).</w:t>
      </w:r>
      <w:r>
        <w:t xml:space="preserve"> </w:t>
      </w:r>
      <w:r>
        <w:rPr>
          <w:bCs/>
          <w:b/>
        </w:rPr>
        <w:t xml:space="preserve">b</w:t>
      </w:r>
      <w:r>
        <w:t xml:space="preserve">, Telegraph model in an intermediate and a bursty regime against the Beta-Poisson law.</w:t>
      </w:r>
      <w:r>
        <w:t xml:space="preserve"> </w:t>
      </w:r>
      <w:r>
        <w:rPr>
          <w:bCs/>
          <w:b/>
        </w:rPr>
        <w:t xml:space="preserve">c</w:t>
      </w:r>
      <w:r>
        <w:t xml:space="preserve">, Bursty protein production against the negative binomial.</w:t>
      </w:r>
      <w:r>
        <w:t xml:space="preserve"> </w:t>
      </w:r>
      <w:r>
        <w:rPr>
          <w:bCs/>
          <w:b/>
        </w:rPr>
        <w:t xml:space="preserve">d</w:t>
      </w:r>
      <w:r>
        <w:t xml:space="preserve">, Kolmogorov-Smirnov distance to the exact law for every kernel (n = 20,000; dotted line, 99% critical value) with wall-clock time per 10⁴ cells.</w:t>
      </w:r>
      <w:r>
        <w:t xml:space="preserve"> </w:t>
      </w:r>
      <w:r>
        <w:rPr>
          <w:bCs/>
          <w:b/>
        </w:rPr>
        <w:t xml:space="preserve">e</w:t>
      </w:r>
      <w:r>
        <w:t xml:space="preserve">, Telegraph model simulated with Biomodelling.jl and with JumpProcesses.jl on the same model; the two-sample Kolmogorov-Smirnov statistic lies below its 99% critical value.</w:t>
      </w:r>
      <w:r>
        <w:t xml:space="preserve"> </w:t>
      </w:r>
      <w:r>
        <w:rPr>
          <w:bCs/>
          <w:b/>
        </w:rPr>
        <w:t xml:space="preserve">f</w:t>
      </w:r>
      <w:r>
        <w:t xml:space="preserve">, Runtime of population simulations against the number of cells (10 genes) and genes (1,000 cells) for the exact and hybrid kernels.</w:t>
      </w:r>
    </w:p>
    <w:p>
      <w:pPr>
        <w:pStyle w:val="BodyText"/>
      </w:pPr>
      <w:r>
        <w:drawing>
          <wp:inline>
            <wp:extent cx="5334000" cy="3916386"/>
            <wp:effectExtent b="0" l="0" r="0" t="0"/>
            <wp:docPr descr="" title="" id="55" name="Picture"/>
            <a:graphic>
              <a:graphicData uri="http://schemas.openxmlformats.org/drawingml/2006/picture">
                <pic:pic>
                  <pic:nvPicPr>
                    <pic:cNvPr descr="fig3_growth.png" id="56" name="Picture"/>
                    <pic:cNvPicPr>
                      <a:picLocks noChangeArrowheads="1" noChangeAspect="1"/>
                    </pic:cNvPicPr>
                  </pic:nvPicPr>
                  <pic:blipFill>
                    <a:blip r:embed="rId54"/>
                    <a:stretch>
                      <a:fillRect/>
                    </a:stretch>
                  </pic:blipFill>
                  <pic:spPr bwMode="auto">
                    <a:xfrm>
                      <a:off x="0" y="0"/>
                      <a:ext cx="5334000" cy="3916386"/>
                    </a:xfrm>
                    <a:prstGeom prst="rect">
                      <a:avLst/>
                    </a:prstGeom>
                    <a:noFill/>
                    <a:ln w="9525">
                      <a:noFill/>
                      <a:headEnd/>
                      <a:tailEnd/>
                    </a:ln>
                  </pic:spPr>
                </pic:pic>
              </a:graphicData>
            </a:graphic>
          </wp:inline>
        </w:drawing>
      </w:r>
    </w:p>
    <w:p>
      <w:pPr>
        <w:pStyle w:val="BodyText"/>
      </w:pPr>
      <w:r>
        <w:rPr>
          <w:bCs/>
          <w:b/>
        </w:rPr>
        <w:t xml:space="preserve">Fig. 3 | Growth, division and partitioning generate memory, size scaling and cell-cycle effects.</w:t>
      </w:r>
      <w:r>
        <w:t xml:space="preserve"> </w:t>
      </w:r>
      <w:r>
        <w:rPr>
          <w:bCs/>
          <w:b/>
        </w:rPr>
        <w:t xml:space="preserve">a</w:t>
      </w:r>
      <w:r>
        <w:t xml:space="preserve">, A single lineage: volume, mRNA and protein of a slowly switching gene, with the promoter-on state shaded.</w:t>
      </w:r>
      <w:r>
        <w:t xml:space="preserve"> </w:t>
      </w:r>
      <w:r>
        <w:rPr>
          <w:bCs/>
          <w:b/>
        </w:rPr>
        <w:t xml:space="preserve">b</w:t>
      </w:r>
      <w:r>
        <w:t xml:space="preserve">, mRNA count against cell volume for a fast-switching gene without replication (points; line, mean concentration × V) and with gene replication at mid-cycle (binned means).</w:t>
      </w:r>
      <w:r>
        <w:t xml:space="preserve"> </w:t>
      </w:r>
      <w:r>
        <w:rPr>
          <w:bCs/>
          <w:b/>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Cs/>
          <w:b/>
        </w:rPr>
        <w:t xml:space="preserve">d</w:t>
      </w:r>
      <w:r>
        <w:t xml:space="preserve">, Memory timescale against the measured cell-cycle time for two switching rates; dotted lines,</w:t>
      </w:r>
      <w:r>
        <w:t xml:space="preserve"> </w:t>
      </w:r>
      <m:oMath>
        <m:r>
          <m:t>1</m:t>
        </m:r>
        <m:r>
          <m:rPr>
            <m:sty m:val="p"/>
          </m:rPr>
          <m:t>/</m:t>
        </m:r>
        <m:d>
          <m:dPr>
            <m:begChr m:val="("/>
            <m:endChr m:val=")"/>
            <m:sepChr m:val=""/>
            <m:grow/>
          </m:dPr>
          <m:e>
            <m:sSub>
              <m:e>
                <m:r>
                  <m:t>k</m:t>
                </m:r>
              </m:e>
              <m:sub>
                <m:r>
                  <m:rPr>
                    <m:sty m:val="p"/>
                  </m:rPr>
                  <m:t>o</m:t>
                </m:r>
                <m:r>
                  <m:rPr>
                    <m:sty m:val="p"/>
                  </m:rPr>
                  <m:t>n</m:t>
                </m:r>
              </m:sub>
            </m:sSub>
            <m:r>
              <m:rPr>
                <m:sty m:val="p"/>
              </m:rPr>
              <m:t>+</m:t>
            </m:r>
            <m:sSub>
              <m:e>
                <m:r>
                  <m:t>k</m:t>
                </m:r>
              </m:e>
              <m:sub>
                <m:r>
                  <m:rPr>
                    <m:sty m:val="p"/>
                  </m:rPr>
                  <m:t>o</m:t>
                </m:r>
                <m:r>
                  <m:rPr>
                    <m:sty m:val="p"/>
                  </m:rPr>
                  <m:t>f</m:t>
                </m:r>
                <m:r>
                  <m:rPr>
                    <m:sty m:val="p"/>
                  </m:rPr>
                  <m:t>f</m:t>
                </m:r>
              </m:sub>
            </m:sSub>
          </m:e>
        </m:d>
      </m:oMath>
      <w:r>
        <w:t xml:space="preserve">.</w:t>
      </w:r>
      <w:r>
        <w:t xml:space="preserve"> </w:t>
      </w:r>
      <w:r>
        <w:rPr>
          <w:bCs/>
          <w:b/>
        </w:rPr>
        <w:t xml:space="preserve">e</w:t>
      </w:r>
      <w:r>
        <w:t xml:space="preserve">, Squared coefficient of variation of a stable protein’s concentration across the population and along single lineages, for increasing partitioning noise and cell-cycle-time noise.</w:t>
      </w:r>
      <w:r>
        <w:t xml:space="preserve"> </w:t>
      </w:r>
      <w:r>
        <w:rPr>
          <w:bCs/>
          <w:b/>
        </w:rPr>
        <w:t xml:space="preserve">f</w:t>
      </w:r>
      <w:r>
        <w:t xml:space="preserve">, Telegraph parameters fitted to cells before replication (one gene copy), after replication (two copies) and pooled. The transcription rate is plotted per unit cell volume and divided by twenty, so that all three series share an axis and the dotted lines mark the true per-allele values (</w:t>
      </w:r>
      <m:oMath>
        <m:sSub>
          <m:e>
            <m:r>
              <m:t>k</m:t>
            </m:r>
          </m:e>
          <m:sub>
            <m:r>
              <m:rPr>
                <m:sty m:val="p"/>
              </m:rPr>
              <m:t>o</m:t>
            </m:r>
            <m:r>
              <m:rPr>
                <m:sty m:val="p"/>
              </m:rPr>
              <m:t>n</m:t>
            </m:r>
          </m:sub>
        </m:sSub>
        <m:r>
          <m:rPr>
            <m:sty m:val="p"/>
          </m:rPr>
          <m:t>=</m:t>
        </m:r>
        <m:r>
          <m:t>0.5</m:t>
        </m:r>
      </m:oMath>
      <w:r>
        <w:t xml:space="preserve">,</w:t>
      </w:r>
      <w:r>
        <w:t xml:space="preserve"> </w:t>
      </w:r>
      <m:oMath>
        <m:sSub>
          <m:e>
            <m:r>
              <m:t>k</m:t>
            </m:r>
          </m:e>
          <m:sub>
            <m:r>
              <m:rPr>
                <m:sty m:val="p"/>
              </m:rPr>
              <m:t>o</m:t>
            </m:r>
            <m:r>
              <m:rPr>
                <m:sty m:val="p"/>
              </m:rPr>
              <m:t>f</m:t>
            </m:r>
            <m:r>
              <m:rPr>
                <m:sty m:val="p"/>
              </m:rPr>
              <m:t>f</m:t>
            </m:r>
          </m:sub>
        </m:sSub>
        <m:r>
          <m:rPr>
            <m:sty m:val="p"/>
          </m:rPr>
          <m:t>=</m:t>
        </m:r>
        <m:r>
          <m:t>1.5</m:t>
        </m:r>
      </m:oMath>
      <w:r>
        <w:t xml:space="preserve">, and 2 for the scaled transcription rate); the raw fitted transcription rates are in</w:t>
      </w:r>
      <w:r>
        <w:t xml:space="preserve"> </w:t>
      </w:r>
      <w:r>
        <w:rPr>
          <w:rStyle w:val="VerbatimChar"/>
        </w:rPr>
        <w:t xml:space="preserve">fig3f_copynumber.csv</w:t>
      </w:r>
      <w:r>
        <w:t xml:space="preserve">.</w:t>
      </w:r>
    </w:p>
    <w:p>
      <w:pPr>
        <w:pStyle w:val="BodyText"/>
      </w:pPr>
      <w:r>
        <w:drawing>
          <wp:inline>
            <wp:extent cx="5334000" cy="4961953"/>
            <wp:effectExtent b="0" l="0" r="0" t="0"/>
            <wp:docPr descr="" title="" id="58" name="Picture"/>
            <a:graphic>
              <a:graphicData uri="http://schemas.openxmlformats.org/drawingml/2006/picture">
                <pic:pic>
                  <pic:nvPicPr>
                    <pic:cNvPr descr="fig4_persisters.png" id="59" name="Picture"/>
                    <pic:cNvPicPr>
                      <a:picLocks noChangeArrowheads="1" noChangeAspect="1"/>
                    </pic:cNvPicPr>
                  </pic:nvPicPr>
                  <pic:blipFill>
                    <a:blip r:embed="rId57"/>
                    <a:stretch>
                      <a:fillRect/>
                    </a:stretch>
                  </pic:blipFill>
                  <pic:spPr bwMode="auto">
                    <a:xfrm>
                      <a:off x="0" y="0"/>
                      <a:ext cx="5334000" cy="4961953"/>
                    </a:xfrm>
                    <a:prstGeom prst="rect">
                      <a:avLst/>
                    </a:prstGeom>
                    <a:noFill/>
                    <a:ln w="9525">
                      <a:noFill/>
                      <a:headEnd/>
                      <a:tailEnd/>
                    </a:ln>
                  </pic:spPr>
                </pic:pic>
              </a:graphicData>
            </a:graphic>
          </wp:inline>
        </w:drawing>
      </w:r>
    </w:p>
    <w:p>
      <w:pPr>
        <w:pStyle w:val="BodyText"/>
      </w:pPr>
      <w:r>
        <w:rPr>
          <w:bCs/>
          <w:b/>
        </w:rPr>
        <w:t xml:space="preserve">Fig. 4 | A single resistance gene with slow promoter switching reproduces persister biology.</w:t>
      </w:r>
      <w:r>
        <w:t xml:space="preserve"> </w:t>
      </w:r>
      <w:r>
        <w:rPr>
          <w:bCs/>
          <w:b/>
        </w:rPr>
        <w:t xml:space="preserve">a</w:t>
      </w:r>
      <w:r>
        <w:t xml:space="preserve">, Population size under continuous, pulsed and reduced-dose schedules (shading, treatment window).</w:t>
      </w:r>
      <w:r>
        <w:t xml:space="preserve"> </w:t>
      </w:r>
      <w:r>
        <w:rPr>
          <w:bCs/>
          <w:b/>
        </w:rPr>
        <w:t xml:space="preserve">b</w:t>
      </w:r>
      <w:r>
        <w:t xml:space="preserve">, Kill curves at increasing dose.</w:t>
      </w:r>
      <w:r>
        <w:t xml:space="preserve"> </w:t>
      </w:r>
      <w:r>
        <w:rPr>
          <w:bCs/>
          <w:b/>
        </w:rPr>
        <w:t xml:space="preserve">c</w:t>
      </w:r>
      <w:r>
        <w:t xml:space="preserve">, Net population decay rate over the first 30 time units of treatment against dose, with the mean division time of cells born under drug (inset), which is unchanged.</w:t>
      </w:r>
      <w:r>
        <w:t xml:space="preserve"> </w:t>
      </w:r>
      <w:r>
        <w:rPr>
          <w:bCs/>
          <w:b/>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Cs/>
          <w:b/>
        </w:rPr>
        <w:t xml:space="preserve">e</w:t>
      </w:r>
      <w:r>
        <w:t xml:space="preserve">, Effective number of clones (barcodes) before and after drug for pre-existing and drug-induced tolerance (mean ± s.d. of three seeds).</w:t>
      </w:r>
      <w:r>
        <w:t xml:space="preserve"> </w:t>
      </w:r>
      <w:r>
        <w:rPr>
          <w:bCs/>
          <w:b/>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Cs/>
          <w:b/>
        </w:rPr>
        <w:t xml:space="preserve">g</w:t>
      </w:r>
      <w:r>
        <w:t xml:space="preserve">, Fraction of high-expressing cells before, during and after a drug pulse for slow and fast switching.</w:t>
      </w:r>
      <w:r>
        <w:t xml:space="preserve"> </w:t>
      </w:r>
      <w:r>
        <w:rPr>
          <w:bCs/>
          <w:b/>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each cell of the map is the mean of five independent seeds and the box marks the most effective schedule.</w:t>
      </w:r>
    </w:p>
    <w:p>
      <w:pPr>
        <w:pStyle w:val="BodyText"/>
      </w:pPr>
      <w:r>
        <w:drawing>
          <wp:inline>
            <wp:extent cx="5334000" cy="3816125"/>
            <wp:effectExtent b="0" l="0" r="0" t="0"/>
            <wp:docPr descr="" title="" id="61" name="Picture"/>
            <a:graphic>
              <a:graphicData uri="http://schemas.openxmlformats.org/drawingml/2006/picture">
                <pic:pic>
                  <pic:nvPicPr>
                    <pic:cNvPr descr="fig5_benchmarks.png" id="62" name="Picture"/>
                    <pic:cNvPicPr>
                      <a:picLocks noChangeArrowheads="1" noChangeAspect="1"/>
                    </pic:cNvPicPr>
                  </pic:nvPicPr>
                  <pic:blipFill>
                    <a:blip r:embed="rId60"/>
                    <a:stretch>
                      <a:fillRect/>
                    </a:stretch>
                  </pic:blipFill>
                  <pic:spPr bwMode="auto">
                    <a:xfrm>
                      <a:off x="0" y="0"/>
                      <a:ext cx="5334000" cy="3816125"/>
                    </a:xfrm>
                    <a:prstGeom prst="rect">
                      <a:avLst/>
                    </a:prstGeom>
                    <a:noFill/>
                    <a:ln w="9525">
                      <a:noFill/>
                      <a:headEnd/>
                      <a:tailEnd/>
                    </a:ln>
                  </pic:spPr>
                </pic:pic>
              </a:graphicData>
            </a:graphic>
          </wp:inline>
        </w:drawing>
      </w:r>
    </w:p>
    <w:p>
      <w:pPr>
        <w:pStyle w:val="BodyText"/>
      </w:pPr>
      <w:r>
        <w:rPr>
          <w:bCs/>
          <w:b/>
        </w:rPr>
        <w:t xml:space="preserve">Fig. 5 | Ground-truth benchmarks.</w:t>
      </w:r>
      <w:r>
        <w:t xml:space="preserve"> </w:t>
      </w:r>
      <w:r>
        <w:rPr>
          <w:bCs/>
          <w:b/>
        </w:rPr>
        <w:t xml:space="preserve">a</w:t>
      </w:r>
      <w:r>
        <w:t xml:space="preserve">, Clonal variance score against the known memory time of 40 independent genes, from true concentrations and from sequenced counts; dotted line, cell-cycle time.</w:t>
      </w:r>
      <w:r>
        <w:t xml:space="preserve"> </w:t>
      </w:r>
      <w:r>
        <w:rPr>
          <w:bCs/>
          <w:b/>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Cs/>
          <w:b/>
        </w:rPr>
        <w:t xml:space="preserve">c</w:t>
      </w:r>
      <w:r>
        <w:t xml:space="preserve">, Effect of kNN-smoothing and MAGIC imputation before inference.</w:t>
      </w:r>
      <w:r>
        <w:t xml:space="preserve"> </w:t>
      </w:r>
      <w:r>
        <w:rPr>
          <w:bCs/>
          <w:b/>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24320"/>
            <wp:effectExtent b="0" l="0" r="0" t="0"/>
            <wp:docPr descr="" title="" id="64" name="Picture"/>
            <a:graphic>
              <a:graphicData uri="http://schemas.openxmlformats.org/drawingml/2006/picture">
                <pic:pic>
                  <pic:nvPicPr>
                    <pic:cNvPr descr="fig6_inference.png" id="65" name="Picture"/>
                    <pic:cNvPicPr>
                      <a:picLocks noChangeArrowheads="1" noChangeAspect="1"/>
                    </pic:cNvPicPr>
                  </pic:nvPicPr>
                  <pic:blipFill>
                    <a:blip r:embed="rId63"/>
                    <a:stretch>
                      <a:fillRect/>
                    </a:stretch>
                  </pic:blipFill>
                  <pic:spPr bwMode="auto">
                    <a:xfrm>
                      <a:off x="0" y="0"/>
                      <a:ext cx="5334000" cy="5124320"/>
                    </a:xfrm>
                    <a:prstGeom prst="rect">
                      <a:avLst/>
                    </a:prstGeom>
                    <a:noFill/>
                    <a:ln w="9525">
                      <a:noFill/>
                      <a:headEnd/>
                      <a:tailEnd/>
                    </a:ln>
                  </pic:spPr>
                </pic:pic>
              </a:graphicData>
            </a:graphic>
          </wp:inline>
        </w:drawing>
      </w:r>
    </w:p>
    <w:p>
      <w:pPr>
        <w:pStyle w:val="BodyText"/>
      </w:pPr>
      <w:r>
        <w:rPr>
          <w:bCs/>
          <w:b/>
        </w:rPr>
        <w:t xml:space="preserve">Fig. 6 | Inference with the forward model.</w:t>
      </w:r>
      <w:r>
        <w:t xml:space="preserve"> </w:t>
      </w:r>
      <w:r>
        <w:rPr>
          <w:bCs/>
          <w:b/>
        </w:rPr>
        <w:t xml:space="preserve">a</w:t>
      </w:r>
      <w:r>
        <w:t xml:space="preserve">, Posterior distributions of telegraph parameters from ABC-SMC on a snapshot of non-dividing cells, with the truth and the exact maximum-likelihood estimate.</w:t>
      </w:r>
      <w:r>
        <w:t xml:space="preserve"> </w:t>
      </w:r>
      <w:r>
        <w:rPr>
          <w:bCs/>
          <w:b/>
        </w:rPr>
        <w:t xml:space="preserve">b</w:t>
      </w:r>
      <w:r>
        <w:t xml:space="preserve">, The same for a snapshot of a growing and dividing population: the naive telegraph fit is biased while division-aware ABC recovers the truth.</w:t>
      </w:r>
      <w:r>
        <w:t xml:space="preserve"> </w:t>
      </w:r>
      <w:r>
        <w:rPr>
          <w:bCs/>
          <w:b/>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Cs/>
          <w:b/>
        </w:rPr>
        <w:t xml:space="preserve">d</w:t>
      </w:r>
      <w:r>
        <w:t xml:space="preserve">, Posterior predictive kill curves simulated at the posterior median against the observed curve.</w:t>
      </w:r>
    </w:p>
    <w:p>
      <w:pPr>
        <w:pStyle w:val="BodyText"/>
      </w:pPr>
      <w:r>
        <w:drawing>
          <wp:inline>
            <wp:extent cx="5334000" cy="4255692"/>
            <wp:effectExtent b="0" l="0" r="0" t="0"/>
            <wp:docPr descr="" title="" id="67" name="Picture"/>
            <a:graphic>
              <a:graphicData uri="http://schemas.openxmlformats.org/drawingml/2006/picture">
                <pic:pic>
                  <pic:nvPicPr>
                    <pic:cNvPr descr="fig7_calibration.png" id="68" name="Picture"/>
                    <pic:cNvPicPr>
                      <a:picLocks noChangeArrowheads="1" noChangeAspect="1"/>
                    </pic:cNvPicPr>
                  </pic:nvPicPr>
                  <pic:blipFill>
                    <a:blip r:embed="rId66"/>
                    <a:stretch>
                      <a:fillRect/>
                    </a:stretch>
                  </pic:blipFill>
                  <pic:spPr bwMode="auto">
                    <a:xfrm>
                      <a:off x="0" y="0"/>
                      <a:ext cx="5334000" cy="4255692"/>
                    </a:xfrm>
                    <a:prstGeom prst="rect">
                      <a:avLst/>
                    </a:prstGeom>
                    <a:noFill/>
                    <a:ln w="9525">
                      <a:noFill/>
                      <a:headEnd/>
                      <a:tailEnd/>
                    </a:ln>
                  </pic:spPr>
                </pic:pic>
              </a:graphicData>
            </a:graphic>
          </wp:inline>
        </w:drawing>
      </w:r>
    </w:p>
    <w:p>
      <w:pPr>
        <w:pStyle w:val="BodyText"/>
      </w:pPr>
      <w:r>
        <w:rPr>
          <w:bCs/>
          <w:b/>
        </w:rPr>
        <w:t xml:space="preserve">Fig. 7 | Calibration to laboratory time-lapse data and validation on held-out conditions.</w:t>
      </w:r>
      <w:r>
        <w:t xml:space="preserve"> </w:t>
      </w:r>
      <w:r>
        <w:rPr>
          <w:bCs/>
          <w:b/>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Cs/>
          <w:b/>
        </w:rPr>
        <w:t xml:space="preserve">b</w:t>
      </w:r>
      <w:r>
        <w:t xml:space="preserve">, Predicted population size at the three concentrations and at 11.5 µM, from two days before the drug to seven days of exposure.</w:t>
      </w:r>
      <w:r>
        <w:t xml:space="preserve"> </w:t>
      </w:r>
      <w:r>
        <w:rPr>
          <w:bCs/>
          <w:b/>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 That observation is reported graphically in ref.</w:t>
      </w:r>
      <w:r>
        <w:rPr>
          <w:vertAlign w:val="superscript"/>
        </w:rPr>
        <w:t xml:space="preserve">6</w:t>
      </w:r>
      <w:r>
        <w:t xml:space="preserve"> </w:t>
      </w:r>
      <w:r>
        <w:t xml:space="preserve">with no numeric coefficients, so the comparison is of pattern rather than of value.</w:t>
      </w:r>
      <w:r>
        <w:t xml:space="preserve"> </w:t>
      </w:r>
      <w:r>
        <w:rPr>
          <w:bCs/>
          <w:b/>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Cs/>
          <w:b/>
        </w:rPr>
        <w:t xml:space="preserve">e</w:t>
      </w:r>
      <w:r>
        <w:t xml:space="preserve">, Calibration landscape: every parameter set evaluated by the optimiser, coloured by its distance to the training data.</w:t>
      </w:r>
      <w:r>
        <w:t xml:space="preserve"> </w:t>
      </w:r>
      <w:r>
        <w:rPr>
          <w:bCs/>
          <w:b/>
        </w:rPr>
        <w:t xml:space="preserve">f</w:t>
      </w:r>
      <w:r>
        <w:t xml:space="preserve">, Calibrated parameters.</w:t>
      </w:r>
    </w:p>
    <w:p>
      <w:pPr>
        <w:pStyle w:val="BodyText"/>
      </w:pPr>
      <w:r>
        <w:drawing>
          <wp:inline>
            <wp:extent cx="5334000" cy="5440370"/>
            <wp:effectExtent b="0" l="0" r="0" t="0"/>
            <wp:docPr descr="" title="" id="70" name="Picture"/>
            <a:graphic>
              <a:graphicData uri="http://schemas.openxmlformats.org/drawingml/2006/picture">
                <pic:pic>
                  <pic:nvPicPr>
                    <pic:cNvPr descr="fig8_schedules.png" id="71" name="Picture"/>
                    <pic:cNvPicPr>
                      <a:picLocks noChangeArrowheads="1" noChangeAspect="1"/>
                    </pic:cNvPicPr>
                  </pic:nvPicPr>
                  <pic:blipFill>
                    <a:blip r:embed="rId69"/>
                    <a:stretch>
                      <a:fillRect/>
                    </a:stretch>
                  </pic:blipFill>
                  <pic:spPr bwMode="auto">
                    <a:xfrm>
                      <a:off x="0" y="0"/>
                      <a:ext cx="5334000" cy="5440370"/>
                    </a:xfrm>
                    <a:prstGeom prst="rect">
                      <a:avLst/>
                    </a:prstGeom>
                    <a:noFill/>
                    <a:ln w="9525">
                      <a:noFill/>
                      <a:headEnd/>
                      <a:tailEnd/>
                    </a:ln>
                  </pic:spPr>
                </pic:pic>
              </a:graphicData>
            </a:graphic>
          </wp:inline>
        </w:drawing>
      </w:r>
    </w:p>
    <w:p>
      <w:pPr>
        <w:pStyle w:val="BodyText"/>
      </w:pPr>
      <w:r>
        <w:rPr>
          <w:bCs/>
          <w:b/>
        </w:rPr>
        <w:t xml:space="preserve">Fig. 8 | Dose and schedule optimisation against clinical regimens.</w:t>
      </w:r>
      <w:r>
        <w:t xml:space="preserve"> </w:t>
      </w:r>
      <w:r>
        <w:rPr>
          <w:bCs/>
          <w:b/>
        </w:rPr>
        <w:t xml:space="preserve">a</w:t>
      </w:r>
      <w:r>
        <w:t xml:space="preserve">–</w:t>
      </w:r>
      <w:r>
        <w:rPr>
          <w:bCs/>
          <w:b/>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Cs/>
          <w:b/>
        </w:rPr>
        <w:t xml:space="preserve">a</w:t>
      </w:r>
      <w:r>
        <w:t xml:space="preserve">), when resistant cells grow 50% slower in the absence of drug (</w:t>
      </w:r>
      <w:r>
        <w:rPr>
          <w:bCs/>
          <w:b/>
        </w:rPr>
        <w:t xml:space="preserve">b</w:t>
      </w:r>
      <w:r>
        <w:t xml:space="preserve">), and when resistant cells are only partly protected and grow at half speed under drug (</w:t>
      </w:r>
      <w:r>
        <w:rPr>
          <w:bCs/>
          <w:b/>
        </w:rPr>
        <w:t xml:space="preserve">c</w:t>
      </w:r>
      <w:r>
        <w:t xml:space="preserve">); dotted line, 120% of the initial size.</w:t>
      </w:r>
      <w:r>
        <w:t xml:space="preserve"> </w:t>
      </w:r>
      <w:r>
        <w:rPr>
          <w:bCs/>
          <w:b/>
        </w:rPr>
        <w:t xml:space="preserve">d</w:t>
      </w:r>
      <w:r>
        <w:t xml:space="preserve">, Weeks after randomisation until the population exceeds 120% of its pre-treatment size (loss of control; mean ± s.d. of four seeds, censored at 52 weeks).</w:t>
      </w:r>
      <w:r>
        <w:t xml:space="preserve"> </w:t>
      </w:r>
      <w:r>
        <w:rPr>
          <w:bCs/>
          <w:b/>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Cs/>
          <w:b/>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the value of the cerebrospinal-fluid population model; the plasma value is 1.8 h) and stoichiometric consumption of MGMT by the drug, one molecule per lesion repaired, for populations in which 1% (methylated promoter, solid) or 30% (unmethylated, dashed) of cells express MGMT.</w:t>
      </w:r>
      <w:r>
        <w:t xml:space="preserve"> </w:t>
      </w:r>
      <w:r>
        <w:rPr>
          <w:bCs/>
          <w:b/>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Cs/>
          <w:b/>
        </w:rPr>
        <w:t xml:space="preserve">h</w:t>
      </w:r>
      <w:r>
        <w:t xml:space="preserve">, Final population size against the number of dosing days per 28-day cycle at the standard cumulative dose.</w:t>
      </w:r>
    </w:p>
    <w:bookmarkEnd w:id="72"/>
    <w:bookmarkStart w:id="73"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33</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73"/>
    <w:bookmarkStart w:id="74"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74"/>
    <w:bookmarkStart w:id="75" w:name="competing-interests"/>
    <w:p>
      <w:pPr>
        <w:pStyle w:val="Heading1"/>
      </w:pPr>
      <w:r>
        <w:t xml:space="preserve">Competing interests</w:t>
      </w:r>
    </w:p>
    <w:p>
      <w:pPr>
        <w:pStyle w:val="FirstParagraph"/>
      </w:pPr>
      <w:r>
        <w:t xml:space="preserve">The author declares no competing interests.</w:t>
      </w:r>
    </w:p>
    <w:bookmarkEnd w:id="75"/>
    <w:bookmarkStart w:id="76" w:name="additional-information"/>
    <w:p>
      <w:pPr>
        <w:pStyle w:val="Heading1"/>
      </w:pPr>
      <w:r>
        <w:t xml:space="preserve">Additional information</w:t>
      </w:r>
    </w:p>
    <w:p>
      <w:pPr>
        <w:pStyle w:val="FirstParagraph"/>
      </w:pPr>
      <w:r>
        <w:rPr>
          <w:bCs/>
          <w:b/>
        </w:rPr>
        <w:t xml:space="preserve">Supplementary information</w:t>
      </w:r>
      <w:r>
        <w:t xml:space="preserve"> </w:t>
      </w:r>
      <w:r>
        <w:t xml:space="preserve">accompanies this Article. Correspondence and requests for materials should be addressed to A.L.</w:t>
      </w:r>
    </w:p>
    <w:bookmarkEnd w:id="76"/>
    <w:bookmarkStart w:id="220" w:name="references"/>
    <w:p>
      <w:pPr>
        <w:pStyle w:val="Heading1"/>
      </w:pPr>
      <w:r>
        <w:t xml:space="preserve">References</w:t>
      </w:r>
    </w:p>
    <w:bookmarkStart w:id="219" w:name="refs"/>
    <w:bookmarkStart w:id="78" w:name="ref-sharma2010"/>
    <w:p>
      <w:pPr>
        <w:pStyle w:val="Bibliography"/>
      </w:pPr>
      <w:r>
        <w:t xml:space="preserve">1.</w:t>
      </w:r>
      <w:r>
        <w:t xml:space="preserve"> </w:t>
      </w:r>
      <w:r>
        <w:t xml:space="preserve">	</w:t>
      </w:r>
      <w:r>
        <w:t xml:space="preserve">Sharma, S. V.</w:t>
      </w:r>
      <w:r>
        <w:t xml:space="preserve"> </w:t>
      </w:r>
      <w:r>
        <w:rPr>
          <w:iCs/>
          <w:i/>
        </w:rPr>
        <w:t xml:space="preserve">et al.</w:t>
      </w:r>
      <w:r>
        <w:t xml:space="preserve"> </w:t>
      </w:r>
      <w:hyperlink r:id="rId77">
        <w:r>
          <w:rPr>
            <w:rStyle w:val="Hyperlink"/>
          </w:rPr>
          <w:t xml:space="preserve">A chromatin-mediated reversible drug-tolerant state in cancer cell subpopulations</w:t>
        </w:r>
      </w:hyperlink>
      <w:r>
        <w:t xml:space="preserve">.</w:t>
      </w:r>
      <w:r>
        <w:t xml:space="preserve"> </w:t>
      </w:r>
      <w:r>
        <w:rPr>
          <w:iCs/>
          <w:i/>
        </w:rPr>
        <w:t xml:space="preserve">Cell</w:t>
      </w:r>
      <w:r>
        <w:t xml:space="preserve"> </w:t>
      </w:r>
      <w:r>
        <w:rPr>
          <w:bCs/>
          <w:b/>
        </w:rPr>
        <w:t xml:space="preserve">141</w:t>
      </w:r>
      <w:r>
        <w:t xml:space="preserve">, 69–80 (2010).</w:t>
      </w:r>
    </w:p>
    <w:bookmarkEnd w:id="78"/>
    <w:bookmarkStart w:id="80" w:name="ref-shaffer2017"/>
    <w:p>
      <w:pPr>
        <w:pStyle w:val="Bibliography"/>
      </w:pPr>
      <w:r>
        <w:t xml:space="preserve">2.</w:t>
      </w:r>
      <w:r>
        <w:t xml:space="preserve"> </w:t>
      </w:r>
      <w:r>
        <w:t xml:space="preserve">	</w:t>
      </w:r>
      <w:r>
        <w:t xml:space="preserve">Shaffer, S. M.</w:t>
      </w:r>
      <w:r>
        <w:t xml:space="preserve"> </w:t>
      </w:r>
      <w:r>
        <w:rPr>
          <w:iCs/>
          <w:i/>
        </w:rPr>
        <w:t xml:space="preserve">et al.</w:t>
      </w:r>
      <w:r>
        <w:t xml:space="preserve"> </w:t>
      </w:r>
      <w:hyperlink r:id="rId79">
        <w:r>
          <w:rPr>
            <w:rStyle w:val="Hyperlink"/>
          </w:rPr>
          <w:t xml:space="preserve">Rare cell variability and drug-induced reprogramming as a mode of cancer drug resistance</w:t>
        </w:r>
      </w:hyperlink>
      <w:r>
        <w:t xml:space="preserve">.</w:t>
      </w:r>
      <w:r>
        <w:t xml:space="preserve"> </w:t>
      </w:r>
      <w:r>
        <w:rPr>
          <w:iCs/>
          <w:i/>
        </w:rPr>
        <w:t xml:space="preserve">Nature</w:t>
      </w:r>
      <w:r>
        <w:t xml:space="preserve"> </w:t>
      </w:r>
      <w:r>
        <w:rPr>
          <w:bCs/>
          <w:b/>
        </w:rPr>
        <w:t xml:space="preserve">546</w:t>
      </w:r>
      <w:r>
        <w:t xml:space="preserve">, 431–435 (2017).</w:t>
      </w:r>
    </w:p>
    <w:bookmarkEnd w:id="80"/>
    <w:bookmarkStart w:id="82" w:name="ref-hata2016"/>
    <w:p>
      <w:pPr>
        <w:pStyle w:val="Bibliography"/>
      </w:pPr>
      <w:r>
        <w:t xml:space="preserve">3.</w:t>
      </w:r>
      <w:r>
        <w:t xml:space="preserve"> </w:t>
      </w:r>
      <w:r>
        <w:t xml:space="preserve">	</w:t>
      </w:r>
      <w:r>
        <w:t xml:space="preserve">Hata, A. N.</w:t>
      </w:r>
      <w:r>
        <w:t xml:space="preserve"> </w:t>
      </w:r>
      <w:r>
        <w:rPr>
          <w:iCs/>
          <w:i/>
        </w:rPr>
        <w:t xml:space="preserve">et al.</w:t>
      </w:r>
      <w:r>
        <w:t xml:space="preserve"> </w:t>
      </w:r>
      <w:hyperlink r:id="rId81">
        <w:r>
          <w:rPr>
            <w:rStyle w:val="Hyperlink"/>
          </w:rPr>
          <w:t xml:space="preserve">Tumor cells can follow distinct evolutionary paths to become resistant to epidermal growth factor receptor inhibition</w:t>
        </w:r>
      </w:hyperlink>
      <w:r>
        <w:t xml:space="preserve">.</w:t>
      </w:r>
      <w:r>
        <w:t xml:space="preserve"> </w:t>
      </w:r>
      <w:r>
        <w:rPr>
          <w:iCs/>
          <w:i/>
        </w:rPr>
        <w:t xml:space="preserve">Nature Medicine</w:t>
      </w:r>
      <w:r>
        <w:t xml:space="preserve"> </w:t>
      </w:r>
      <w:r>
        <w:rPr>
          <w:bCs/>
          <w:b/>
        </w:rPr>
        <w:t xml:space="preserve">22</w:t>
      </w:r>
      <w:r>
        <w:t xml:space="preserve">, 262–269 (2016).</w:t>
      </w:r>
    </w:p>
    <w:bookmarkEnd w:id="82"/>
    <w:bookmarkStart w:id="84" w:name="ref-oren2021"/>
    <w:p>
      <w:pPr>
        <w:pStyle w:val="Bibliography"/>
      </w:pPr>
      <w:r>
        <w:t xml:space="preserve">4.</w:t>
      </w:r>
      <w:r>
        <w:t xml:space="preserve"> </w:t>
      </w:r>
      <w:r>
        <w:t xml:space="preserve">	</w:t>
      </w:r>
      <w:r>
        <w:t xml:space="preserve">Oren, Y.</w:t>
      </w:r>
      <w:r>
        <w:t xml:space="preserve"> </w:t>
      </w:r>
      <w:r>
        <w:rPr>
          <w:iCs/>
          <w:i/>
        </w:rPr>
        <w:t xml:space="preserve">et al.</w:t>
      </w:r>
      <w:r>
        <w:t xml:space="preserve"> </w:t>
      </w:r>
      <w:hyperlink r:id="rId83">
        <w:r>
          <w:rPr>
            <w:rStyle w:val="Hyperlink"/>
          </w:rPr>
          <w:t xml:space="preserve">Cycling cancer persister cells arise from lineages with distinct programs</w:t>
        </w:r>
      </w:hyperlink>
      <w:r>
        <w:t xml:space="preserve">.</w:t>
      </w:r>
      <w:r>
        <w:t xml:space="preserve"> </w:t>
      </w:r>
      <w:r>
        <w:rPr>
          <w:iCs/>
          <w:i/>
        </w:rPr>
        <w:t xml:space="preserve">Nature</w:t>
      </w:r>
      <w:r>
        <w:t xml:space="preserve"> </w:t>
      </w:r>
      <w:r>
        <w:rPr>
          <w:bCs/>
          <w:b/>
        </w:rPr>
        <w:t xml:space="preserve">596</w:t>
      </w:r>
      <w:r>
        <w:t xml:space="preserve">, 576–582 (2021).</w:t>
      </w:r>
    </w:p>
    <w:bookmarkEnd w:id="84"/>
    <w:bookmarkStart w:id="86" w:name="ref-franca2024"/>
    <w:p>
      <w:pPr>
        <w:pStyle w:val="Bibliography"/>
      </w:pPr>
      <w:r>
        <w:t xml:space="preserve">5.</w:t>
      </w:r>
      <w:r>
        <w:t xml:space="preserve"> </w:t>
      </w:r>
      <w:r>
        <w:t xml:space="preserve">	</w:t>
      </w:r>
      <w:r>
        <w:t xml:space="preserve">França, G. S.</w:t>
      </w:r>
      <w:r>
        <w:t xml:space="preserve"> </w:t>
      </w:r>
      <w:r>
        <w:rPr>
          <w:iCs/>
          <w:i/>
        </w:rPr>
        <w:t xml:space="preserve">et al.</w:t>
      </w:r>
      <w:r>
        <w:t xml:space="preserve"> </w:t>
      </w:r>
      <w:hyperlink r:id="rId85">
        <w:r>
          <w:rPr>
            <w:rStyle w:val="Hyperlink"/>
          </w:rPr>
          <w:t xml:space="preserve">Cellular adaptation to cancer therapy along a resistance continuum</w:t>
        </w:r>
      </w:hyperlink>
      <w:r>
        <w:t xml:space="preserve">.</w:t>
      </w:r>
      <w:r>
        <w:t xml:space="preserve"> </w:t>
      </w:r>
      <w:r>
        <w:rPr>
          <w:iCs/>
          <w:i/>
        </w:rPr>
        <w:t xml:space="preserve">Nature</w:t>
      </w:r>
      <w:r>
        <w:t xml:space="preserve"> </w:t>
      </w:r>
      <w:r>
        <w:rPr>
          <w:bCs/>
          <w:b/>
        </w:rPr>
        <w:t xml:space="preserve">631</w:t>
      </w:r>
      <w:r>
        <w:t xml:space="preserve">, 876–883 (2024).</w:t>
      </w:r>
    </w:p>
    <w:bookmarkEnd w:id="86"/>
    <w:bookmarkStart w:id="88" w:name="ref-iyer2025"/>
    <w:p>
      <w:pPr>
        <w:pStyle w:val="Bibliography"/>
      </w:pPr>
      <w:r>
        <w:t xml:space="preserve">6.</w:t>
      </w:r>
      <w:r>
        <w:t xml:space="preserve"> </w:t>
      </w:r>
      <w:r>
        <w:t xml:space="preserve">	</w:t>
      </w:r>
      <w:r>
        <w:t xml:space="preserve">Iyer, A., Alva, A., Granada, A. E. &amp; Chakrabarti, S.</w:t>
      </w:r>
      <w:r>
        <w:t xml:space="preserve"> </w:t>
      </w:r>
      <w:hyperlink r:id="rId87">
        <w:r>
          <w:rPr>
            <w:rStyle w:val="Hyperlink"/>
          </w:rPr>
          <w:t xml:space="preserve">Inheritable cell-states shape drug-persister correlations and population dynamics in cancer cells</w:t>
        </w:r>
      </w:hyperlink>
      <w:r>
        <w:t xml:space="preserve">.</w:t>
      </w:r>
      <w:r>
        <w:t xml:space="preserve"> </w:t>
      </w:r>
      <w:r>
        <w:rPr>
          <w:iCs/>
          <w:i/>
        </w:rPr>
        <w:t xml:space="preserve">PLoS Computational Biology</w:t>
      </w:r>
      <w:r>
        <w:t xml:space="preserve"> </w:t>
      </w:r>
      <w:r>
        <w:rPr>
          <w:bCs/>
          <w:b/>
        </w:rPr>
        <w:t xml:space="preserve">21</w:t>
      </w:r>
      <w:r>
        <w:t xml:space="preserve">, e1013446 (2025).</w:t>
      </w:r>
    </w:p>
    <w:bookmarkEnd w:id="88"/>
    <w:bookmarkStart w:id="90" w:name="ref-lin2025memory"/>
    <w:p>
      <w:pPr>
        <w:pStyle w:val="Bibliography"/>
      </w:pPr>
      <w:r>
        <w:t xml:space="preserve">7.</w:t>
      </w:r>
      <w:r>
        <w:t xml:space="preserve"> </w:t>
      </w:r>
      <w:r>
        <w:t xml:space="preserve">	</w:t>
      </w:r>
      <w:r>
        <w:t xml:space="preserve">Lin, Y., Chen, X., Wu, L., Zhou, Y. &amp; Lin, Y.</w:t>
      </w:r>
      <w:r>
        <w:t xml:space="preserve"> </w:t>
      </w:r>
      <w:hyperlink r:id="rId89">
        <w:r>
          <w:rPr>
            <w:rStyle w:val="Hyperlink"/>
          </w:rPr>
          <w:t xml:space="preserve">Widespread transcriptional memory shapes heritable states and functional heterogeneity in cancer and stem cells</w:t>
        </w:r>
      </w:hyperlink>
      <w:r>
        <w:t xml:space="preserve">.</w:t>
      </w:r>
      <w:r>
        <w:t xml:space="preserve"> </w:t>
      </w:r>
      <w:r>
        <w:rPr>
          <w:iCs/>
          <w:i/>
        </w:rPr>
        <w:t xml:space="preserve">Cell Systems</w:t>
      </w:r>
      <w:r>
        <w:t xml:space="preserve"> </w:t>
      </w:r>
      <w:r>
        <w:rPr>
          <w:bCs/>
          <w:b/>
        </w:rPr>
        <w:t xml:space="preserve">17</w:t>
      </w:r>
      <w:r>
        <w:t xml:space="preserve">, 101621 (2026).</w:t>
      </w:r>
    </w:p>
    <w:bookmarkEnd w:id="90"/>
    <w:bookmarkStart w:id="92"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Cs/>
          <w:i/>
        </w:rPr>
        <w:t xml:space="preserve">bioRxiv</w:t>
      </w:r>
      <w:r>
        <w:t xml:space="preserve"> </w:t>
      </w:r>
      <w:hyperlink r:id="rId91">
        <w:r>
          <w:rPr>
            <w:rStyle w:val="Hyperlink"/>
          </w:rPr>
          <w:t xml:space="preserve">https://doi.org/10.1101/2025.01.15.633183</w:t>
        </w:r>
      </w:hyperlink>
      <w:r>
        <w:t xml:space="preserve"> </w:t>
      </w:r>
      <w:r>
        <w:t xml:space="preserve">(2025) doi:</w:t>
      </w:r>
      <w:hyperlink r:id="rId91">
        <w:r>
          <w:rPr>
            <w:rStyle w:val="Hyperlink"/>
          </w:rPr>
          <w:t xml:space="preserve">10.1101/2025.01.15.633183</w:t>
        </w:r>
      </w:hyperlink>
      <w:r>
        <w:t xml:space="preserve">.</w:t>
      </w:r>
    </w:p>
    <w:bookmarkEnd w:id="92"/>
    <w:bookmarkStart w:id="94" w:name="ref-harmange2023"/>
    <w:p>
      <w:pPr>
        <w:pStyle w:val="Bibliography"/>
      </w:pPr>
      <w:r>
        <w:t xml:space="preserve">9.</w:t>
      </w:r>
      <w:r>
        <w:t xml:space="preserve"> </w:t>
      </w:r>
      <w:r>
        <w:t xml:space="preserve">	</w:t>
      </w:r>
      <w:r>
        <w:t xml:space="preserve">Harmange, G.</w:t>
      </w:r>
      <w:r>
        <w:t xml:space="preserve"> </w:t>
      </w:r>
      <w:r>
        <w:rPr>
          <w:iCs/>
          <w:i/>
        </w:rPr>
        <w:t xml:space="preserve">et al.</w:t>
      </w:r>
      <w:r>
        <w:t xml:space="preserve"> </w:t>
      </w:r>
      <w:hyperlink r:id="rId93">
        <w:r>
          <w:rPr>
            <w:rStyle w:val="Hyperlink"/>
          </w:rPr>
          <w:t xml:space="preserve">Disrupting cellular memory to overcome drug resistance</w:t>
        </w:r>
      </w:hyperlink>
      <w:r>
        <w:t xml:space="preserve">.</w:t>
      </w:r>
      <w:r>
        <w:t xml:space="preserve"> </w:t>
      </w:r>
      <w:r>
        <w:rPr>
          <w:iCs/>
          <w:i/>
        </w:rPr>
        <w:t xml:space="preserve">Nature Communications</w:t>
      </w:r>
      <w:r>
        <w:t xml:space="preserve"> </w:t>
      </w:r>
      <w:r>
        <w:rPr>
          <w:bCs/>
          <w:b/>
        </w:rPr>
        <w:t xml:space="preserve">14</w:t>
      </w:r>
      <w:r>
        <w:t xml:space="preserve">, 7130 (2023).</w:t>
      </w:r>
    </w:p>
    <w:bookmarkEnd w:id="94"/>
    <w:bookmarkStart w:id="96" w:name="ref-sukys2025"/>
    <w:p>
      <w:pPr>
        <w:pStyle w:val="Bibliography"/>
      </w:pPr>
      <w:r>
        <w:t xml:space="preserve">10.</w:t>
      </w:r>
      <w:r>
        <w:t xml:space="preserve"> </w:t>
      </w:r>
      <w:r>
        <w:t xml:space="preserve">	</w:t>
      </w:r>
      <w:r>
        <w:t xml:space="preserve">Sukys, A. &amp; Grima, R.</w:t>
      </w:r>
      <w:r>
        <w:t xml:space="preserve"> </w:t>
      </w:r>
      <w:hyperlink r:id="rId95">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Cs/>
          <w:i/>
        </w:rPr>
        <w:t xml:space="preserve">Nucleic Acids Research</w:t>
      </w:r>
      <w:r>
        <w:t xml:space="preserve"> </w:t>
      </w:r>
      <w:r>
        <w:rPr>
          <w:bCs/>
          <w:b/>
        </w:rPr>
        <w:t xml:space="preserve">53</w:t>
      </w:r>
      <w:r>
        <w:t xml:space="preserve">, gkaf295 (2025).</w:t>
      </w:r>
    </w:p>
    <w:bookmarkEnd w:id="96"/>
    <w:bookmarkStart w:id="98" w:name="ref-zhang2025"/>
    <w:p>
      <w:pPr>
        <w:pStyle w:val="Bibliography"/>
      </w:pPr>
      <w:r>
        <w:t xml:space="preserve">11.</w:t>
      </w:r>
      <w:r>
        <w:t xml:space="preserve"> </w:t>
      </w:r>
      <w:r>
        <w:t xml:space="preserve">	</w:t>
      </w:r>
      <w:r>
        <w:t xml:space="preserve">Zhang, Z.</w:t>
      </w:r>
      <w:r>
        <w:t xml:space="preserve"> </w:t>
      </w:r>
      <w:r>
        <w:rPr>
          <w:iCs/>
          <w:i/>
        </w:rPr>
        <w:t xml:space="preserve">et al.</w:t>
      </w:r>
      <w:r>
        <w:t xml:space="preserve"> </w:t>
      </w:r>
      <w:hyperlink r:id="rId97">
        <w:r>
          <w:rPr>
            <w:rStyle w:val="Hyperlink"/>
          </w:rPr>
          <w:t xml:space="preserve">Stochastic gene expression in proliferating cells: Differing noise intensity in single-cell and population perspectives</w:t>
        </w:r>
      </w:hyperlink>
      <w:r>
        <w:t xml:space="preserve">.</w:t>
      </w:r>
      <w:r>
        <w:t xml:space="preserve"> </w:t>
      </w:r>
      <w:r>
        <w:rPr>
          <w:iCs/>
          <w:i/>
        </w:rPr>
        <w:t xml:space="preserve">PLoS Computational Biology</w:t>
      </w:r>
      <w:r>
        <w:t xml:space="preserve"> </w:t>
      </w:r>
      <w:r>
        <w:rPr>
          <w:bCs/>
          <w:b/>
        </w:rPr>
        <w:t xml:space="preserve">21</w:t>
      </w:r>
      <w:r>
        <w:t xml:space="preserve">, e1013014 (2025).</w:t>
      </w:r>
    </w:p>
    <w:bookmarkEnd w:id="98"/>
    <w:bookmarkStart w:id="100"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Cs/>
          <w:i/>
        </w:rPr>
        <w:t xml:space="preserve">bioRxiv</w:t>
      </w:r>
      <w:r>
        <w:t xml:space="preserve"> </w:t>
      </w:r>
      <w:hyperlink r:id="rId99">
        <w:r>
          <w:rPr>
            <w:rStyle w:val="Hyperlink"/>
          </w:rPr>
          <w:t xml:space="preserve">https://doi.org/10.64898/2026.04.14.718485</w:t>
        </w:r>
      </w:hyperlink>
      <w:r>
        <w:t xml:space="preserve"> </w:t>
      </w:r>
      <w:r>
        <w:t xml:space="preserve">(2026) doi:</w:t>
      </w:r>
      <w:hyperlink r:id="rId99">
        <w:r>
          <w:rPr>
            <w:rStyle w:val="Hyperlink"/>
          </w:rPr>
          <w:t xml:space="preserve">10.64898/2026.04.14.718485</w:t>
        </w:r>
      </w:hyperlink>
      <w:r>
        <w:t xml:space="preserve">.</w:t>
      </w:r>
    </w:p>
    <w:bookmarkEnd w:id="100"/>
    <w:bookmarkStart w:id="102" w:name="ref-ahlmanneltze2025"/>
    <w:p>
      <w:pPr>
        <w:pStyle w:val="Bibliography"/>
      </w:pPr>
      <w:r>
        <w:t xml:space="preserve">13.</w:t>
      </w:r>
      <w:r>
        <w:t xml:space="preserve"> </w:t>
      </w:r>
      <w:r>
        <w:t xml:space="preserve">	</w:t>
      </w:r>
      <w:r>
        <w:t xml:space="preserve">Ahlmann-Eltze, C., Huber, W. &amp; Anders, S.</w:t>
      </w:r>
      <w:r>
        <w:t xml:space="preserve"> </w:t>
      </w:r>
      <w:hyperlink r:id="rId101">
        <w:r>
          <w:rPr>
            <w:rStyle w:val="Hyperlink"/>
          </w:rPr>
          <w:t xml:space="preserve">Deep-learning-based gene perturbation effect prediction does not yet outperform simple linear baselines</w:t>
        </w:r>
      </w:hyperlink>
      <w:r>
        <w:t xml:space="preserve">.</w:t>
      </w:r>
      <w:r>
        <w:t xml:space="preserve"> </w:t>
      </w:r>
      <w:r>
        <w:rPr>
          <w:iCs/>
          <w:i/>
        </w:rPr>
        <w:t xml:space="preserve">Nature Methods</w:t>
      </w:r>
      <w:r>
        <w:t xml:space="preserve"> </w:t>
      </w:r>
      <w:r>
        <w:rPr>
          <w:bCs/>
          <w:b/>
        </w:rPr>
        <w:t xml:space="preserve">22</w:t>
      </w:r>
      <w:r>
        <w:t xml:space="preserve">, (2025).</w:t>
      </w:r>
    </w:p>
    <w:bookmarkEnd w:id="102"/>
    <w:bookmarkStart w:id="104"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Cs/>
          <w:i/>
        </w:rPr>
        <w:t xml:space="preserve">bioRxiv</w:t>
      </w:r>
      <w:r>
        <w:t xml:space="preserve"> </w:t>
      </w:r>
      <w:hyperlink r:id="rId103">
        <w:r>
          <w:rPr>
            <w:rStyle w:val="Hyperlink"/>
          </w:rPr>
          <w:t xml:space="preserve">https://doi.org/10.64898/2026.04.20.719650</w:t>
        </w:r>
      </w:hyperlink>
      <w:r>
        <w:t xml:space="preserve"> </w:t>
      </w:r>
      <w:r>
        <w:t xml:space="preserve">(2026) doi:</w:t>
      </w:r>
      <w:hyperlink r:id="rId103">
        <w:r>
          <w:rPr>
            <w:rStyle w:val="Hyperlink"/>
          </w:rPr>
          <w:t xml:space="preserve">10.64898/2026.04.20.719650</w:t>
        </w:r>
      </w:hyperlink>
      <w:r>
        <w:t xml:space="preserve">.</w:t>
      </w:r>
    </w:p>
    <w:bookmarkEnd w:id="104"/>
    <w:bookmarkStart w:id="106" w:name="ref-dibaeinia2026context"/>
    <w:p>
      <w:pPr>
        <w:pStyle w:val="Bibliography"/>
      </w:pPr>
      <w:r>
        <w:t xml:space="preserve">15.</w:t>
      </w:r>
      <w:r>
        <w:t xml:space="preserve"> </w:t>
      </w:r>
      <w:r>
        <w:t xml:space="preserve">	</w:t>
      </w:r>
      <w:r>
        <w:t xml:space="preserve">Dibaeinia, P.</w:t>
      </w:r>
      <w:r>
        <w:t xml:space="preserve"> </w:t>
      </w:r>
      <w:r>
        <w:rPr>
          <w:iCs/>
          <w:i/>
        </w:rPr>
        <w:t xml:space="preserve">et al.</w:t>
      </w:r>
      <w:r>
        <w:t xml:space="preserve"> Virtual cells need context, not just scale.</w:t>
      </w:r>
      <w:r>
        <w:t xml:space="preserve"> </w:t>
      </w:r>
      <w:r>
        <w:rPr>
          <w:iCs/>
          <w:i/>
        </w:rPr>
        <w:t xml:space="preserve">bioRxiv</w:t>
      </w:r>
      <w:r>
        <w:t xml:space="preserve"> </w:t>
      </w:r>
      <w:hyperlink r:id="rId105">
        <w:r>
          <w:rPr>
            <w:rStyle w:val="Hyperlink"/>
          </w:rPr>
          <w:t xml:space="preserve">https://doi.org/10.64898/2026.02.04.703804</w:t>
        </w:r>
      </w:hyperlink>
      <w:r>
        <w:t xml:space="preserve"> </w:t>
      </w:r>
      <w:r>
        <w:t xml:space="preserve">(2026) doi:</w:t>
      </w:r>
      <w:hyperlink r:id="rId105">
        <w:r>
          <w:rPr>
            <w:rStyle w:val="Hyperlink"/>
          </w:rPr>
          <w:t xml:space="preserve">10.64898/2026.02.04.703804</w:t>
        </w:r>
      </w:hyperlink>
      <w:r>
        <w:t xml:space="preserve">.</w:t>
      </w:r>
    </w:p>
    <w:bookmarkEnd w:id="106"/>
    <w:bookmarkStart w:id="108" w:name="ref-bunne2024"/>
    <w:p>
      <w:pPr>
        <w:pStyle w:val="Bibliography"/>
      </w:pPr>
      <w:r>
        <w:t xml:space="preserve">16.</w:t>
      </w:r>
      <w:r>
        <w:t xml:space="preserve"> </w:t>
      </w:r>
      <w:r>
        <w:t xml:space="preserve">	</w:t>
      </w:r>
      <w:r>
        <w:t xml:space="preserve">Bunne, C.</w:t>
      </w:r>
      <w:r>
        <w:t xml:space="preserve"> </w:t>
      </w:r>
      <w:r>
        <w:rPr>
          <w:iCs/>
          <w:i/>
        </w:rPr>
        <w:t xml:space="preserve">et al.</w:t>
      </w:r>
      <w:r>
        <w:t xml:space="preserve"> </w:t>
      </w:r>
      <w:hyperlink r:id="rId107">
        <w:r>
          <w:rPr>
            <w:rStyle w:val="Hyperlink"/>
          </w:rPr>
          <w:t xml:space="preserve">How to build the virtual cell with artificial intelligence: Priorities and opportunities</w:t>
        </w:r>
      </w:hyperlink>
      <w:r>
        <w:t xml:space="preserve">.</w:t>
      </w:r>
      <w:r>
        <w:t xml:space="preserve"> </w:t>
      </w:r>
      <w:r>
        <w:rPr>
          <w:iCs/>
          <w:i/>
        </w:rPr>
        <w:t xml:space="preserve">Cell</w:t>
      </w:r>
      <w:r>
        <w:t xml:space="preserve"> </w:t>
      </w:r>
      <w:r>
        <w:rPr>
          <w:bCs/>
          <w:b/>
        </w:rPr>
        <w:t xml:space="preserve">187</w:t>
      </w:r>
      <w:r>
        <w:t xml:space="preserve">, 7045–7063 (2024).</w:t>
      </w:r>
    </w:p>
    <w:bookmarkEnd w:id="108"/>
    <w:bookmarkStart w:id="110" w:name="ref-zappia2017"/>
    <w:p>
      <w:pPr>
        <w:pStyle w:val="Bibliography"/>
      </w:pPr>
      <w:r>
        <w:t xml:space="preserve">17.</w:t>
      </w:r>
      <w:r>
        <w:t xml:space="preserve"> </w:t>
      </w:r>
      <w:r>
        <w:t xml:space="preserve">	</w:t>
      </w:r>
      <w:r>
        <w:t xml:space="preserve">Zappia, L., Phipson, B. &amp; Oshlack, A.</w:t>
      </w:r>
      <w:r>
        <w:t xml:space="preserve"> </w:t>
      </w:r>
      <w:hyperlink r:id="rId109">
        <w:r>
          <w:rPr>
            <w:rStyle w:val="Hyperlink"/>
          </w:rPr>
          <w:t xml:space="preserve">Splatter: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w:t>
        </w:r>
      </w:hyperlink>
      <w:r>
        <w:t xml:space="preserve">.</w:t>
      </w:r>
      <w:r>
        <w:t xml:space="preserve"> </w:t>
      </w:r>
      <w:r>
        <w:rPr>
          <w:iCs/>
          <w:i/>
        </w:rPr>
        <w:t xml:space="preserve">Genome Biology</w:t>
      </w:r>
      <w:r>
        <w:t xml:space="preserve"> </w:t>
      </w:r>
      <w:r>
        <w:rPr>
          <w:bCs/>
          <w:b/>
        </w:rPr>
        <w:t xml:space="preserve">18</w:t>
      </w:r>
      <w:r>
        <w:t xml:space="preserve">, 174 (2017).</w:t>
      </w:r>
    </w:p>
    <w:bookmarkEnd w:id="110"/>
    <w:bookmarkStart w:id="112" w:name="ref-zhang2019symsim"/>
    <w:p>
      <w:pPr>
        <w:pStyle w:val="Bibliography"/>
      </w:pPr>
      <w:r>
        <w:t xml:space="preserve">18.</w:t>
      </w:r>
      <w:r>
        <w:t xml:space="preserve"> </w:t>
      </w:r>
      <w:r>
        <w:t xml:space="preserve">	</w:t>
      </w:r>
      <w:r>
        <w:t xml:space="preserve">Zhang, X., Xu, C. &amp; Yosef, N.</w:t>
      </w:r>
      <w:r>
        <w:t xml:space="preserve"> </w:t>
      </w:r>
      <w:hyperlink r:id="rId111">
        <w:r>
          <w:rPr>
            <w:rStyle w:val="Hyperlink"/>
          </w:rPr>
          <w:t xml:space="preserve">Simulating multiple faceted variability in single cell</w:t>
        </w:r>
        <w:r>
          <w:rPr>
            <w:rStyle w:val="Hyperlink"/>
          </w:rPr>
          <w:t xml:space="preserve"> </w:t>
        </w:r>
        <w:r>
          <w:rPr>
            <w:rStyle w:val="Hyperlink"/>
          </w:rPr>
          <w:t xml:space="preserve">RNA</w:t>
        </w:r>
        <w:r>
          <w:rPr>
            <w:rStyle w:val="Hyperlink"/>
          </w:rPr>
          <w:t xml:space="preserve"> </w:t>
        </w:r>
        <w:r>
          <w:rPr>
            <w:rStyle w:val="Hyperlink"/>
          </w:rPr>
          <w:t xml:space="preserve">sequencing</w:t>
        </w:r>
      </w:hyperlink>
      <w:r>
        <w:t xml:space="preserve">.</w:t>
      </w:r>
      <w:r>
        <w:t xml:space="preserve"> </w:t>
      </w:r>
      <w:r>
        <w:rPr>
          <w:iCs/>
          <w:i/>
        </w:rPr>
        <w:t xml:space="preserve">Nature Communications</w:t>
      </w:r>
      <w:r>
        <w:t xml:space="preserve"> </w:t>
      </w:r>
      <w:r>
        <w:rPr>
          <w:bCs/>
          <w:b/>
        </w:rPr>
        <w:t xml:space="preserve">10</w:t>
      </w:r>
      <w:r>
        <w:t xml:space="preserve">, 2611 (2019).</w:t>
      </w:r>
    </w:p>
    <w:bookmarkEnd w:id="112"/>
    <w:bookmarkStart w:id="114" w:name="ref-song2024scdesign3"/>
    <w:p>
      <w:pPr>
        <w:pStyle w:val="Bibliography"/>
      </w:pPr>
      <w:r>
        <w:t xml:space="preserve">19.</w:t>
      </w:r>
      <w:r>
        <w:t xml:space="preserve"> </w:t>
      </w:r>
      <w:r>
        <w:t xml:space="preserve">	</w:t>
      </w:r>
      <w:r>
        <w:t xml:space="preserve">Song, D.</w:t>
      </w:r>
      <w:r>
        <w:t xml:space="preserve"> </w:t>
      </w:r>
      <w:r>
        <w:rPr>
          <w:iCs/>
          <w:i/>
        </w:rPr>
        <w:t xml:space="preserve">et al.</w:t>
      </w:r>
      <w:r>
        <w:t xml:space="preserve"> </w:t>
      </w:r>
      <w:hyperlink r:id="rId113">
        <w:r>
          <w:rPr>
            <w:rStyle w:val="Hyperlink"/>
          </w:rPr>
          <w:t xml:space="preserve">scDesign3</w:t>
        </w:r>
        <w:r>
          <w:rPr>
            <w:rStyle w:val="Hyperlink"/>
          </w:rPr>
          <w:t xml:space="preserve"> </w:t>
        </w:r>
        <w:r>
          <w:rPr>
            <w:rStyle w:val="Hyperlink"/>
          </w:rPr>
          <w:t xml:space="preserve">generates realistic in silico data for multimodal single-cell and spatial omics</w:t>
        </w:r>
      </w:hyperlink>
      <w:r>
        <w:t xml:space="preserve">.</w:t>
      </w:r>
      <w:r>
        <w:t xml:space="preserve"> </w:t>
      </w:r>
      <w:r>
        <w:rPr>
          <w:iCs/>
          <w:i/>
        </w:rPr>
        <w:t xml:space="preserve">Nature Biotechnology</w:t>
      </w:r>
      <w:r>
        <w:t xml:space="preserve"> </w:t>
      </w:r>
      <w:r>
        <w:rPr>
          <w:bCs/>
          <w:b/>
        </w:rPr>
        <w:t xml:space="preserve">42</w:t>
      </w:r>
      <w:r>
        <w:t xml:space="preserve">, 247–252 (2024).</w:t>
      </w:r>
    </w:p>
    <w:bookmarkEnd w:id="114"/>
    <w:bookmarkStart w:id="116" w:name="ref-dibaeinia2020"/>
    <w:p>
      <w:pPr>
        <w:pStyle w:val="Bibliography"/>
      </w:pPr>
      <w:r>
        <w:t xml:space="preserve">20.</w:t>
      </w:r>
      <w:r>
        <w:t xml:space="preserve"> </w:t>
      </w:r>
      <w:r>
        <w:t xml:space="preserve">	</w:t>
      </w:r>
      <w:r>
        <w:t xml:space="preserve">Dibaeinia, P. &amp; Sinha, S.</w:t>
      </w:r>
      <w:r>
        <w:t xml:space="preserve"> </w:t>
      </w:r>
      <w:hyperlink r:id="rId115">
        <w:r>
          <w:rPr>
            <w:rStyle w:val="Hyperlink"/>
          </w:rPr>
          <w:t xml:space="preserve">SERGIO</w:t>
        </w:r>
        <w:r>
          <w:rPr>
            <w:rStyle w:val="Hyperlink"/>
          </w:rPr>
          <w:t xml:space="preserve">: A single-cell expression simulator guided by gene regulatory networks</w:t>
        </w:r>
      </w:hyperlink>
      <w:r>
        <w:t xml:space="preserve">.</w:t>
      </w:r>
      <w:r>
        <w:t xml:space="preserve"> </w:t>
      </w:r>
      <w:r>
        <w:rPr>
          <w:iCs/>
          <w:i/>
        </w:rPr>
        <w:t xml:space="preserve">Cell Systems</w:t>
      </w:r>
      <w:r>
        <w:t xml:space="preserve"> </w:t>
      </w:r>
      <w:r>
        <w:rPr>
          <w:bCs/>
          <w:b/>
        </w:rPr>
        <w:t xml:space="preserve">11</w:t>
      </w:r>
      <w:r>
        <w:t xml:space="preserve">, 252–271 (2020).</w:t>
      </w:r>
    </w:p>
    <w:bookmarkEnd w:id="116"/>
    <w:bookmarkStart w:id="118" w:name="ref-cannoodt2021"/>
    <w:p>
      <w:pPr>
        <w:pStyle w:val="Bibliography"/>
      </w:pPr>
      <w:r>
        <w:t xml:space="preserve">21.</w:t>
      </w:r>
      <w:r>
        <w:t xml:space="preserve"> </w:t>
      </w:r>
      <w:r>
        <w:t xml:space="preserve">	</w:t>
      </w:r>
      <w:r>
        <w:t xml:space="preserve">Cannoodt, R., Saelens, W., Deconinck, L. &amp; Saeys, Y.</w:t>
      </w:r>
      <w:r>
        <w:t xml:space="preserve"> </w:t>
      </w:r>
      <w:hyperlink r:id="rId117">
        <w:r>
          <w:rPr>
            <w:rStyle w:val="Hyperlink"/>
          </w:rPr>
          <w:t xml:space="preserve">Spearheading future omics analyses using dyngen, a multi-modal simulator of single cells</w:t>
        </w:r>
      </w:hyperlink>
      <w:r>
        <w:t xml:space="preserve">.</w:t>
      </w:r>
      <w:r>
        <w:t xml:space="preserve"> </w:t>
      </w:r>
      <w:r>
        <w:rPr>
          <w:iCs/>
          <w:i/>
        </w:rPr>
        <w:t xml:space="preserve">Nature Communications</w:t>
      </w:r>
      <w:r>
        <w:t xml:space="preserve"> </w:t>
      </w:r>
      <w:r>
        <w:rPr>
          <w:bCs/>
          <w:b/>
        </w:rPr>
        <w:t xml:space="preserve">12</w:t>
      </w:r>
      <w:r>
        <w:t xml:space="preserve">, 3942 (2021).</w:t>
      </w:r>
    </w:p>
    <w:bookmarkEnd w:id="118"/>
    <w:bookmarkStart w:id="120" w:name="ref-li2025scmultisim"/>
    <w:p>
      <w:pPr>
        <w:pStyle w:val="Bibliography"/>
      </w:pPr>
      <w:r>
        <w:t xml:space="preserve">22.</w:t>
      </w:r>
      <w:r>
        <w:t xml:space="preserve"> </w:t>
      </w:r>
      <w:r>
        <w:t xml:space="preserve">	</w:t>
      </w:r>
      <w:r>
        <w:t xml:space="preserve">Li, H., Zhang, Z., Squires, M., Chen, X. &amp; Zhang, X.</w:t>
      </w:r>
      <w:r>
        <w:t xml:space="preserve"> </w:t>
      </w:r>
      <w:r>
        <w:t xml:space="preserve">scMultiSim</w:t>
      </w:r>
      <w:r>
        <w:t xml:space="preserve">: Simulation of single-cell multi-omics and spatial data guided by gene regulatory networks and cell–cell interactions.</w:t>
      </w:r>
      <w:r>
        <w:t xml:space="preserve"> </w:t>
      </w:r>
      <w:r>
        <w:rPr>
          <w:iCs/>
          <w:i/>
        </w:rPr>
        <w:t xml:space="preserve">Nature Methods</w:t>
      </w:r>
      <w:r>
        <w:t xml:space="preserve"> </w:t>
      </w:r>
      <w:hyperlink r:id="rId119">
        <w:r>
          <w:rPr>
            <w:rStyle w:val="Hyperlink"/>
          </w:rPr>
          <w:t xml:space="preserve">https://doi.org/10.1038/s41592-025-02651-0</w:t>
        </w:r>
      </w:hyperlink>
      <w:r>
        <w:t xml:space="preserve"> </w:t>
      </w:r>
      <w:r>
        <w:t xml:space="preserve">(2025) doi:</w:t>
      </w:r>
      <w:hyperlink r:id="rId119">
        <w:r>
          <w:rPr>
            <w:rStyle w:val="Hyperlink"/>
          </w:rPr>
          <w:t xml:space="preserve">10.1038/s41592-025-02651-0</w:t>
        </w:r>
      </w:hyperlink>
      <w:r>
        <w:t xml:space="preserve">.</w:t>
      </w:r>
    </w:p>
    <w:bookmarkEnd w:id="120"/>
    <w:bookmarkStart w:id="122" w:name="ref-zinati2024groundgan"/>
    <w:p>
      <w:pPr>
        <w:pStyle w:val="Bibliography"/>
      </w:pPr>
      <w:r>
        <w:t xml:space="preserve">23.</w:t>
      </w:r>
      <w:r>
        <w:t xml:space="preserve"> </w:t>
      </w:r>
      <w:r>
        <w:t xml:space="preserve">	</w:t>
      </w:r>
      <w:r>
        <w:t xml:space="preserve">Zinati, Y., Takiddeen, A. &amp; Emad, A.</w:t>
      </w:r>
      <w:r>
        <w:t xml:space="preserve"> </w:t>
      </w:r>
      <w:hyperlink r:id="rId121">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Cs/>
          <w:i/>
        </w:rPr>
        <w:t xml:space="preserve">Nature Communications</w:t>
      </w:r>
      <w:r>
        <w:t xml:space="preserve"> </w:t>
      </w:r>
      <w:r>
        <w:rPr>
          <w:bCs/>
          <w:b/>
        </w:rPr>
        <w:t xml:space="preserve">15</w:t>
      </w:r>
      <w:r>
        <w:t xml:space="preserve">, 4055 (2024).</w:t>
      </w:r>
    </w:p>
    <w:bookmarkEnd w:id="122"/>
    <w:bookmarkStart w:id="124" w:name="ref-pan2022tedsim"/>
    <w:p>
      <w:pPr>
        <w:pStyle w:val="Bibliography"/>
      </w:pPr>
      <w:r>
        <w:t xml:space="preserve">24.</w:t>
      </w:r>
      <w:r>
        <w:t xml:space="preserve"> </w:t>
      </w:r>
      <w:r>
        <w:t xml:space="preserve">	</w:t>
      </w:r>
      <w:r>
        <w:t xml:space="preserve">Pan, X., Li, H. &amp; Zhang, X.</w:t>
      </w:r>
      <w:r>
        <w:t xml:space="preserve"> </w:t>
      </w:r>
      <w:hyperlink r:id="rId123">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Cs/>
          <w:i/>
        </w:rPr>
        <w:t xml:space="preserve">Nucleic Acids Research</w:t>
      </w:r>
      <w:r>
        <w:t xml:space="preserve"> </w:t>
      </w:r>
      <w:r>
        <w:rPr>
          <w:bCs/>
          <w:b/>
        </w:rPr>
        <w:t xml:space="preserve">50</w:t>
      </w:r>
      <w:r>
        <w:t xml:space="preserve">, 4272–4288 (2022).</w:t>
      </w:r>
    </w:p>
    <w:bookmarkEnd w:id="124"/>
    <w:bookmarkStart w:id="126" w:name="ref-jones2020cassiopeia"/>
    <w:p>
      <w:pPr>
        <w:pStyle w:val="Bibliography"/>
      </w:pPr>
      <w:r>
        <w:t xml:space="preserve">25.</w:t>
      </w:r>
      <w:r>
        <w:t xml:space="preserve"> </w:t>
      </w:r>
      <w:r>
        <w:t xml:space="preserve">	</w:t>
      </w:r>
      <w:r>
        <w:t xml:space="preserve">Jones, M. G.</w:t>
      </w:r>
      <w:r>
        <w:t xml:space="preserve"> </w:t>
      </w:r>
      <w:r>
        <w:rPr>
          <w:iCs/>
          <w:i/>
        </w:rPr>
        <w:t xml:space="preserve">et al.</w:t>
      </w:r>
      <w:r>
        <w:t xml:space="preserve"> </w:t>
      </w:r>
      <w:hyperlink r:id="rId125">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Cs/>
          <w:i/>
        </w:rPr>
        <w:t xml:space="preserve">Genome Biology</w:t>
      </w:r>
      <w:r>
        <w:t xml:space="preserve"> </w:t>
      </w:r>
      <w:r>
        <w:rPr>
          <w:bCs/>
          <w:b/>
        </w:rPr>
        <w:t xml:space="preserve">21</w:t>
      </w:r>
      <w:r>
        <w:t xml:space="preserve">, 92 (2020).</w:t>
      </w:r>
    </w:p>
    <w:bookmarkEnd w:id="126"/>
    <w:bookmarkStart w:id="128" w:name="ref-pratapa2020"/>
    <w:p>
      <w:pPr>
        <w:pStyle w:val="Bibliography"/>
      </w:pPr>
      <w:r>
        <w:t xml:space="preserve">26.</w:t>
      </w:r>
      <w:r>
        <w:t xml:space="preserve"> </w:t>
      </w:r>
      <w:r>
        <w:t xml:space="preserve">	</w:t>
      </w:r>
      <w:r>
        <w:t xml:space="preserve">Pratapa, A., Jalihal, A. P., Law, J. N., Bharadwaj, A. &amp; Murali, T. M.</w:t>
      </w:r>
      <w:r>
        <w:t xml:space="preserve"> </w:t>
      </w:r>
      <w:hyperlink r:id="rId127">
        <w:r>
          <w:rPr>
            <w:rStyle w:val="Hyperlink"/>
          </w:rPr>
          <w:t xml:space="preserve">Benchmarking algorithms for gene regulatory network inference from single-cell transcriptomic data</w:t>
        </w:r>
      </w:hyperlink>
      <w:r>
        <w:t xml:space="preserve">.</w:t>
      </w:r>
      <w:r>
        <w:t xml:space="preserve"> </w:t>
      </w:r>
      <w:r>
        <w:rPr>
          <w:iCs/>
          <w:i/>
        </w:rPr>
        <w:t xml:space="preserve">Nature Methods</w:t>
      </w:r>
      <w:r>
        <w:t xml:space="preserve"> </w:t>
      </w:r>
      <w:r>
        <w:rPr>
          <w:bCs/>
          <w:b/>
        </w:rPr>
        <w:t xml:space="preserve">17</w:t>
      </w:r>
      <w:r>
        <w:t xml:space="preserve">, 147–154 (2020).</w:t>
      </w:r>
    </w:p>
    <w:bookmarkEnd w:id="128"/>
    <w:bookmarkStart w:id="130" w:name="ref-bertaux2018"/>
    <w:p>
      <w:pPr>
        <w:pStyle w:val="Bibliography"/>
      </w:pPr>
      <w:r>
        <w:t xml:space="preserve">27.</w:t>
      </w:r>
      <w:r>
        <w:t xml:space="preserve"> </w:t>
      </w:r>
      <w:r>
        <w:t xml:space="preserve">	</w:t>
      </w:r>
      <w:r>
        <w:t xml:space="preserve">Bertaux, F., Marguerat, S. &amp; Shahrezaei, V.</w:t>
      </w:r>
      <w:r>
        <w:t xml:space="preserve"> </w:t>
      </w:r>
      <w:hyperlink r:id="rId129">
        <w:r>
          <w:rPr>
            <w:rStyle w:val="Hyperlink"/>
          </w:rPr>
          <w:t xml:space="preserve">Division rate, cell size and proteome allocation: Impact on gene expression noise and implications for the dynamics of genetic circuits</w:t>
        </w:r>
      </w:hyperlink>
      <w:r>
        <w:t xml:space="preserve">.</w:t>
      </w:r>
      <w:r>
        <w:t xml:space="preserve"> </w:t>
      </w:r>
      <w:r>
        <w:rPr>
          <w:iCs/>
          <w:i/>
        </w:rPr>
        <w:t xml:space="preserve">Royal Society Open Science</w:t>
      </w:r>
      <w:r>
        <w:t xml:space="preserve"> </w:t>
      </w:r>
      <w:r>
        <w:rPr>
          <w:bCs/>
          <w:b/>
        </w:rPr>
        <w:t xml:space="preserve">5</w:t>
      </w:r>
      <w:r>
        <w:t xml:space="preserve">, 172234 (2018).</w:t>
      </w:r>
    </w:p>
    <w:bookmarkEnd w:id="130"/>
    <w:bookmarkStart w:id="132" w:name="ref-piho2025abm"/>
    <w:p>
      <w:pPr>
        <w:pStyle w:val="Bibliography"/>
      </w:pPr>
      <w:r>
        <w:t xml:space="preserve">28.</w:t>
      </w:r>
      <w:r>
        <w:t xml:space="preserve"> </w:t>
      </w:r>
      <w:r>
        <w:t xml:space="preserve">	</w:t>
      </w:r>
      <w:r>
        <w:t xml:space="preserve">Piho, P. &amp; Thomas, P.</w:t>
      </w:r>
      <w:r>
        <w:t xml:space="preserve"> </w:t>
      </w:r>
      <w:hyperlink r:id="rId131">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Cs/>
          <w:i/>
        </w:rPr>
        <w:t xml:space="preserve">PLoS Computational Biology</w:t>
      </w:r>
      <w:r>
        <w:t xml:space="preserve"> </w:t>
      </w:r>
      <w:r>
        <w:rPr>
          <w:bCs/>
          <w:b/>
        </w:rPr>
        <w:t xml:space="preserve">22</w:t>
      </w:r>
      <w:r>
        <w:t xml:space="preserve">, e1014366 (2026).</w:t>
      </w:r>
    </w:p>
    <w:bookmarkEnd w:id="132"/>
    <w:bookmarkStart w:id="134" w:name="ref-piho2024feedback"/>
    <w:p>
      <w:pPr>
        <w:pStyle w:val="Bibliography"/>
      </w:pPr>
      <w:r>
        <w:t xml:space="preserve">29.</w:t>
      </w:r>
      <w:r>
        <w:t xml:space="preserve"> </w:t>
      </w:r>
      <w:r>
        <w:t xml:space="preserve">	</w:t>
      </w:r>
      <w:r>
        <w:t xml:space="preserve">Piho, P. &amp; Thomas, P.</w:t>
      </w:r>
      <w:r>
        <w:t xml:space="preserve"> </w:t>
      </w:r>
      <w:hyperlink r:id="rId133">
        <w:r>
          <w:rPr>
            <w:rStyle w:val="Hyperlink"/>
          </w:rPr>
          <w:t xml:space="preserve">Feedback between stochastic gene networks and population dynamics enables cellular decision-making</w:t>
        </w:r>
      </w:hyperlink>
      <w:r>
        <w:t xml:space="preserve">.</w:t>
      </w:r>
      <w:r>
        <w:t xml:space="preserve"> </w:t>
      </w:r>
      <w:r>
        <w:rPr>
          <w:iCs/>
          <w:i/>
        </w:rPr>
        <w:t xml:space="preserve">Science Advances</w:t>
      </w:r>
      <w:r>
        <w:t xml:space="preserve"> </w:t>
      </w:r>
      <w:r>
        <w:rPr>
          <w:bCs/>
          <w:b/>
        </w:rPr>
        <w:t xml:space="preserve">10</w:t>
      </w:r>
      <w:r>
        <w:t xml:space="preserve">, eadl4895 (2024).</w:t>
      </w:r>
    </w:p>
    <w:bookmarkEnd w:id="134"/>
    <w:bookmarkStart w:id="136" w:name="ref-thomas2021"/>
    <w:p>
      <w:pPr>
        <w:pStyle w:val="Bibliography"/>
      </w:pPr>
      <w:r>
        <w:t xml:space="preserve">30.</w:t>
      </w:r>
      <w:r>
        <w:t xml:space="preserve"> </w:t>
      </w:r>
      <w:r>
        <w:t xml:space="preserve">	</w:t>
      </w:r>
      <w:r>
        <w:t xml:space="preserve">Thomas, P. &amp; Shahrezaei, V.</w:t>
      </w:r>
      <w:r>
        <w:t xml:space="preserve"> </w:t>
      </w:r>
      <w:hyperlink r:id="rId135">
        <w:r>
          <w:rPr>
            <w:rStyle w:val="Hyperlink"/>
          </w:rPr>
          <w:t xml:space="preserve">Coordination of gene expression noise with cell size: Analytical results for agent-based models of growing cell populations</w:t>
        </w:r>
      </w:hyperlink>
      <w:r>
        <w:t xml:space="preserve">.</w:t>
      </w:r>
      <w:r>
        <w:t xml:space="preserve"> </w:t>
      </w:r>
      <w:r>
        <w:rPr>
          <w:iCs/>
          <w:i/>
        </w:rPr>
        <w:t xml:space="preserve">Journal of the Royal Society Interface</w:t>
      </w:r>
      <w:r>
        <w:t xml:space="preserve"> </w:t>
      </w:r>
      <w:r>
        <w:rPr>
          <w:bCs/>
          <w:b/>
        </w:rPr>
        <w:t xml:space="preserve">18</w:t>
      </w:r>
      <w:r>
        <w:t xml:space="preserve">, 20210274 (2021).</w:t>
      </w:r>
    </w:p>
    <w:bookmarkEnd w:id="136"/>
    <w:bookmarkStart w:id="138" w:name="ref-ghaffarizadeh2018"/>
    <w:p>
      <w:pPr>
        <w:pStyle w:val="Bibliography"/>
      </w:pPr>
      <w:r>
        <w:t xml:space="preserve">31.</w:t>
      </w:r>
      <w:r>
        <w:t xml:space="preserve"> </w:t>
      </w:r>
      <w:r>
        <w:t xml:space="preserve">	</w:t>
      </w:r>
      <w:r>
        <w:t xml:space="preserve">Ghaffarizadeh, A., Heiland, R., Friedman, S. H., Mumenthaler, S. M. &amp; Macklin, P.</w:t>
      </w:r>
      <w:r>
        <w:t xml:space="preserve"> </w:t>
      </w:r>
      <w:hyperlink r:id="rId137">
        <w:r>
          <w:rPr>
            <w:rStyle w:val="Hyperlink"/>
          </w:rPr>
          <w:t xml:space="preserve">PhysiCell</w:t>
        </w:r>
        <w:r>
          <w:rPr>
            <w:rStyle w:val="Hyperlink"/>
          </w:rPr>
          <w:t xml:space="preserve">: An open source physics-based cell simulator for 3-</w:t>
        </w:r>
        <w:r>
          <w:rPr>
            <w:rStyle w:val="Hyperlink"/>
          </w:rPr>
          <w:t xml:space="preserve">D</w:t>
        </w:r>
        <w:r>
          <w:rPr>
            <w:rStyle w:val="Hyperlink"/>
          </w:rPr>
          <w:t xml:space="preserve"> </w:t>
        </w:r>
        <w:r>
          <w:rPr>
            <w:rStyle w:val="Hyperlink"/>
          </w:rPr>
          <w:t xml:space="preserve">multicellular systems</w:t>
        </w:r>
      </w:hyperlink>
      <w:r>
        <w:t xml:space="preserve">.</w:t>
      </w:r>
      <w:r>
        <w:t xml:space="preserve"> </w:t>
      </w:r>
      <w:r>
        <w:rPr>
          <w:iCs/>
          <w:i/>
        </w:rPr>
        <w:t xml:space="preserve">PLoS Computational Biology</w:t>
      </w:r>
      <w:r>
        <w:t xml:space="preserve"> </w:t>
      </w:r>
      <w:r>
        <w:rPr>
          <w:bCs/>
          <w:b/>
        </w:rPr>
        <w:t xml:space="preserve">14</w:t>
      </w:r>
      <w:r>
        <w:t xml:space="preserve">, e1005991 (2018).</w:t>
      </w:r>
    </w:p>
    <w:bookmarkEnd w:id="138"/>
    <w:bookmarkStart w:id="140" w:name="ref-poncedeleon2023"/>
    <w:p>
      <w:pPr>
        <w:pStyle w:val="Bibliography"/>
      </w:pPr>
      <w:r>
        <w:t xml:space="preserve">32.</w:t>
      </w:r>
      <w:r>
        <w:t xml:space="preserve"> </w:t>
      </w:r>
      <w:r>
        <w:t xml:space="preserve">	</w:t>
      </w:r>
      <w:r>
        <w:t xml:space="preserve">Ponce-de-Leon, M.</w:t>
      </w:r>
      <w:r>
        <w:t xml:space="preserve"> </w:t>
      </w:r>
      <w:r>
        <w:rPr>
          <w:iCs/>
          <w:i/>
        </w:rPr>
        <w:t xml:space="preserve">et al.</w:t>
      </w:r>
      <w:r>
        <w:t xml:space="preserve"> </w:t>
      </w:r>
      <w:hyperlink r:id="rId139">
        <w:r>
          <w:rPr>
            <w:rStyle w:val="Hyperlink"/>
          </w:rPr>
          <w:t xml:space="preserve">PhysiBoSS</w:t>
        </w:r>
        <w:r>
          <w:rPr>
            <w:rStyle w:val="Hyperlink"/>
          </w:rPr>
          <w:t xml:space="preserve"> </w:t>
        </w:r>
        <w:r>
          <w:rPr>
            <w:rStyle w:val="Hyperlink"/>
          </w:rPr>
          <w:t xml:space="preserve">2.0: A sustainable integration of stochastic</w:t>
        </w:r>
        <w:r>
          <w:rPr>
            <w:rStyle w:val="Hyperlink"/>
          </w:rPr>
          <w:t xml:space="preserve"> </w:t>
        </w:r>
        <w:r>
          <w:rPr>
            <w:rStyle w:val="Hyperlink"/>
          </w:rPr>
          <w:t xml:space="preserve">Boolean</w:t>
        </w:r>
        <w:r>
          <w:rPr>
            <w:rStyle w:val="Hyperlink"/>
          </w:rPr>
          <w:t xml:space="preserve"> </w:t>
        </w:r>
        <w:r>
          <w:rPr>
            <w:rStyle w:val="Hyperlink"/>
          </w:rPr>
          <w:t xml:space="preserve">and agent-based modelling frameworks</w:t>
        </w:r>
      </w:hyperlink>
      <w:r>
        <w:t xml:space="preserve">.</w:t>
      </w:r>
      <w:r>
        <w:t xml:space="preserve"> </w:t>
      </w:r>
      <w:r>
        <w:rPr>
          <w:iCs/>
          <w:i/>
        </w:rPr>
        <w:t xml:space="preserve">npj Systems Biology and Applications</w:t>
      </w:r>
      <w:r>
        <w:t xml:space="preserve"> </w:t>
      </w:r>
      <w:r>
        <w:rPr>
          <w:bCs/>
          <w:b/>
        </w:rPr>
        <w:t xml:space="preserve">9</w:t>
      </w:r>
      <w:r>
        <w:t xml:space="preserve">, 54 (2023).</w:t>
      </w:r>
    </w:p>
    <w:bookmarkEnd w:id="140"/>
    <w:bookmarkStart w:id="142" w:name="ref-lasri2022"/>
    <w:p>
      <w:pPr>
        <w:pStyle w:val="Bibliography"/>
      </w:pPr>
      <w:r>
        <w:t xml:space="preserve">33.</w:t>
      </w:r>
      <w:r>
        <w:t xml:space="preserve"> </w:t>
      </w:r>
      <w:r>
        <w:t xml:space="preserve">	</w:t>
      </w:r>
      <w:r>
        <w:t xml:space="preserve">Lasri, A., Shahrezaei, V. &amp; Sturrock, M.</w:t>
      </w:r>
      <w:r>
        <w:t xml:space="preserve"> </w:t>
      </w:r>
      <w:hyperlink r:id="rId141">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Cs/>
          <w:i/>
        </w:rPr>
        <w:t xml:space="preserve">BMC Bioinformatics</w:t>
      </w:r>
      <w:r>
        <w:t xml:space="preserve"> </w:t>
      </w:r>
      <w:r>
        <w:rPr>
          <w:bCs/>
          <w:b/>
        </w:rPr>
        <w:t xml:space="preserve">23</w:t>
      </w:r>
      <w:r>
        <w:t xml:space="preserve">, 236 (2022).</w:t>
      </w:r>
    </w:p>
    <w:bookmarkEnd w:id="142"/>
    <w:bookmarkStart w:id="144" w:name="ref-peccoud1995"/>
    <w:p>
      <w:pPr>
        <w:pStyle w:val="Bibliography"/>
      </w:pPr>
      <w:r>
        <w:t xml:space="preserve">34.</w:t>
      </w:r>
      <w:r>
        <w:t xml:space="preserve"> </w:t>
      </w:r>
      <w:r>
        <w:t xml:space="preserve">	</w:t>
      </w:r>
      <w:r>
        <w:t xml:space="preserve">Peccoud, J. &amp; Ycart, B.</w:t>
      </w:r>
      <w:r>
        <w:t xml:space="preserve"> </w:t>
      </w:r>
      <w:hyperlink r:id="rId143">
        <w:r>
          <w:rPr>
            <w:rStyle w:val="Hyperlink"/>
          </w:rPr>
          <w:t xml:space="preserve">Markovian modeling of gene-product synthesis</w:t>
        </w:r>
      </w:hyperlink>
      <w:r>
        <w:t xml:space="preserve">.</w:t>
      </w:r>
      <w:r>
        <w:t xml:space="preserve"> </w:t>
      </w:r>
      <w:r>
        <w:rPr>
          <w:iCs/>
          <w:i/>
        </w:rPr>
        <w:t xml:space="preserve">Theoretical Population Biology</w:t>
      </w:r>
      <w:r>
        <w:t xml:space="preserve"> </w:t>
      </w:r>
      <w:r>
        <w:rPr>
          <w:bCs/>
          <w:b/>
        </w:rPr>
        <w:t xml:space="preserve">48</w:t>
      </w:r>
      <w:r>
        <w:t xml:space="preserve">, 222–234 (1995).</w:t>
      </w:r>
    </w:p>
    <w:bookmarkEnd w:id="144"/>
    <w:bookmarkStart w:id="146" w:name="ref-beentjes2020"/>
    <w:p>
      <w:pPr>
        <w:pStyle w:val="Bibliography"/>
      </w:pPr>
      <w:r>
        <w:t xml:space="preserve">35.</w:t>
      </w:r>
      <w:r>
        <w:t xml:space="preserve"> </w:t>
      </w:r>
      <w:r>
        <w:t xml:space="preserve">	</w:t>
      </w:r>
      <w:r>
        <w:t xml:space="preserve">Beentjes, C. H. L., Perez-Carrasco, R. &amp; Grima, R.</w:t>
      </w:r>
      <w:r>
        <w:t xml:space="preserve"> </w:t>
      </w:r>
      <w:hyperlink r:id="rId145">
        <w:r>
          <w:rPr>
            <w:rStyle w:val="Hyperlink"/>
          </w:rPr>
          <w:t xml:space="preserve">Exact solution of stochastic gene expression models with bursting, cell cycle and replication dynamics</w:t>
        </w:r>
      </w:hyperlink>
      <w:r>
        <w:t xml:space="preserve">.</w:t>
      </w:r>
      <w:r>
        <w:t xml:space="preserve"> </w:t>
      </w:r>
      <w:r>
        <w:rPr>
          <w:iCs/>
          <w:i/>
        </w:rPr>
        <w:t xml:space="preserve">Physical Review E</w:t>
      </w:r>
      <w:r>
        <w:t xml:space="preserve"> </w:t>
      </w:r>
      <w:r>
        <w:rPr>
          <w:bCs/>
          <w:b/>
        </w:rPr>
        <w:t xml:space="preserve">101</w:t>
      </w:r>
      <w:r>
        <w:t xml:space="preserve">, 032403 (2020).</w:t>
      </w:r>
    </w:p>
    <w:bookmarkEnd w:id="146"/>
    <w:bookmarkStart w:id="148" w:name="ref-jia2023"/>
    <w:p>
      <w:pPr>
        <w:pStyle w:val="Bibliography"/>
      </w:pPr>
      <w:r>
        <w:t xml:space="preserve">36.</w:t>
      </w:r>
      <w:r>
        <w:t xml:space="preserve"> </w:t>
      </w:r>
      <w:r>
        <w:t xml:space="preserve">	</w:t>
      </w:r>
      <w:r>
        <w:t xml:space="preserve">Jia, C. &amp; Grima, R.</w:t>
      </w:r>
      <w:r>
        <w:t xml:space="preserve"> </w:t>
      </w:r>
      <w:hyperlink r:id="rId147">
        <w:r>
          <w:rPr>
            <w:rStyle w:val="Hyperlink"/>
          </w:rPr>
          <w:t xml:space="preserve">Coupling gene expression dynamics to cell size dynamics and cell cycle events: Exact and approximate solutions of the extended telegraph model</w:t>
        </w:r>
      </w:hyperlink>
      <w:r>
        <w:t xml:space="preserve">.</w:t>
      </w:r>
      <w:r>
        <w:t xml:space="preserve"> </w:t>
      </w:r>
      <w:r>
        <w:rPr>
          <w:iCs/>
          <w:i/>
        </w:rPr>
        <w:t xml:space="preserve">iScience</w:t>
      </w:r>
      <w:r>
        <w:t xml:space="preserve"> </w:t>
      </w:r>
      <w:r>
        <w:rPr>
          <w:bCs/>
          <w:b/>
        </w:rPr>
        <w:t xml:space="preserve">26</w:t>
      </w:r>
      <w:r>
        <w:t xml:space="preserve">, 105746 (2023).</w:t>
      </w:r>
    </w:p>
    <w:bookmarkEnd w:id="148"/>
    <w:bookmarkStart w:id="150" w:name="ref-thomas2017"/>
    <w:p>
      <w:pPr>
        <w:pStyle w:val="Bibliography"/>
      </w:pPr>
      <w:r>
        <w:t xml:space="preserve">37.</w:t>
      </w:r>
      <w:r>
        <w:t xml:space="preserve"> </w:t>
      </w:r>
      <w:r>
        <w:t xml:space="preserve">	</w:t>
      </w:r>
      <w:r>
        <w:t xml:space="preserve">Thomas, P.</w:t>
      </w:r>
      <w:r>
        <w:t xml:space="preserve"> </w:t>
      </w:r>
      <w:hyperlink r:id="rId149">
        <w:r>
          <w:rPr>
            <w:rStyle w:val="Hyperlink"/>
          </w:rPr>
          <w:t xml:space="preserve">Making sense of snapshot data: Ergodic principle for clonal cell populations</w:t>
        </w:r>
      </w:hyperlink>
      <w:r>
        <w:t xml:space="preserve">.</w:t>
      </w:r>
      <w:r>
        <w:t xml:space="preserve"> </w:t>
      </w:r>
      <w:r>
        <w:rPr>
          <w:iCs/>
          <w:i/>
        </w:rPr>
        <w:t xml:space="preserve">Journal of the Royal Society Interface</w:t>
      </w:r>
      <w:r>
        <w:t xml:space="preserve"> </w:t>
      </w:r>
      <w:r>
        <w:rPr>
          <w:bCs/>
          <w:b/>
        </w:rPr>
        <w:t xml:space="preserve">14</w:t>
      </w:r>
      <w:r>
        <w:t xml:space="preserve">, 20170467 (2017).</w:t>
      </w:r>
    </w:p>
    <w:bookmarkEnd w:id="150"/>
    <w:bookmarkStart w:id="152" w:name="ref-emert2021"/>
    <w:p>
      <w:pPr>
        <w:pStyle w:val="Bibliography"/>
      </w:pPr>
      <w:r>
        <w:t xml:space="preserve">38.</w:t>
      </w:r>
      <w:r>
        <w:t xml:space="preserve"> </w:t>
      </w:r>
      <w:r>
        <w:t xml:space="preserve">	</w:t>
      </w:r>
      <w:r>
        <w:t xml:space="preserve">Emert, B. L.</w:t>
      </w:r>
      <w:r>
        <w:t xml:space="preserve"> </w:t>
      </w:r>
      <w:r>
        <w:rPr>
          <w:iCs/>
          <w:i/>
        </w:rPr>
        <w:t xml:space="preserve">et al.</w:t>
      </w:r>
      <w:r>
        <w:t xml:space="preserve"> </w:t>
      </w:r>
      <w:hyperlink r:id="rId151">
        <w:r>
          <w:rPr>
            <w:rStyle w:val="Hyperlink"/>
          </w:rPr>
          <w:t xml:space="preserve">Variability within rare cell states enables multiple paths toward drug resistance</w:t>
        </w:r>
      </w:hyperlink>
      <w:r>
        <w:t xml:space="preserve">.</w:t>
      </w:r>
      <w:r>
        <w:t xml:space="preserve"> </w:t>
      </w:r>
      <w:r>
        <w:rPr>
          <w:iCs/>
          <w:i/>
        </w:rPr>
        <w:t xml:space="preserve">Nature Biotechnology</w:t>
      </w:r>
      <w:r>
        <w:t xml:space="preserve"> </w:t>
      </w:r>
      <w:r>
        <w:rPr>
          <w:bCs/>
          <w:b/>
        </w:rPr>
        <w:t xml:space="preserve">39</w:t>
      </w:r>
      <w:r>
        <w:t xml:space="preserve">, 865–876 (2021).</w:t>
      </w:r>
    </w:p>
    <w:bookmarkEnd w:id="152"/>
    <w:bookmarkStart w:id="154" w:name="ref-torre2021"/>
    <w:p>
      <w:pPr>
        <w:pStyle w:val="Bibliography"/>
      </w:pPr>
      <w:r>
        <w:t xml:space="preserve">39.</w:t>
      </w:r>
      <w:r>
        <w:t xml:space="preserve"> </w:t>
      </w:r>
      <w:r>
        <w:t xml:space="preserve">	</w:t>
      </w:r>
      <w:r>
        <w:t xml:space="preserve">Torre, E. A.</w:t>
      </w:r>
      <w:r>
        <w:t xml:space="preserve"> </w:t>
      </w:r>
      <w:r>
        <w:rPr>
          <w:iCs/>
          <w:i/>
        </w:rPr>
        <w:t xml:space="preserve">et al.</w:t>
      </w:r>
      <w:r>
        <w:t xml:space="preserve"> </w:t>
      </w:r>
      <w:hyperlink r:id="rId153">
        <w:r>
          <w:rPr>
            <w:rStyle w:val="Hyperlink"/>
          </w:rPr>
          <w:t xml:space="preserve">Genetic screening for single-cell variability modulators driving therapy resistance</w:t>
        </w:r>
      </w:hyperlink>
      <w:r>
        <w:t xml:space="preserve">.</w:t>
      </w:r>
      <w:r>
        <w:t xml:space="preserve"> </w:t>
      </w:r>
      <w:r>
        <w:rPr>
          <w:iCs/>
          <w:i/>
        </w:rPr>
        <w:t xml:space="preserve">Nature Genetics</w:t>
      </w:r>
      <w:r>
        <w:t xml:space="preserve"> </w:t>
      </w:r>
      <w:r>
        <w:rPr>
          <w:bCs/>
          <w:b/>
        </w:rPr>
        <w:t xml:space="preserve">53</w:t>
      </w:r>
      <w:r>
        <w:t xml:space="preserve">, 76–85 (2021).</w:t>
      </w:r>
    </w:p>
    <w:bookmarkEnd w:id="154"/>
    <w:bookmarkStart w:id="156" w:name="ref-gunnarsson2020"/>
    <w:p>
      <w:pPr>
        <w:pStyle w:val="Bibliography"/>
      </w:pPr>
      <w:r>
        <w:t xml:space="preserve">40.</w:t>
      </w:r>
      <w:r>
        <w:t xml:space="preserve"> </w:t>
      </w:r>
      <w:r>
        <w:t xml:space="preserve">	</w:t>
      </w:r>
      <w:r>
        <w:t xml:space="preserve">Gunnarsson, E. B., De, S., Leder, K. &amp; Foo, J.</w:t>
      </w:r>
      <w:r>
        <w:t xml:space="preserve"> </w:t>
      </w:r>
      <w:hyperlink r:id="rId155">
        <w:r>
          <w:rPr>
            <w:rStyle w:val="Hyperlink"/>
          </w:rPr>
          <w:t xml:space="preserve">Understanding the role of phenotypic switching in cancer drug resistance</w:t>
        </w:r>
      </w:hyperlink>
      <w:r>
        <w:t xml:space="preserve">.</w:t>
      </w:r>
      <w:r>
        <w:t xml:space="preserve"> </w:t>
      </w:r>
      <w:r>
        <w:rPr>
          <w:iCs/>
          <w:i/>
        </w:rPr>
        <w:t xml:space="preserve">Journal of Theoretical Biology</w:t>
      </w:r>
      <w:r>
        <w:t xml:space="preserve"> </w:t>
      </w:r>
      <w:r>
        <w:rPr>
          <w:bCs/>
          <w:b/>
        </w:rPr>
        <w:t xml:space="preserve">490</w:t>
      </w:r>
      <w:r>
        <w:t xml:space="preserve">, 110162 (2020).</w:t>
      </w:r>
    </w:p>
    <w:bookmarkEnd w:id="156"/>
    <w:bookmarkStart w:id="158" w:name="ref-lasri2020"/>
    <w:p>
      <w:pPr>
        <w:pStyle w:val="Bibliography"/>
      </w:pPr>
      <w:r>
        <w:t xml:space="preserve">41.</w:t>
      </w:r>
      <w:r>
        <w:t xml:space="preserve"> </w:t>
      </w:r>
      <w:r>
        <w:t xml:space="preserve">	</w:t>
      </w:r>
      <w:r>
        <w:t xml:space="preserve">Lasri, A.</w:t>
      </w:r>
      <w:r>
        <w:t xml:space="preserve"> </w:t>
      </w:r>
      <w:r>
        <w:rPr>
          <w:iCs/>
          <w:i/>
        </w:rPr>
        <w:t xml:space="preserve">et al.</w:t>
      </w:r>
      <w:r>
        <w:t xml:space="preserve"> </w:t>
      </w:r>
      <w:hyperlink r:id="rId157">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Cs/>
          <w:i/>
        </w:rPr>
        <w:t xml:space="preserve">Royal Society Open Science</w:t>
      </w:r>
      <w:r>
        <w:t xml:space="preserve"> </w:t>
      </w:r>
      <w:r>
        <w:rPr>
          <w:bCs/>
          <w:b/>
        </w:rPr>
        <w:t xml:space="preserve">7</w:t>
      </w:r>
      <w:r>
        <w:t xml:space="preserve">, 191243 (2020).</w:t>
      </w:r>
    </w:p>
    <w:bookmarkEnd w:id="158"/>
    <w:bookmarkStart w:id="160" w:name="ref-corigliano2025"/>
    <w:p>
      <w:pPr>
        <w:pStyle w:val="Bibliography"/>
      </w:pPr>
      <w:r>
        <w:t xml:space="preserve">42.</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Cs/>
          <w:i/>
        </w:rPr>
        <w:t xml:space="preserve">PRX Life</w:t>
      </w:r>
      <w:r>
        <w:t xml:space="preserve"> </w:t>
      </w:r>
      <w:hyperlink r:id="rId159">
        <w:r>
          <w:rPr>
            <w:rStyle w:val="Hyperlink"/>
          </w:rPr>
          <w:t xml:space="preserve">https://doi.org/10.1103/mh5v-lcyw</w:t>
        </w:r>
      </w:hyperlink>
      <w:r>
        <w:t xml:space="preserve"> </w:t>
      </w:r>
      <w:r>
        <w:t xml:space="preserve">(2025) doi:</w:t>
      </w:r>
      <w:hyperlink r:id="rId159">
        <w:r>
          <w:rPr>
            <w:rStyle w:val="Hyperlink"/>
          </w:rPr>
          <w:t xml:space="preserve">10.1103/mh5v-lcyw</w:t>
        </w:r>
      </w:hyperlink>
      <w:r>
        <w:t xml:space="preserve">.</w:t>
      </w:r>
    </w:p>
    <w:bookmarkEnd w:id="160"/>
    <w:bookmarkStart w:id="162" w:name="ref-bernton2019"/>
    <w:p>
      <w:pPr>
        <w:pStyle w:val="Bibliography"/>
      </w:pPr>
      <w:r>
        <w:t xml:space="preserve">43.</w:t>
      </w:r>
      <w:r>
        <w:t xml:space="preserve"> </w:t>
      </w:r>
      <w:r>
        <w:t xml:space="preserve">	</w:t>
      </w:r>
      <w:r>
        <w:t xml:space="preserve">Bernton, E., Jacob, P. E., Gerber, M. &amp; Robert, C. P.</w:t>
      </w:r>
      <w:r>
        <w:t xml:space="preserve"> </w:t>
      </w:r>
      <w:hyperlink r:id="rId161">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Cs/>
          <w:i/>
        </w:rPr>
        <w:t xml:space="preserve">Journal of the Royal Statistical Society: Series B</w:t>
      </w:r>
      <w:r>
        <w:t xml:space="preserve"> </w:t>
      </w:r>
      <w:r>
        <w:rPr>
          <w:bCs/>
          <w:b/>
        </w:rPr>
        <w:t xml:space="preserve">81</w:t>
      </w:r>
      <w:r>
        <w:t xml:space="preserve">, 235–269 (2019).</w:t>
      </w:r>
    </w:p>
    <w:bookmarkEnd w:id="162"/>
    <w:bookmarkStart w:id="164" w:name="ref-sandler2015"/>
    <w:p>
      <w:pPr>
        <w:pStyle w:val="Bibliography"/>
      </w:pPr>
      <w:r>
        <w:t xml:space="preserve">44.</w:t>
      </w:r>
      <w:r>
        <w:t xml:space="preserve"> </w:t>
      </w:r>
      <w:r>
        <w:t xml:space="preserve">	</w:t>
      </w:r>
      <w:r>
        <w:t xml:space="preserve">Sandler, O.</w:t>
      </w:r>
      <w:r>
        <w:t xml:space="preserve"> </w:t>
      </w:r>
      <w:r>
        <w:rPr>
          <w:iCs/>
          <w:i/>
        </w:rPr>
        <w:t xml:space="preserve">et al.</w:t>
      </w:r>
      <w:r>
        <w:t xml:space="preserve"> </w:t>
      </w:r>
      <w:hyperlink r:id="rId163">
        <w:r>
          <w:rPr>
            <w:rStyle w:val="Hyperlink"/>
          </w:rPr>
          <w:t xml:space="preserve">Lineage correlations of single cell division time as a probe of cell-cycle dynamics</w:t>
        </w:r>
      </w:hyperlink>
      <w:r>
        <w:t xml:space="preserve">.</w:t>
      </w:r>
      <w:r>
        <w:t xml:space="preserve"> </w:t>
      </w:r>
      <w:r>
        <w:rPr>
          <w:iCs/>
          <w:i/>
        </w:rPr>
        <w:t xml:space="preserve">Nature</w:t>
      </w:r>
      <w:r>
        <w:t xml:space="preserve"> </w:t>
      </w:r>
      <w:r>
        <w:rPr>
          <w:bCs/>
          <w:b/>
        </w:rPr>
        <w:t xml:space="preserve">519</w:t>
      </w:r>
      <w:r>
        <w:t xml:space="preserve">, 468–471 (2015).</w:t>
      </w:r>
    </w:p>
    <w:bookmarkEnd w:id="164"/>
    <w:bookmarkStart w:id="166" w:name="ref-kuchen2020"/>
    <w:p>
      <w:pPr>
        <w:pStyle w:val="Bibliography"/>
      </w:pPr>
      <w:r>
        <w:t xml:space="preserve">45.</w:t>
      </w:r>
      <w:r>
        <w:t xml:space="preserve"> </w:t>
      </w:r>
      <w:r>
        <w:t xml:space="preserve">	</w:t>
      </w:r>
      <w:r>
        <w:t xml:space="preserve">Kuchen, E. E., Becker, N. B., Claudino, N. &amp; Höfer, T.</w:t>
      </w:r>
      <w:r>
        <w:t xml:space="preserve"> </w:t>
      </w:r>
      <w:hyperlink r:id="rId165">
        <w:r>
          <w:rPr>
            <w:rStyle w:val="Hyperlink"/>
          </w:rPr>
          <w:t xml:space="preserve">Hidden long-range memories of growth and cycle speed correlate cell cycles in lineage trees</w:t>
        </w:r>
      </w:hyperlink>
      <w:r>
        <w:t xml:space="preserve">.</w:t>
      </w:r>
      <w:r>
        <w:t xml:space="preserve"> </w:t>
      </w:r>
      <w:r>
        <w:rPr>
          <w:iCs/>
          <w:i/>
        </w:rPr>
        <w:t xml:space="preserve">eLife</w:t>
      </w:r>
      <w:r>
        <w:t xml:space="preserve"> </w:t>
      </w:r>
      <w:r>
        <w:rPr>
          <w:bCs/>
          <w:b/>
        </w:rPr>
        <w:t xml:space="preserve">9</w:t>
      </w:r>
      <w:r>
        <w:t xml:space="preserve">, e51002 (2020).</w:t>
      </w:r>
    </w:p>
    <w:bookmarkEnd w:id="166"/>
    <w:bookmarkStart w:id="168" w:name="ref-chakrabarti2018"/>
    <w:p>
      <w:pPr>
        <w:pStyle w:val="Bibliography"/>
      </w:pPr>
      <w:r>
        <w:t xml:space="preserve">46.</w:t>
      </w:r>
      <w:r>
        <w:t xml:space="preserve"> </w:t>
      </w:r>
      <w:r>
        <w:t xml:space="preserve">	</w:t>
      </w:r>
      <w:r>
        <w:t xml:space="preserve">Chakrabarti, S.</w:t>
      </w:r>
      <w:r>
        <w:t xml:space="preserve"> </w:t>
      </w:r>
      <w:r>
        <w:rPr>
          <w:iCs/>
          <w:i/>
        </w:rPr>
        <w:t xml:space="preserve">et al.</w:t>
      </w:r>
      <w:r>
        <w:t xml:space="preserve"> </w:t>
      </w:r>
      <w:hyperlink r:id="rId167">
        <w:r>
          <w:rPr>
            <w:rStyle w:val="Hyperlink"/>
          </w:rPr>
          <w:t xml:space="preserve">Hidden heterogeneity and circadian-controlled cell fate inferred from single cell lineages</w:t>
        </w:r>
      </w:hyperlink>
      <w:r>
        <w:t xml:space="preserve">.</w:t>
      </w:r>
      <w:r>
        <w:t xml:space="preserve"> </w:t>
      </w:r>
      <w:r>
        <w:rPr>
          <w:iCs/>
          <w:i/>
        </w:rPr>
        <w:t xml:space="preserve">Nature Communications</w:t>
      </w:r>
      <w:r>
        <w:t xml:space="preserve"> </w:t>
      </w:r>
      <w:r>
        <w:rPr>
          <w:bCs/>
          <w:b/>
        </w:rPr>
        <w:t xml:space="preserve">9</w:t>
      </w:r>
      <w:r>
        <w:t xml:space="preserve">, 5372 (2018).</w:t>
      </w:r>
    </w:p>
    <w:bookmarkEnd w:id="168"/>
    <w:bookmarkStart w:id="170" w:name="ref-algazi2020"/>
    <w:p>
      <w:pPr>
        <w:pStyle w:val="Bibliography"/>
      </w:pPr>
      <w:r>
        <w:t xml:space="preserve">47.</w:t>
      </w:r>
      <w:r>
        <w:t xml:space="preserve"> </w:t>
      </w:r>
      <w:r>
        <w:t xml:space="preserve">	</w:t>
      </w:r>
      <w:r>
        <w:t xml:space="preserve">Algazi, A. P.</w:t>
      </w:r>
      <w:r>
        <w:t xml:space="preserve"> </w:t>
      </w:r>
      <w:r>
        <w:rPr>
          <w:iCs/>
          <w:i/>
        </w:rPr>
        <w:t xml:space="preserve">et al.</w:t>
      </w:r>
      <w:r>
        <w:t xml:space="preserve"> </w:t>
      </w:r>
      <w:hyperlink r:id="rId169">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Cs/>
          <w:i/>
        </w:rPr>
        <w:t xml:space="preserve">Nature Medicine</w:t>
      </w:r>
      <w:r>
        <w:t xml:space="preserve"> </w:t>
      </w:r>
      <w:r>
        <w:rPr>
          <w:bCs/>
          <w:b/>
        </w:rPr>
        <w:t xml:space="preserve">26</w:t>
      </w:r>
      <w:r>
        <w:t xml:space="preserve">, 1564–1568 (2020).</w:t>
      </w:r>
    </w:p>
    <w:bookmarkEnd w:id="170"/>
    <w:bookmarkStart w:id="172" w:name="ref-zhang2017adaptive"/>
    <w:p>
      <w:pPr>
        <w:pStyle w:val="Bibliography"/>
      </w:pPr>
      <w:r>
        <w:t xml:space="preserve">48.</w:t>
      </w:r>
      <w:r>
        <w:t xml:space="preserve"> </w:t>
      </w:r>
      <w:r>
        <w:t xml:space="preserve">	</w:t>
      </w:r>
      <w:r>
        <w:t xml:space="preserve">Zhang, J., Cunningham, J. J., Brown, J. S. &amp; Gatenby, R. A.</w:t>
      </w:r>
      <w:r>
        <w:t xml:space="preserve"> </w:t>
      </w:r>
      <w:hyperlink r:id="rId171">
        <w:r>
          <w:rPr>
            <w:rStyle w:val="Hyperlink"/>
          </w:rPr>
          <w:t xml:space="preserve">Integrating evolutionary dynamics into treatment of metastatic castrate-resistant prostate cancer</w:t>
        </w:r>
      </w:hyperlink>
      <w:r>
        <w:t xml:space="preserve">.</w:t>
      </w:r>
      <w:r>
        <w:t xml:space="preserve"> </w:t>
      </w:r>
      <w:r>
        <w:rPr>
          <w:iCs/>
          <w:i/>
        </w:rPr>
        <w:t xml:space="preserve">Nature Communications</w:t>
      </w:r>
      <w:r>
        <w:t xml:space="preserve"> </w:t>
      </w:r>
      <w:r>
        <w:rPr>
          <w:bCs/>
          <w:b/>
        </w:rPr>
        <w:t xml:space="preserve">8</w:t>
      </w:r>
      <w:r>
        <w:t xml:space="preserve">, 1816 (2017).</w:t>
      </w:r>
    </w:p>
    <w:bookmarkEnd w:id="172"/>
    <w:bookmarkStart w:id="174" w:name="ref-dasthakur2013"/>
    <w:p>
      <w:pPr>
        <w:pStyle w:val="Bibliography"/>
      </w:pPr>
      <w:r>
        <w:t xml:space="preserve">49.</w:t>
      </w:r>
      <w:r>
        <w:t xml:space="preserve"> </w:t>
      </w:r>
      <w:r>
        <w:t xml:space="preserve">	</w:t>
      </w:r>
      <w:r>
        <w:t xml:space="preserve">Das Thakur, M.</w:t>
      </w:r>
      <w:r>
        <w:t xml:space="preserve"> </w:t>
      </w:r>
      <w:r>
        <w:rPr>
          <w:iCs/>
          <w:i/>
        </w:rPr>
        <w:t xml:space="preserve">et al.</w:t>
      </w:r>
      <w:r>
        <w:t xml:space="preserve"> </w:t>
      </w:r>
      <w:hyperlink r:id="rId173">
        <w:r>
          <w:rPr>
            <w:rStyle w:val="Hyperlink"/>
          </w:rPr>
          <w:t xml:space="preserve">Modelling vemurafenib resistance in melanoma reveals a strategy to forestall drug resistance</w:t>
        </w:r>
      </w:hyperlink>
      <w:r>
        <w:t xml:space="preserve">.</w:t>
      </w:r>
      <w:r>
        <w:t xml:space="preserve"> </w:t>
      </w:r>
      <w:r>
        <w:rPr>
          <w:iCs/>
          <w:i/>
        </w:rPr>
        <w:t xml:space="preserve">Nature</w:t>
      </w:r>
      <w:r>
        <w:t xml:space="preserve"> </w:t>
      </w:r>
      <w:r>
        <w:rPr>
          <w:bCs/>
          <w:b/>
        </w:rPr>
        <w:t xml:space="preserve">494</w:t>
      </w:r>
      <w:r>
        <w:t xml:space="preserve">, 251–255 (2013).</w:t>
      </w:r>
    </w:p>
    <w:bookmarkEnd w:id="174"/>
    <w:bookmarkStart w:id="176" w:name="ref-strobl2021"/>
    <w:p>
      <w:pPr>
        <w:pStyle w:val="Bibliography"/>
      </w:pPr>
      <w:r>
        <w:t xml:space="preserve">50.</w:t>
      </w:r>
      <w:r>
        <w:t xml:space="preserve"> </w:t>
      </w:r>
      <w:r>
        <w:t xml:space="preserve">	</w:t>
      </w:r>
      <w:r>
        <w:t xml:space="preserve">Strobl, M. A. R.</w:t>
      </w:r>
      <w:r>
        <w:t xml:space="preserve"> </w:t>
      </w:r>
      <w:r>
        <w:rPr>
          <w:iCs/>
          <w:i/>
        </w:rPr>
        <w:t xml:space="preserve">et al.</w:t>
      </w:r>
      <w:r>
        <w:t xml:space="preserve"> </w:t>
      </w:r>
      <w:hyperlink r:id="rId175">
        <w:r>
          <w:rPr>
            <w:rStyle w:val="Hyperlink"/>
          </w:rPr>
          <w:t xml:space="preserve">Turnover modulates the need for a cost of resistance in adaptive therapy</w:t>
        </w:r>
      </w:hyperlink>
      <w:r>
        <w:t xml:space="preserve">.</w:t>
      </w:r>
      <w:r>
        <w:t xml:space="preserve"> </w:t>
      </w:r>
      <w:r>
        <w:rPr>
          <w:iCs/>
          <w:i/>
        </w:rPr>
        <w:t xml:space="preserve">Cancer Research</w:t>
      </w:r>
      <w:r>
        <w:t xml:space="preserve"> </w:t>
      </w:r>
      <w:r>
        <w:rPr>
          <w:bCs/>
          <w:b/>
        </w:rPr>
        <w:t xml:space="preserve">81</w:t>
      </w:r>
      <w:r>
        <w:t xml:space="preserve">, 1135–1147 (2021).</w:t>
      </w:r>
    </w:p>
    <w:bookmarkEnd w:id="176"/>
    <w:bookmarkStart w:id="178" w:name="ref-gilbert2013"/>
    <w:p>
      <w:pPr>
        <w:pStyle w:val="Bibliography"/>
      </w:pPr>
      <w:r>
        <w:t xml:space="preserve">51.</w:t>
      </w:r>
      <w:r>
        <w:t xml:space="preserve"> </w:t>
      </w:r>
      <w:r>
        <w:t xml:space="preserve">	</w:t>
      </w:r>
      <w:r>
        <w:t xml:space="preserve">Gilbert, M. R.</w:t>
      </w:r>
      <w:r>
        <w:t xml:space="preserve"> </w:t>
      </w:r>
      <w:r>
        <w:rPr>
          <w:iCs/>
          <w:i/>
        </w:rPr>
        <w:t xml:space="preserve">et al.</w:t>
      </w:r>
      <w:r>
        <w:t xml:space="preserve"> </w:t>
      </w:r>
      <w:hyperlink r:id="rId177">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Cs/>
          <w:i/>
        </w:rPr>
        <w:t xml:space="preserve">Journal of Clinical Oncology</w:t>
      </w:r>
      <w:r>
        <w:t xml:space="preserve"> </w:t>
      </w:r>
      <w:r>
        <w:rPr>
          <w:bCs/>
          <w:b/>
        </w:rPr>
        <w:t xml:space="preserve">31</w:t>
      </w:r>
      <w:r>
        <w:t xml:space="preserve">, 4085–4091 (2013).</w:t>
      </w:r>
    </w:p>
    <w:bookmarkEnd w:id="178"/>
    <w:bookmarkStart w:id="180" w:name="ref-ostermann2004"/>
    <w:p>
      <w:pPr>
        <w:pStyle w:val="Bibliography"/>
      </w:pPr>
      <w:r>
        <w:t xml:space="preserve">52.</w:t>
      </w:r>
      <w:r>
        <w:t xml:space="preserve"> </w:t>
      </w:r>
      <w:r>
        <w:t xml:space="preserve">	</w:t>
      </w:r>
      <w:r>
        <w:t xml:space="preserve">Ostermann, S.</w:t>
      </w:r>
      <w:r>
        <w:t xml:space="preserve"> </w:t>
      </w:r>
      <w:r>
        <w:rPr>
          <w:iCs/>
          <w:i/>
        </w:rPr>
        <w:t xml:space="preserve">et al.</w:t>
      </w:r>
      <w:r>
        <w:t xml:space="preserve"> </w:t>
      </w:r>
      <w:hyperlink r:id="rId179">
        <w:r>
          <w:rPr>
            <w:rStyle w:val="Hyperlink"/>
          </w:rPr>
          <w:t xml:space="preserve">Plasma and cerebrospinal fluid population pharmacokinetics of temozolomide in malignant glioma patients</w:t>
        </w:r>
      </w:hyperlink>
      <w:r>
        <w:t xml:space="preserve">.</w:t>
      </w:r>
      <w:r>
        <w:t xml:space="preserve"> </w:t>
      </w:r>
      <w:r>
        <w:rPr>
          <w:iCs/>
          <w:i/>
        </w:rPr>
        <w:t xml:space="preserve">Clinical Cancer Research</w:t>
      </w:r>
      <w:r>
        <w:t xml:space="preserve"> </w:t>
      </w:r>
      <w:r>
        <w:rPr>
          <w:bCs/>
          <w:b/>
        </w:rPr>
        <w:t xml:space="preserve">10</w:t>
      </w:r>
      <w:r>
        <w:t xml:space="preserve">, 3728–3736 (2004).</w:t>
      </w:r>
    </w:p>
    <w:bookmarkEnd w:id="180"/>
    <w:bookmarkStart w:id="182" w:name="ref-rudek2004"/>
    <w:p>
      <w:pPr>
        <w:pStyle w:val="Bibliography"/>
      </w:pPr>
      <w:r>
        <w:t xml:space="preserve">53.</w:t>
      </w:r>
      <w:r>
        <w:t xml:space="preserve"> </w:t>
      </w:r>
      <w:r>
        <w:t xml:space="preserve">	</w:t>
      </w:r>
      <w:r>
        <w:t xml:space="preserve">Rudek, M. A.</w:t>
      </w:r>
      <w:r>
        <w:t xml:space="preserve"> </w:t>
      </w:r>
      <w:r>
        <w:rPr>
          <w:iCs/>
          <w:i/>
        </w:rPr>
        <w:t xml:space="preserve">et al.</w:t>
      </w:r>
      <w:r>
        <w:t xml:space="preserve"> </w:t>
      </w:r>
      <w:hyperlink r:id="rId181">
        <w:r>
          <w:rPr>
            <w:rStyle w:val="Hyperlink"/>
          </w:rPr>
          <w:t xml:space="preserve">Temozolomide in patients with advanced cancer: Phase</w:t>
        </w:r>
        <w:r>
          <w:rPr>
            <w:rStyle w:val="Hyperlink"/>
          </w:rPr>
          <w:t xml:space="preserve"> </w:t>
        </w:r>
        <w:r>
          <w:rPr>
            <w:rStyle w:val="Hyperlink"/>
          </w:rPr>
          <w:t xml:space="preserve">I</w:t>
        </w:r>
        <w:r>
          <w:rPr>
            <w:rStyle w:val="Hyperlink"/>
          </w:rPr>
          <w:t xml:space="preserve"> </w:t>
        </w:r>
        <w:r>
          <w:rPr>
            <w:rStyle w:val="Hyperlink"/>
          </w:rPr>
          <w:t xml:space="preserve">and pharmacokinetic study</w:t>
        </w:r>
      </w:hyperlink>
      <w:r>
        <w:t xml:space="preserve">.</w:t>
      </w:r>
      <w:r>
        <w:t xml:space="preserve"> </w:t>
      </w:r>
      <w:r>
        <w:rPr>
          <w:iCs/>
          <w:i/>
        </w:rPr>
        <w:t xml:space="preserve">Pharmacotherapy</w:t>
      </w:r>
      <w:r>
        <w:t xml:space="preserve"> </w:t>
      </w:r>
      <w:r>
        <w:rPr>
          <w:bCs/>
          <w:b/>
        </w:rPr>
        <w:t xml:space="preserve">24</w:t>
      </w:r>
      <w:r>
        <w:t xml:space="preserve">, 16–25 (2004).</w:t>
      </w:r>
    </w:p>
    <w:bookmarkEnd w:id="182"/>
    <w:bookmarkStart w:id="184" w:name="ref-tolcher2003"/>
    <w:p>
      <w:pPr>
        <w:pStyle w:val="Bibliography"/>
      </w:pPr>
      <w:r>
        <w:t xml:space="preserve">54.</w:t>
      </w:r>
      <w:r>
        <w:t xml:space="preserve"> </w:t>
      </w:r>
      <w:r>
        <w:t xml:space="preserve">	</w:t>
      </w:r>
      <w:r>
        <w:t xml:space="preserve">Tolcher, A. W.</w:t>
      </w:r>
      <w:r>
        <w:t xml:space="preserve"> </w:t>
      </w:r>
      <w:r>
        <w:rPr>
          <w:iCs/>
          <w:i/>
        </w:rPr>
        <w:t xml:space="preserve">et al.</w:t>
      </w:r>
      <w:r>
        <w:t xml:space="preserve"> </w:t>
      </w:r>
      <w:hyperlink r:id="rId183">
        <w:r>
          <w:rPr>
            <w:rStyle w:val="Hyperlink"/>
          </w:rPr>
          <w:t xml:space="preserve">Marked inactivation of</w:t>
        </w:r>
        <w:r>
          <w:rPr>
            <w:rStyle w:val="Hyperlink"/>
          </w:rPr>
          <w:t xml:space="preserve"> </w:t>
        </w:r>
        <w:r>
          <w:rPr>
            <w:rStyle w:val="Hyperlink"/>
          </w:rPr>
          <w:t xml:space="preserve">O6-alkylguanine-DNA</w:t>
        </w:r>
        <w:r>
          <w:rPr>
            <w:rStyle w:val="Hyperlink"/>
          </w:rPr>
          <w:t xml:space="preserve"> </w:t>
        </w:r>
        <w:r>
          <w:rPr>
            <w:rStyle w:val="Hyperlink"/>
          </w:rPr>
          <w:t xml:space="preserve">alkyltransferase activity with protracted temozolomide schedules</w:t>
        </w:r>
      </w:hyperlink>
      <w:r>
        <w:t xml:space="preserve">.</w:t>
      </w:r>
      <w:r>
        <w:t xml:space="preserve"> </w:t>
      </w:r>
      <w:r>
        <w:rPr>
          <w:iCs/>
          <w:i/>
        </w:rPr>
        <w:t xml:space="preserve">British Journal of Cancer</w:t>
      </w:r>
      <w:r>
        <w:t xml:space="preserve"> </w:t>
      </w:r>
      <w:r>
        <w:rPr>
          <w:bCs/>
          <w:b/>
        </w:rPr>
        <w:t xml:space="preserve">88</w:t>
      </w:r>
      <w:r>
        <w:t xml:space="preserve">, 1004–1011 (2003).</w:t>
      </w:r>
    </w:p>
    <w:bookmarkEnd w:id="184"/>
    <w:bookmarkStart w:id="186" w:name="ref-middleton2000"/>
    <w:p>
      <w:pPr>
        <w:pStyle w:val="Bibliography"/>
      </w:pPr>
      <w:r>
        <w:t xml:space="preserve">55.</w:t>
      </w:r>
      <w:r>
        <w:t xml:space="preserve"> </w:t>
      </w:r>
      <w:r>
        <w:t xml:space="preserve">	</w:t>
      </w:r>
      <w:r>
        <w:t xml:space="preserve">Middleton, M. R.</w:t>
      </w:r>
      <w:r>
        <w:t xml:space="preserve"> </w:t>
      </w:r>
      <w:r>
        <w:rPr>
          <w:iCs/>
          <w:i/>
        </w:rPr>
        <w:t xml:space="preserve">et al.</w:t>
      </w:r>
      <w:r>
        <w:t xml:space="preserve"> </w:t>
      </w:r>
      <w:hyperlink r:id="rId185">
        <w:r>
          <w:rPr>
            <w:rStyle w:val="Hyperlink"/>
          </w:rPr>
          <w:t xml:space="preserve">O6-methylguanine</w:t>
        </w:r>
        <w:r>
          <w:rPr>
            <w:rStyle w:val="Hyperlink"/>
          </w:rPr>
          <w:t xml:space="preserve"> </w:t>
        </w:r>
        <w:r>
          <w:rPr>
            <w:rStyle w:val="Hyperlink"/>
          </w:rPr>
          <w:t xml:space="preserve">formation, repair protein depletion and clinical outcome with a 4 hr schedule of temozolomide in the treatment of advanced melanoma: Results of a phase</w:t>
        </w:r>
        <w:r>
          <w:rPr>
            <w:rStyle w:val="Hyperlink"/>
          </w:rPr>
          <w:t xml:space="preserve"> </w:t>
        </w:r>
        <w:r>
          <w:rPr>
            <w:rStyle w:val="Hyperlink"/>
          </w:rPr>
          <w:t xml:space="preserve">II</w:t>
        </w:r>
        <w:r>
          <w:rPr>
            <w:rStyle w:val="Hyperlink"/>
          </w:rPr>
          <w:t xml:space="preserve"> </w:t>
        </w:r>
        <w:r>
          <w:rPr>
            <w:rStyle w:val="Hyperlink"/>
          </w:rPr>
          <w:t xml:space="preserve">study</w:t>
        </w:r>
      </w:hyperlink>
      <w:r>
        <w:t xml:space="preserve">.</w:t>
      </w:r>
      <w:r>
        <w:t xml:space="preserve"> </w:t>
      </w:r>
      <w:r>
        <w:rPr>
          <w:iCs/>
          <w:i/>
        </w:rPr>
        <w:t xml:space="preserve">International Journal of Cancer</w:t>
      </w:r>
      <w:r>
        <w:t xml:space="preserve"> </w:t>
      </w:r>
      <w:r>
        <w:rPr>
          <w:bCs/>
          <w:b/>
        </w:rPr>
        <w:t xml:space="preserve">88</w:t>
      </w:r>
      <w:r>
        <w:t xml:space="preserve">, 469–473 (2000).</w:t>
      </w:r>
    </w:p>
    <w:bookmarkEnd w:id="186"/>
    <w:bookmarkStart w:id="188" w:name="ref-robinson2010"/>
    <w:p>
      <w:pPr>
        <w:pStyle w:val="Bibliography"/>
      </w:pPr>
      <w:r>
        <w:t xml:space="preserve">56.</w:t>
      </w:r>
      <w:r>
        <w:t xml:space="preserve"> </w:t>
      </w:r>
      <w:r>
        <w:t xml:space="preserve">	</w:t>
      </w:r>
      <w:r>
        <w:t xml:space="preserve">Robinson, C. G.</w:t>
      </w:r>
      <w:r>
        <w:t xml:space="preserve"> </w:t>
      </w:r>
      <w:r>
        <w:rPr>
          <w:iCs/>
          <w:i/>
        </w:rPr>
        <w:t xml:space="preserve">et al.</w:t>
      </w:r>
      <w:r>
        <w:t xml:space="preserve"> </w:t>
      </w:r>
      <w:hyperlink r:id="rId187">
        <w:r>
          <w:rPr>
            <w:rStyle w:val="Hyperlink"/>
          </w:rPr>
          <w:t xml:space="preserve">Effect of alternative temozolomide schedules on glioblastoma</w:t>
        </w:r>
        <w:r>
          <w:rPr>
            <w:rStyle w:val="Hyperlink"/>
          </w:rPr>
          <w:t xml:space="preserve"> </w:t>
        </w:r>
        <w:r>
          <w:rPr>
            <w:rStyle w:val="Hyperlink"/>
          </w:rPr>
          <w:t xml:space="preserve">O6-methylguanine-DNA</w:t>
        </w:r>
        <w:r>
          <w:rPr>
            <w:rStyle w:val="Hyperlink"/>
          </w:rPr>
          <w:t xml:space="preserve"> </w:t>
        </w:r>
        <w:r>
          <w:rPr>
            <w:rStyle w:val="Hyperlink"/>
          </w:rPr>
          <w:t xml:space="preserve">methyltransferase activity and survival</w:t>
        </w:r>
      </w:hyperlink>
      <w:r>
        <w:t xml:space="preserve">.</w:t>
      </w:r>
      <w:r>
        <w:t xml:space="preserve"> </w:t>
      </w:r>
      <w:r>
        <w:rPr>
          <w:iCs/>
          <w:i/>
        </w:rPr>
        <w:t xml:space="preserve">British Journal of Cancer</w:t>
      </w:r>
      <w:r>
        <w:t xml:space="preserve"> </w:t>
      </w:r>
      <w:r>
        <w:rPr>
          <w:bCs/>
          <w:b/>
        </w:rPr>
        <w:t xml:space="preserve">103</w:t>
      </w:r>
      <w:r>
        <w:t xml:space="preserve">, 498–504 (2010).</w:t>
      </w:r>
    </w:p>
    <w:bookmarkEnd w:id="188"/>
    <w:bookmarkStart w:id="190" w:name="ref-gillespie1977"/>
    <w:p>
      <w:pPr>
        <w:pStyle w:val="Bibliography"/>
      </w:pPr>
      <w:r>
        <w:t xml:space="preserve">57.</w:t>
      </w:r>
      <w:r>
        <w:t xml:space="preserve"> </w:t>
      </w:r>
      <w:r>
        <w:t xml:space="preserve">	</w:t>
      </w:r>
      <w:r>
        <w:t xml:space="preserve">Gillespie, D. T.</w:t>
      </w:r>
      <w:r>
        <w:t xml:space="preserve"> </w:t>
      </w:r>
      <w:hyperlink r:id="rId189">
        <w:r>
          <w:rPr>
            <w:rStyle w:val="Hyperlink"/>
          </w:rPr>
          <w:t xml:space="preserve">Exact stochastic simulation of coupled chemical reactions</w:t>
        </w:r>
      </w:hyperlink>
      <w:r>
        <w:t xml:space="preserve">.</w:t>
      </w:r>
      <w:r>
        <w:t xml:space="preserve"> </w:t>
      </w:r>
      <w:r>
        <w:rPr>
          <w:iCs/>
          <w:i/>
        </w:rPr>
        <w:t xml:space="preserve">The Journal of Physical Chemistry</w:t>
      </w:r>
      <w:r>
        <w:t xml:space="preserve"> </w:t>
      </w:r>
      <w:r>
        <w:rPr>
          <w:bCs/>
          <w:b/>
        </w:rPr>
        <w:t xml:space="preserve">81</w:t>
      </w:r>
      <w:r>
        <w:t xml:space="preserve">, 2340–2361 (1977).</w:t>
      </w:r>
    </w:p>
    <w:bookmarkEnd w:id="190"/>
    <w:bookmarkStart w:id="192" w:name="ref-gillespie2001"/>
    <w:p>
      <w:pPr>
        <w:pStyle w:val="Bibliography"/>
      </w:pPr>
      <w:r>
        <w:t xml:space="preserve">58.</w:t>
      </w:r>
      <w:r>
        <w:t xml:space="preserve"> </w:t>
      </w:r>
      <w:r>
        <w:t xml:space="preserve">	</w:t>
      </w:r>
      <w:r>
        <w:t xml:space="preserve">Gillespie, D. T.</w:t>
      </w:r>
      <w:r>
        <w:t xml:space="preserve"> </w:t>
      </w:r>
      <w:hyperlink r:id="rId191">
        <w:r>
          <w:rPr>
            <w:rStyle w:val="Hyperlink"/>
          </w:rPr>
          <w:t xml:space="preserve">Approximate accelerated stochastic simulation of chemically reacting systems</w:t>
        </w:r>
      </w:hyperlink>
      <w:r>
        <w:t xml:space="preserve">.</w:t>
      </w:r>
      <w:r>
        <w:t xml:space="preserve"> </w:t>
      </w:r>
      <w:r>
        <w:rPr>
          <w:iCs/>
          <w:i/>
        </w:rPr>
        <w:t xml:space="preserve">The Journal of Chemical Physics</w:t>
      </w:r>
      <w:r>
        <w:t xml:space="preserve"> </w:t>
      </w:r>
      <w:r>
        <w:rPr>
          <w:bCs/>
          <w:b/>
        </w:rPr>
        <w:t xml:space="preserve">115</w:t>
      </w:r>
      <w:r>
        <w:t xml:space="preserve">, 1716–1733 (2001).</w:t>
      </w:r>
    </w:p>
    <w:bookmarkEnd w:id="192"/>
    <w:bookmarkStart w:id="194" w:name="ref-cao2006"/>
    <w:p>
      <w:pPr>
        <w:pStyle w:val="Bibliography"/>
      </w:pPr>
      <w:r>
        <w:t xml:space="preserve">59.</w:t>
      </w:r>
      <w:r>
        <w:t xml:space="preserve"> </w:t>
      </w:r>
      <w:r>
        <w:t xml:space="preserve">	</w:t>
      </w:r>
      <w:r>
        <w:t xml:space="preserve">Cao, Y., Gillespie, D. T. &amp; Petzold, L. R.</w:t>
      </w:r>
      <w:r>
        <w:t xml:space="preserve"> </w:t>
      </w:r>
      <w:hyperlink r:id="rId193">
        <w:r>
          <w:rPr>
            <w:rStyle w:val="Hyperlink"/>
          </w:rPr>
          <w:t xml:space="preserve">Efficient step size selection for the tau-leaping simulation method</w:t>
        </w:r>
      </w:hyperlink>
      <w:r>
        <w:t xml:space="preserve">.</w:t>
      </w:r>
      <w:r>
        <w:t xml:space="preserve"> </w:t>
      </w:r>
      <w:r>
        <w:rPr>
          <w:iCs/>
          <w:i/>
        </w:rPr>
        <w:t xml:space="preserve">The Journal of Chemical Physics</w:t>
      </w:r>
      <w:r>
        <w:t xml:space="preserve"> </w:t>
      </w:r>
      <w:r>
        <w:rPr>
          <w:bCs/>
          <w:b/>
        </w:rPr>
        <w:t xml:space="preserve">124</w:t>
      </w:r>
      <w:r>
        <w:t xml:space="preserve">, 044109 (2006).</w:t>
      </w:r>
    </w:p>
    <w:bookmarkEnd w:id="194"/>
    <w:bookmarkStart w:id="196" w:name="ref-cao2005"/>
    <w:p>
      <w:pPr>
        <w:pStyle w:val="Bibliography"/>
      </w:pPr>
      <w:r>
        <w:t xml:space="preserve">60.</w:t>
      </w:r>
      <w:r>
        <w:t xml:space="preserve"> </w:t>
      </w:r>
      <w:r>
        <w:t xml:space="preserve">	</w:t>
      </w:r>
      <w:r>
        <w:t xml:space="preserve">Cao, Y., Gillespie, D. T. &amp; Petzold, L. R.</w:t>
      </w:r>
      <w:r>
        <w:t xml:space="preserve"> </w:t>
      </w:r>
      <w:hyperlink r:id="rId195">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Cs/>
          <w:i/>
        </w:rPr>
        <w:t xml:space="preserve">The Journal of Chemical Physics</w:t>
      </w:r>
      <w:r>
        <w:t xml:space="preserve"> </w:t>
      </w:r>
      <w:r>
        <w:rPr>
          <w:bCs/>
          <w:b/>
        </w:rPr>
        <w:t xml:space="preserve">123</w:t>
      </w:r>
      <w:r>
        <w:t xml:space="preserve">, 054104 (2005).</w:t>
      </w:r>
    </w:p>
    <w:bookmarkEnd w:id="196"/>
    <w:bookmarkStart w:id="198" w:name="ref-shaffer2020"/>
    <w:p>
      <w:pPr>
        <w:pStyle w:val="Bibliography"/>
      </w:pPr>
      <w:r>
        <w:t xml:space="preserve">61.</w:t>
      </w:r>
      <w:r>
        <w:t xml:space="preserve"> </w:t>
      </w:r>
      <w:r>
        <w:t xml:space="preserve">	</w:t>
      </w:r>
      <w:r>
        <w:t xml:space="preserve">Shaffer, S. M.</w:t>
      </w:r>
      <w:r>
        <w:t xml:space="preserve"> </w:t>
      </w:r>
      <w:r>
        <w:rPr>
          <w:iCs/>
          <w:i/>
        </w:rPr>
        <w:t xml:space="preserve">et al.</w:t>
      </w:r>
      <w:r>
        <w:t xml:space="preserve"> </w:t>
      </w:r>
      <w:hyperlink r:id="rId197">
        <w:r>
          <w:rPr>
            <w:rStyle w:val="Hyperlink"/>
          </w:rPr>
          <w:t xml:space="preserve">Memory sequencing reveals heritable single-cell gene expression programs associated with distinct cellular behaviors</w:t>
        </w:r>
      </w:hyperlink>
      <w:r>
        <w:t xml:space="preserve">.</w:t>
      </w:r>
      <w:r>
        <w:t xml:space="preserve"> </w:t>
      </w:r>
      <w:r>
        <w:rPr>
          <w:iCs/>
          <w:i/>
        </w:rPr>
        <w:t xml:space="preserve">Cell</w:t>
      </w:r>
      <w:r>
        <w:t xml:space="preserve"> </w:t>
      </w:r>
      <w:r>
        <w:rPr>
          <w:bCs/>
          <w:b/>
        </w:rPr>
        <w:t xml:space="preserve">182</w:t>
      </w:r>
      <w:r>
        <w:t xml:space="preserve">, 947–959 (2020).</w:t>
      </w:r>
    </w:p>
    <w:bookmarkEnd w:id="198"/>
    <w:bookmarkStart w:id="200" w:name="ref-toni2009"/>
    <w:p>
      <w:pPr>
        <w:pStyle w:val="Bibliography"/>
      </w:pPr>
      <w:r>
        <w:t xml:space="preserve">62.</w:t>
      </w:r>
      <w:r>
        <w:t xml:space="preserve"> </w:t>
      </w:r>
      <w:r>
        <w:t xml:space="preserve">	</w:t>
      </w:r>
      <w:r>
        <w:t xml:space="preserve">Toni, T., Welch, D., Strelkowa, N., Ipsen, A. &amp; Stumpf, M. P. H.</w:t>
      </w:r>
      <w:r>
        <w:t xml:space="preserve"> </w:t>
      </w:r>
      <w:hyperlink r:id="rId199">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Cs/>
          <w:i/>
        </w:rPr>
        <w:t xml:space="preserve">Journal of the Royal Society Interface</w:t>
      </w:r>
      <w:r>
        <w:t xml:space="preserve"> </w:t>
      </w:r>
      <w:r>
        <w:rPr>
          <w:bCs/>
          <w:b/>
        </w:rPr>
        <w:t xml:space="preserve">6</w:t>
      </w:r>
      <w:r>
        <w:t xml:space="preserve">, 187–202 (2009).</w:t>
      </w:r>
    </w:p>
    <w:bookmarkEnd w:id="200"/>
    <w:bookmarkStart w:id="202" w:name="ref-ellingson2016"/>
    <w:p>
      <w:pPr>
        <w:pStyle w:val="Bibliography"/>
      </w:pPr>
      <w:r>
        <w:t xml:space="preserve">63.</w:t>
      </w:r>
      <w:r>
        <w:t xml:space="preserve"> </w:t>
      </w:r>
      <w:r>
        <w:t xml:space="preserve">	</w:t>
      </w:r>
      <w:r>
        <w:t xml:space="preserve">Ellingson, B. M.</w:t>
      </w:r>
      <w:r>
        <w:t xml:space="preserve"> </w:t>
      </w:r>
      <w:r>
        <w:rPr>
          <w:iCs/>
          <w:i/>
        </w:rPr>
        <w:t xml:space="preserve">et al.</w:t>
      </w:r>
      <w:r>
        <w:t xml:space="preserve"> </w:t>
      </w:r>
      <w:hyperlink r:id="rId201">
        <w:r>
          <w:rPr>
            <w:rStyle w:val="Hyperlink"/>
          </w:rPr>
          <w:t xml:space="preserve">Contrast-enhancing tumor growth dynamics of preoperative, treatment-naive human glioblastoma</w:t>
        </w:r>
      </w:hyperlink>
      <w:r>
        <w:t xml:space="preserve">.</w:t>
      </w:r>
      <w:r>
        <w:t xml:space="preserve"> </w:t>
      </w:r>
      <w:r>
        <w:rPr>
          <w:iCs/>
          <w:i/>
        </w:rPr>
        <w:t xml:space="preserve">Cancer</w:t>
      </w:r>
      <w:r>
        <w:t xml:space="preserve"> </w:t>
      </w:r>
      <w:r>
        <w:rPr>
          <w:bCs/>
          <w:b/>
        </w:rPr>
        <w:t xml:space="preserve">122</w:t>
      </w:r>
      <w:r>
        <w:t xml:space="preserve">, 1718–1727 (2016).</w:t>
      </w:r>
    </w:p>
    <w:bookmarkEnd w:id="202"/>
    <w:bookmarkStart w:id="204" w:name="ref-stensjoen2015"/>
    <w:p>
      <w:pPr>
        <w:pStyle w:val="Bibliography"/>
      </w:pPr>
      <w:r>
        <w:t xml:space="preserve">64.</w:t>
      </w:r>
      <w:r>
        <w:t xml:space="preserve"> </w:t>
      </w:r>
      <w:r>
        <w:t xml:space="preserve">	</w:t>
      </w:r>
      <w:r>
        <w:t xml:space="preserve">Stensjøen, A. L.</w:t>
      </w:r>
      <w:r>
        <w:t xml:space="preserve"> </w:t>
      </w:r>
      <w:r>
        <w:rPr>
          <w:iCs/>
          <w:i/>
        </w:rPr>
        <w:t xml:space="preserve">et al.</w:t>
      </w:r>
      <w:r>
        <w:t xml:space="preserve"> </w:t>
      </w:r>
      <w:hyperlink r:id="rId203">
        <w:r>
          <w:rPr>
            <w:rStyle w:val="Hyperlink"/>
          </w:rPr>
          <w:t xml:space="preserve">Growth dynamics of untreated glioblastomas in vivo</w:t>
        </w:r>
      </w:hyperlink>
      <w:r>
        <w:t xml:space="preserve">.</w:t>
      </w:r>
      <w:r>
        <w:t xml:space="preserve"> </w:t>
      </w:r>
      <w:r>
        <w:rPr>
          <w:iCs/>
          <w:i/>
        </w:rPr>
        <w:t xml:space="preserve">Neuro-Oncology</w:t>
      </w:r>
      <w:r>
        <w:t xml:space="preserve"> </w:t>
      </w:r>
      <w:r>
        <w:rPr>
          <w:bCs/>
          <w:b/>
        </w:rPr>
        <w:t xml:space="preserve">17</w:t>
      </w:r>
      <w:r>
        <w:t xml:space="preserve">, 1402–1411 (2015).</w:t>
      </w:r>
    </w:p>
    <w:bookmarkEnd w:id="204"/>
    <w:bookmarkStart w:id="206" w:name="ref-friedman2006"/>
    <w:p>
      <w:pPr>
        <w:pStyle w:val="Bibliography"/>
      </w:pPr>
      <w:r>
        <w:t xml:space="preserve">65.</w:t>
      </w:r>
      <w:r>
        <w:t xml:space="preserve"> </w:t>
      </w:r>
      <w:r>
        <w:t xml:space="preserve">	</w:t>
      </w:r>
      <w:r>
        <w:t xml:space="preserve">Friedman, N., Cai, L. &amp; Xie, X. S.</w:t>
      </w:r>
      <w:r>
        <w:t xml:space="preserve"> </w:t>
      </w:r>
      <w:hyperlink r:id="rId205">
        <w:r>
          <w:rPr>
            <w:rStyle w:val="Hyperlink"/>
          </w:rPr>
          <w:t xml:space="preserve">Linking stochastic dynamics to population distribution: An analytical framework of gene expression</w:t>
        </w:r>
      </w:hyperlink>
      <w:r>
        <w:t xml:space="preserve">.</w:t>
      </w:r>
      <w:r>
        <w:t xml:space="preserve"> </w:t>
      </w:r>
      <w:r>
        <w:rPr>
          <w:iCs/>
          <w:i/>
        </w:rPr>
        <w:t xml:space="preserve">Physical Review Letters</w:t>
      </w:r>
      <w:r>
        <w:t xml:space="preserve"> </w:t>
      </w:r>
      <w:r>
        <w:rPr>
          <w:bCs/>
          <w:b/>
        </w:rPr>
        <w:t xml:space="preserve">97</w:t>
      </w:r>
      <w:r>
        <w:t xml:space="preserve">, 168302 (2006).</w:t>
      </w:r>
    </w:p>
    <w:bookmarkEnd w:id="206"/>
    <w:bookmarkStart w:id="208" w:name="ref-shahrezaei2008"/>
    <w:p>
      <w:pPr>
        <w:pStyle w:val="Bibliography"/>
      </w:pPr>
      <w:r>
        <w:t xml:space="preserve">66.</w:t>
      </w:r>
      <w:r>
        <w:t xml:space="preserve"> </w:t>
      </w:r>
      <w:r>
        <w:t xml:space="preserve">	</w:t>
      </w:r>
      <w:r>
        <w:t xml:space="preserve">Shahrezaei, V. &amp; Swain, P. S.</w:t>
      </w:r>
      <w:r>
        <w:t xml:space="preserve"> </w:t>
      </w:r>
      <w:hyperlink r:id="rId207">
        <w:r>
          <w:rPr>
            <w:rStyle w:val="Hyperlink"/>
          </w:rPr>
          <w:t xml:space="preserve">Analytical distributions for stochastic gene expression</w:t>
        </w:r>
      </w:hyperlink>
      <w:r>
        <w:t xml:space="preserve">.</w:t>
      </w:r>
      <w:r>
        <w:t xml:space="preserve"> </w:t>
      </w:r>
      <w:r>
        <w:rPr>
          <w:iCs/>
          <w:i/>
        </w:rPr>
        <w:t xml:space="preserve">Proceedings of the National Academy of Sciences</w:t>
      </w:r>
      <w:r>
        <w:t xml:space="preserve"> </w:t>
      </w:r>
      <w:r>
        <w:rPr>
          <w:bCs/>
          <w:b/>
        </w:rPr>
        <w:t xml:space="preserve">105</w:t>
      </w:r>
      <w:r>
        <w:t xml:space="preserve">, 17256–17261 (2008).</w:t>
      </w:r>
    </w:p>
    <w:bookmarkEnd w:id="208"/>
    <w:bookmarkStart w:id="210" w:name="ref-sciml"/>
    <w:p>
      <w:pPr>
        <w:pStyle w:val="Bibliography"/>
      </w:pPr>
      <w:r>
        <w:t xml:space="preserve">67.</w:t>
      </w:r>
      <w:r>
        <w:t xml:space="preserve"> </w:t>
      </w:r>
      <w:r>
        <w:t xml:space="preserve">	</w:t>
      </w:r>
      <w:r>
        <w:t xml:space="preserve">Rackauckas, C. &amp; Nie, Q.</w:t>
      </w:r>
      <w:r>
        <w:t xml:space="preserve"> </w:t>
      </w:r>
      <w:hyperlink r:id="rId209">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Cs/>
          <w:i/>
        </w:rPr>
        <w:t xml:space="preserve">Journal of Open Research Software</w:t>
      </w:r>
      <w:r>
        <w:t xml:space="preserve"> </w:t>
      </w:r>
      <w:r>
        <w:t xml:space="preserve">vol. 5 15 (2017).</w:t>
      </w:r>
    </w:p>
    <w:bookmarkEnd w:id="210"/>
    <w:bookmarkStart w:id="212" w:name="ref-huh2011"/>
    <w:p>
      <w:pPr>
        <w:pStyle w:val="Bibliography"/>
      </w:pPr>
      <w:r>
        <w:t xml:space="preserve">68.</w:t>
      </w:r>
      <w:r>
        <w:t xml:space="preserve"> </w:t>
      </w:r>
      <w:r>
        <w:t xml:space="preserve">	</w:t>
      </w:r>
      <w:r>
        <w:t xml:space="preserve">Huh, D. &amp; Paulsson, J.</w:t>
      </w:r>
      <w:r>
        <w:t xml:space="preserve"> </w:t>
      </w:r>
      <w:hyperlink r:id="rId211">
        <w:r>
          <w:rPr>
            <w:rStyle w:val="Hyperlink"/>
          </w:rPr>
          <w:t xml:space="preserve">Non-genetic heterogeneity from stochastic partitioning at cell division</w:t>
        </w:r>
      </w:hyperlink>
      <w:r>
        <w:t xml:space="preserve">.</w:t>
      </w:r>
      <w:r>
        <w:t xml:space="preserve"> </w:t>
      </w:r>
      <w:r>
        <w:rPr>
          <w:iCs/>
          <w:i/>
        </w:rPr>
        <w:t xml:space="preserve">Nature Genetics</w:t>
      </w:r>
      <w:r>
        <w:t xml:space="preserve"> </w:t>
      </w:r>
      <w:r>
        <w:rPr>
          <w:bCs/>
          <w:b/>
        </w:rPr>
        <w:t xml:space="preserve">43</w:t>
      </w:r>
      <w:r>
        <w:t xml:space="preserve">, 95–100 (2011).</w:t>
      </w:r>
    </w:p>
    <w:bookmarkEnd w:id="212"/>
    <w:bookmarkStart w:id="214" w:name="ref-huynhthu2010"/>
    <w:p>
      <w:pPr>
        <w:pStyle w:val="Bibliography"/>
      </w:pPr>
      <w:r>
        <w:t xml:space="preserve">69.</w:t>
      </w:r>
      <w:r>
        <w:t xml:space="preserve"> </w:t>
      </w:r>
      <w:r>
        <w:t xml:space="preserve">	</w:t>
      </w:r>
      <w:r>
        <w:t xml:space="preserve">Huynh-Thu, V. A., Irrthum, A., Wehenkel, L. &amp; Geurts, P.</w:t>
      </w:r>
      <w:r>
        <w:t xml:space="preserve"> </w:t>
      </w:r>
      <w:hyperlink r:id="rId213">
        <w:r>
          <w:rPr>
            <w:rStyle w:val="Hyperlink"/>
          </w:rPr>
          <w:t xml:space="preserve">Inferring regulatory networks from expression data using tree-based methods</w:t>
        </w:r>
      </w:hyperlink>
      <w:r>
        <w:t xml:space="preserve">.</w:t>
      </w:r>
      <w:r>
        <w:t xml:space="preserve"> </w:t>
      </w:r>
      <w:r>
        <w:rPr>
          <w:iCs/>
          <w:i/>
        </w:rPr>
        <w:t xml:space="preserve">PLoS ONE</w:t>
      </w:r>
      <w:r>
        <w:t xml:space="preserve"> </w:t>
      </w:r>
      <w:r>
        <w:rPr>
          <w:bCs/>
          <w:b/>
        </w:rPr>
        <w:t xml:space="preserve">5</w:t>
      </w:r>
      <w:r>
        <w:t xml:space="preserve">, e12776 (2010).</w:t>
      </w:r>
    </w:p>
    <w:bookmarkEnd w:id="214"/>
    <w:bookmarkStart w:id="216" w:name="ref-vandijk2018"/>
    <w:p>
      <w:pPr>
        <w:pStyle w:val="Bibliography"/>
      </w:pPr>
      <w:r>
        <w:t xml:space="preserve">70.</w:t>
      </w:r>
      <w:r>
        <w:t xml:space="preserve"> </w:t>
      </w:r>
      <w:r>
        <w:t xml:space="preserve">	</w:t>
      </w:r>
      <w:r>
        <w:t xml:space="preserve">Dijk, D. van</w:t>
      </w:r>
      <w:r>
        <w:t xml:space="preserve"> </w:t>
      </w:r>
      <w:r>
        <w:rPr>
          <w:iCs/>
          <w:i/>
        </w:rPr>
        <w:t xml:space="preserve">et al.</w:t>
      </w:r>
      <w:r>
        <w:t xml:space="preserve"> </w:t>
      </w:r>
      <w:hyperlink r:id="rId215">
        <w:r>
          <w:rPr>
            <w:rStyle w:val="Hyperlink"/>
          </w:rPr>
          <w:t xml:space="preserve">Recovering gene interactions from single-cell data using data diffusion</w:t>
        </w:r>
      </w:hyperlink>
      <w:r>
        <w:t xml:space="preserve">.</w:t>
      </w:r>
      <w:r>
        <w:t xml:space="preserve"> </w:t>
      </w:r>
      <w:r>
        <w:rPr>
          <w:iCs/>
          <w:i/>
        </w:rPr>
        <w:t xml:space="preserve">Cell</w:t>
      </w:r>
      <w:r>
        <w:t xml:space="preserve"> </w:t>
      </w:r>
      <w:r>
        <w:rPr>
          <w:bCs/>
          <w:b/>
        </w:rPr>
        <w:t xml:space="preserve">174</w:t>
      </w:r>
      <w:r>
        <w:t xml:space="preserve">, 716–729 (2018).</w:t>
      </w:r>
    </w:p>
    <w:bookmarkEnd w:id="216"/>
    <w:bookmarkStart w:id="218" w:name="ref-wagner2018"/>
    <w:p>
      <w:pPr>
        <w:pStyle w:val="Bibliography"/>
      </w:pPr>
      <w:r>
        <w:t xml:space="preserve">71.</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Cs/>
          <w:i/>
        </w:rPr>
        <w:t xml:space="preserve">bioRxiv</w:t>
      </w:r>
      <w:r>
        <w:t xml:space="preserve"> </w:t>
      </w:r>
      <w:hyperlink r:id="rId217">
        <w:r>
          <w:rPr>
            <w:rStyle w:val="Hyperlink"/>
          </w:rPr>
          <w:t xml:space="preserve">https://doi.org/10.1101/217737</w:t>
        </w:r>
      </w:hyperlink>
      <w:r>
        <w:t xml:space="preserve"> </w:t>
      </w:r>
      <w:r>
        <w:t xml:space="preserve">(2018) doi:</w:t>
      </w:r>
      <w:hyperlink r:id="rId217">
        <w:r>
          <w:rPr>
            <w:rStyle w:val="Hyperlink"/>
          </w:rPr>
          <w:t xml:space="preserve">10.1101/217737</w:t>
        </w:r>
      </w:hyperlink>
      <w:r>
        <w:t xml:space="preserve">.</w:t>
      </w:r>
    </w:p>
    <w:bookmarkEnd w:id="218"/>
    <w:bookmarkEnd w:id="219"/>
    <w:bookmarkEnd w:id="2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hyperlink" Id="rId185" Target="https://doi.org/10.1002/1097-0215(20001101)88:3&lt;469::AID-IJC21&gt;3.0.CO;2-7" TargetMode="External" /><Relationship Type="http://schemas.openxmlformats.org/officeDocument/2006/relationships/hyperlink" Id="rId201" Target="https://doi.org/10.1002/cncr.29957" TargetMode="External" /><Relationship Type="http://schemas.openxmlformats.org/officeDocument/2006/relationships/hyperlink" Id="rId143" Target="https://doi.org/10.1006/tpbi.1995.1027" TargetMode="External" /><Relationship Type="http://schemas.openxmlformats.org/officeDocument/2006/relationships/hyperlink" Id="rId77" Target="https://doi.org/10.1016/j.cell.2010.02.027" TargetMode="External" /><Relationship Type="http://schemas.openxmlformats.org/officeDocument/2006/relationships/hyperlink" Id="rId215" Target="https://doi.org/10.1016/j.cell.2018.05.061" TargetMode="External" /><Relationship Type="http://schemas.openxmlformats.org/officeDocument/2006/relationships/hyperlink" Id="rId197" Target="https://doi.org/10.1016/j.cell.2020.07.003" TargetMode="External" /><Relationship Type="http://schemas.openxmlformats.org/officeDocument/2006/relationships/hyperlink" Id="rId107" Target="https://doi.org/10.1016/j.cell.2024.11.015" TargetMode="External" /><Relationship Type="http://schemas.openxmlformats.org/officeDocument/2006/relationships/hyperlink" Id="rId115" Target="https://doi.org/10.1016/j.cels.2020.08.003" TargetMode="External" /><Relationship Type="http://schemas.openxmlformats.org/officeDocument/2006/relationships/hyperlink" Id="rId89" Target="https://doi.org/10.1016/j.cels.2026.101621" TargetMode="External" /><Relationship Type="http://schemas.openxmlformats.org/officeDocument/2006/relationships/hyperlink" Id="rId147" Target="https://doi.org/10.1016/j.isci.2022.105746" TargetMode="External" /><Relationship Type="http://schemas.openxmlformats.org/officeDocument/2006/relationships/hyperlink" Id="rId155" Target="https://doi.org/10.1016/j.jtbi.2020.110162" TargetMode="External" /><Relationship Type="http://schemas.openxmlformats.org/officeDocument/2006/relationships/hyperlink" Id="rId189" Target="https://doi.org/10.1021/j100540a008" TargetMode="External" /><Relationship Type="http://schemas.openxmlformats.org/officeDocument/2006/relationships/hyperlink" Id="rId173" Target="https://doi.org/10.1038/nature11814" TargetMode="External" /><Relationship Type="http://schemas.openxmlformats.org/officeDocument/2006/relationships/hyperlink" Id="rId163" Target="https://doi.org/10.1038/nature14318" TargetMode="External" /><Relationship Type="http://schemas.openxmlformats.org/officeDocument/2006/relationships/hyperlink" Id="rId79" Target="https://doi.org/10.1038/nature22794" TargetMode="External" /><Relationship Type="http://schemas.openxmlformats.org/officeDocument/2006/relationships/hyperlink" Id="rId211" Target="https://doi.org/10.1038/ng.729" TargetMode="External" /><Relationship Type="http://schemas.openxmlformats.org/officeDocument/2006/relationships/hyperlink" Id="rId81" Target="https://doi.org/10.1038/nm.4040" TargetMode="External" /><Relationship Type="http://schemas.openxmlformats.org/officeDocument/2006/relationships/hyperlink" Id="rId171" Target="https://doi.org/10.1038/s41467-017-01968-5" TargetMode="External" /><Relationship Type="http://schemas.openxmlformats.org/officeDocument/2006/relationships/hyperlink" Id="rId167" Target="https://doi.org/10.1038/s41467-018-07788-5" TargetMode="External" /><Relationship Type="http://schemas.openxmlformats.org/officeDocument/2006/relationships/hyperlink" Id="rId111" Target="https://doi.org/10.1038/s41467-019-10500-w" TargetMode="External" /><Relationship Type="http://schemas.openxmlformats.org/officeDocument/2006/relationships/hyperlink" Id="rId117" Target="https://doi.org/10.1038/s41467-021-24152-2" TargetMode="External" /><Relationship Type="http://schemas.openxmlformats.org/officeDocument/2006/relationships/hyperlink" Id="rId93" Target="https://doi.org/10.1038/s41467-023-41811-8" TargetMode="External" /><Relationship Type="http://schemas.openxmlformats.org/officeDocument/2006/relationships/hyperlink" Id="rId121" Target="https://doi.org/10.1038/s41467-024-48516-6" TargetMode="External" /><Relationship Type="http://schemas.openxmlformats.org/officeDocument/2006/relationships/hyperlink" Id="rId139" Target="https://doi.org/10.1038/s41540-023-00314-4" TargetMode="External" /><Relationship Type="http://schemas.openxmlformats.org/officeDocument/2006/relationships/hyperlink" Id="rId83" Target="https://doi.org/10.1038/s41586-021-03796-6" TargetMode="External" /><Relationship Type="http://schemas.openxmlformats.org/officeDocument/2006/relationships/hyperlink" Id="rId85" Target="https://doi.org/10.1038/s41586-024-07690-9" TargetMode="External" /><Relationship Type="http://schemas.openxmlformats.org/officeDocument/2006/relationships/hyperlink" Id="rId151" Target="https://doi.org/10.1038/s41587-021-00837-3" TargetMode="External" /><Relationship Type="http://schemas.openxmlformats.org/officeDocument/2006/relationships/hyperlink" Id="rId113" Target="https://doi.org/10.1038/s41587-023-01772-1" TargetMode="External" /><Relationship Type="http://schemas.openxmlformats.org/officeDocument/2006/relationships/hyperlink" Id="rId153" Target="https://doi.org/10.1038/s41588-020-00749-z" TargetMode="External" /><Relationship Type="http://schemas.openxmlformats.org/officeDocument/2006/relationships/hyperlink" Id="rId169" Target="https://doi.org/10.1038/s41591-020-1060-8" TargetMode="External" /><Relationship Type="http://schemas.openxmlformats.org/officeDocument/2006/relationships/hyperlink" Id="rId127" Target="https://doi.org/10.1038/s41592-019-0690-6" TargetMode="External" /><Relationship Type="http://schemas.openxmlformats.org/officeDocument/2006/relationships/hyperlink" Id="rId119" Target="https://doi.org/10.1038/s41592-025-02651-0" TargetMode="External" /><Relationship Type="http://schemas.openxmlformats.org/officeDocument/2006/relationships/hyperlink" Id="rId101" Target="https://doi.org/10.1038/s41592-025-02772-6" TargetMode="External" /><Relationship Type="http://schemas.openxmlformats.org/officeDocument/2006/relationships/hyperlink" Id="rId183" Target="https://doi.org/10.1038/sj.bjc.6600827" TargetMode="External" /><Relationship Type="http://schemas.openxmlformats.org/officeDocument/2006/relationships/hyperlink" Id="rId187" Target="https://doi.org/10.1038/sj.bjc.6605792" TargetMode="External" /><Relationship Type="http://schemas.openxmlformats.org/officeDocument/2006/relationships/hyperlink" Id="rId191" Target="https://doi.org/10.1063/1.1378322" TargetMode="External" /><Relationship Type="http://schemas.openxmlformats.org/officeDocument/2006/relationships/hyperlink" Id="rId195" Target="https://doi.org/10.1063/1.1992473" TargetMode="External" /><Relationship Type="http://schemas.openxmlformats.org/officeDocument/2006/relationships/hyperlink" Id="rId193" Target="https://doi.org/10.1063/1.2159468" TargetMode="External" /><Relationship Type="http://schemas.openxmlformats.org/officeDocument/2006/relationships/hyperlink" Id="rId207" Target="https://doi.org/10.1073/pnas.0803850105" TargetMode="External" /><Relationship Type="http://schemas.openxmlformats.org/officeDocument/2006/relationships/hyperlink" Id="rId123" Target="https://doi.org/10.1093/nar/gkac235" TargetMode="External" /><Relationship Type="http://schemas.openxmlformats.org/officeDocument/2006/relationships/hyperlink" Id="rId95" Target="https://doi.org/10.1093/nar/gkaf295" TargetMode="External" /><Relationship Type="http://schemas.openxmlformats.org/officeDocument/2006/relationships/hyperlink" Id="rId203" Target="https://doi.org/10.1093/neuonc/nov029" TargetMode="External" /><Relationship Type="http://schemas.openxmlformats.org/officeDocument/2006/relationships/hyperlink" Id="rId199" Target="https://doi.org/10.1098/rsif.2008.0172" TargetMode="External" /><Relationship Type="http://schemas.openxmlformats.org/officeDocument/2006/relationships/hyperlink" Id="rId149" Target="https://doi.org/10.1098/rsif.2017.0467" TargetMode="External" /><Relationship Type="http://schemas.openxmlformats.org/officeDocument/2006/relationships/hyperlink" Id="rId135" Target="https://doi.org/10.1098/rsif.2021.0274" TargetMode="External" /><Relationship Type="http://schemas.openxmlformats.org/officeDocument/2006/relationships/hyperlink" Id="rId129" Target="https://doi.org/10.1098/rsos.172234" TargetMode="External" /><Relationship Type="http://schemas.openxmlformats.org/officeDocument/2006/relationships/hyperlink" Id="rId157" Target="https://doi.org/10.1098/rsos.191243" TargetMode="External" /><Relationship Type="http://schemas.openxmlformats.org/officeDocument/2006/relationships/hyperlink" Id="rId91" Target="https://doi.org/10.1101/2025.01.15.633183" TargetMode="External" /><Relationship Type="http://schemas.openxmlformats.org/officeDocument/2006/relationships/hyperlink" Id="rId217" Target="https://doi.org/10.1101/217737" TargetMode="External" /><Relationship Type="http://schemas.openxmlformats.org/officeDocument/2006/relationships/hyperlink" Id="rId145" Target="https://doi.org/10.1103/PhysRevE.101.032403" TargetMode="External" /><Relationship Type="http://schemas.openxmlformats.org/officeDocument/2006/relationships/hyperlink" Id="rId205" Target="https://doi.org/10.1103/PhysRevLett.97.168302" TargetMode="External" /><Relationship Type="http://schemas.openxmlformats.org/officeDocument/2006/relationships/hyperlink" Id="rId159" Target="https://doi.org/10.1103/mh5v-lcyw" TargetMode="External" /><Relationship Type="http://schemas.openxmlformats.org/officeDocument/2006/relationships/hyperlink" Id="rId161" Target="https://doi.org/10.1111/rssb.12312" TargetMode="External" /><Relationship Type="http://schemas.openxmlformats.org/officeDocument/2006/relationships/hyperlink" Id="rId133" Target="https://doi.org/10.1126/sciadv.adl4895" TargetMode="External" /><Relationship Type="http://schemas.openxmlformats.org/officeDocument/2006/relationships/hyperlink" Id="rId175" Target="https://doi.org/10.1158/0008-5472.CAN-20-0806" TargetMode="External" /><Relationship Type="http://schemas.openxmlformats.org/officeDocument/2006/relationships/hyperlink" Id="rId179" Target="https://doi.org/10.1158/1078-0432.CCR-03-0807" TargetMode="External" /><Relationship Type="http://schemas.openxmlformats.org/officeDocument/2006/relationships/hyperlink" Id="rId141" Target="https://doi.org/10.1186/s12859-022-04778-9" TargetMode="External" /><Relationship Type="http://schemas.openxmlformats.org/officeDocument/2006/relationships/hyperlink" Id="rId109" Target="https://doi.org/10.1186/s13059-017-1305-0" TargetMode="External" /><Relationship Type="http://schemas.openxmlformats.org/officeDocument/2006/relationships/hyperlink" Id="rId125" Target="https://doi.org/10.1186/s13059-020-02000-8" TargetMode="External" /><Relationship Type="http://schemas.openxmlformats.org/officeDocument/2006/relationships/hyperlink" Id="rId177" Target="https://doi.org/10.1200/JCO.2013.49.6968" TargetMode="External" /><Relationship Type="http://schemas.openxmlformats.org/officeDocument/2006/relationships/hyperlink" Id="rId137" Target="https://doi.org/10.1371/journal.pcbi.1005991" TargetMode="External" /><Relationship Type="http://schemas.openxmlformats.org/officeDocument/2006/relationships/hyperlink" Id="rId97" Target="https://doi.org/10.1371/journal.pcbi.1013014" TargetMode="External" /><Relationship Type="http://schemas.openxmlformats.org/officeDocument/2006/relationships/hyperlink" Id="rId87" Target="https://doi.org/10.1371/journal.pcbi.1013446" TargetMode="External" /><Relationship Type="http://schemas.openxmlformats.org/officeDocument/2006/relationships/hyperlink" Id="rId131" Target="https://doi.org/10.1371/journal.pcbi.1014366" TargetMode="External" /><Relationship Type="http://schemas.openxmlformats.org/officeDocument/2006/relationships/hyperlink" Id="rId213" Target="https://doi.org/10.1371/journal.pone.0012776" TargetMode="External" /><Relationship Type="http://schemas.openxmlformats.org/officeDocument/2006/relationships/hyperlink" Id="rId181" Target="https://doi.org/10.1592/phco.24.1.16.34800" TargetMode="External" /><Relationship Type="http://schemas.openxmlformats.org/officeDocument/2006/relationships/hyperlink" Id="rId209" Target="https://doi.org/10.5334/jors.151" TargetMode="External" /><Relationship Type="http://schemas.openxmlformats.org/officeDocument/2006/relationships/hyperlink" Id="rId105" Target="https://doi.org/10.64898/2026.02.04.703804" TargetMode="External" /><Relationship Type="http://schemas.openxmlformats.org/officeDocument/2006/relationships/hyperlink" Id="rId99" Target="https://doi.org/10.64898/2026.04.14.718485" TargetMode="External" /><Relationship Type="http://schemas.openxmlformats.org/officeDocument/2006/relationships/hyperlink" Id="rId103" Target="https://doi.org/10.64898/2026.04.20.719650" TargetMode="External" /><Relationship Type="http://schemas.openxmlformats.org/officeDocument/2006/relationships/hyperlink" Id="rId165" Target="https://doi.org/10.7554/eLife.51002" TargetMode="External" /></Relationships>
</file>

<file path=word/_rels/footnotes.xml.rels><?xml version="1.0" encoding="UTF-8"?><Relationships xmlns="http://schemas.openxmlformats.org/package/2006/relationships"><Relationship Type="http://schemas.openxmlformats.org/officeDocument/2006/relationships/hyperlink" Id="rId185" Target="https://doi.org/10.1002/1097-0215(20001101)88:3&lt;469::AID-IJC21&gt;3.0.CO;2-7" TargetMode="External" /><Relationship Type="http://schemas.openxmlformats.org/officeDocument/2006/relationships/hyperlink" Id="rId201" Target="https://doi.org/10.1002/cncr.29957" TargetMode="External" /><Relationship Type="http://schemas.openxmlformats.org/officeDocument/2006/relationships/hyperlink" Id="rId143" Target="https://doi.org/10.1006/tpbi.1995.1027" TargetMode="External" /><Relationship Type="http://schemas.openxmlformats.org/officeDocument/2006/relationships/hyperlink" Id="rId77" Target="https://doi.org/10.1016/j.cell.2010.02.027" TargetMode="External" /><Relationship Type="http://schemas.openxmlformats.org/officeDocument/2006/relationships/hyperlink" Id="rId215" Target="https://doi.org/10.1016/j.cell.2018.05.061" TargetMode="External" /><Relationship Type="http://schemas.openxmlformats.org/officeDocument/2006/relationships/hyperlink" Id="rId197" Target="https://doi.org/10.1016/j.cell.2020.07.003" TargetMode="External" /><Relationship Type="http://schemas.openxmlformats.org/officeDocument/2006/relationships/hyperlink" Id="rId107" Target="https://doi.org/10.1016/j.cell.2024.11.015" TargetMode="External" /><Relationship Type="http://schemas.openxmlformats.org/officeDocument/2006/relationships/hyperlink" Id="rId115" Target="https://doi.org/10.1016/j.cels.2020.08.003" TargetMode="External" /><Relationship Type="http://schemas.openxmlformats.org/officeDocument/2006/relationships/hyperlink" Id="rId89" Target="https://doi.org/10.1016/j.cels.2026.101621" TargetMode="External" /><Relationship Type="http://schemas.openxmlformats.org/officeDocument/2006/relationships/hyperlink" Id="rId147" Target="https://doi.org/10.1016/j.isci.2022.105746" TargetMode="External" /><Relationship Type="http://schemas.openxmlformats.org/officeDocument/2006/relationships/hyperlink" Id="rId155" Target="https://doi.org/10.1016/j.jtbi.2020.110162" TargetMode="External" /><Relationship Type="http://schemas.openxmlformats.org/officeDocument/2006/relationships/hyperlink" Id="rId189" Target="https://doi.org/10.1021/j100540a008" TargetMode="External" /><Relationship Type="http://schemas.openxmlformats.org/officeDocument/2006/relationships/hyperlink" Id="rId173" Target="https://doi.org/10.1038/nature11814" TargetMode="External" /><Relationship Type="http://schemas.openxmlformats.org/officeDocument/2006/relationships/hyperlink" Id="rId163" Target="https://doi.org/10.1038/nature14318" TargetMode="External" /><Relationship Type="http://schemas.openxmlformats.org/officeDocument/2006/relationships/hyperlink" Id="rId79" Target="https://doi.org/10.1038/nature22794" TargetMode="External" /><Relationship Type="http://schemas.openxmlformats.org/officeDocument/2006/relationships/hyperlink" Id="rId211" Target="https://doi.org/10.1038/ng.729" TargetMode="External" /><Relationship Type="http://schemas.openxmlformats.org/officeDocument/2006/relationships/hyperlink" Id="rId81" Target="https://doi.org/10.1038/nm.4040" TargetMode="External" /><Relationship Type="http://schemas.openxmlformats.org/officeDocument/2006/relationships/hyperlink" Id="rId171" Target="https://doi.org/10.1038/s41467-017-01968-5" TargetMode="External" /><Relationship Type="http://schemas.openxmlformats.org/officeDocument/2006/relationships/hyperlink" Id="rId167" Target="https://doi.org/10.1038/s41467-018-07788-5" TargetMode="External" /><Relationship Type="http://schemas.openxmlformats.org/officeDocument/2006/relationships/hyperlink" Id="rId111" Target="https://doi.org/10.1038/s41467-019-10500-w" TargetMode="External" /><Relationship Type="http://schemas.openxmlformats.org/officeDocument/2006/relationships/hyperlink" Id="rId117" Target="https://doi.org/10.1038/s41467-021-24152-2" TargetMode="External" /><Relationship Type="http://schemas.openxmlformats.org/officeDocument/2006/relationships/hyperlink" Id="rId93" Target="https://doi.org/10.1038/s41467-023-41811-8" TargetMode="External" /><Relationship Type="http://schemas.openxmlformats.org/officeDocument/2006/relationships/hyperlink" Id="rId121" Target="https://doi.org/10.1038/s41467-024-48516-6" TargetMode="External" /><Relationship Type="http://schemas.openxmlformats.org/officeDocument/2006/relationships/hyperlink" Id="rId139" Target="https://doi.org/10.1038/s41540-023-00314-4" TargetMode="External" /><Relationship Type="http://schemas.openxmlformats.org/officeDocument/2006/relationships/hyperlink" Id="rId83" Target="https://doi.org/10.1038/s41586-021-03796-6" TargetMode="External" /><Relationship Type="http://schemas.openxmlformats.org/officeDocument/2006/relationships/hyperlink" Id="rId85" Target="https://doi.org/10.1038/s41586-024-07690-9" TargetMode="External" /><Relationship Type="http://schemas.openxmlformats.org/officeDocument/2006/relationships/hyperlink" Id="rId151" Target="https://doi.org/10.1038/s41587-021-00837-3" TargetMode="External" /><Relationship Type="http://schemas.openxmlformats.org/officeDocument/2006/relationships/hyperlink" Id="rId113" Target="https://doi.org/10.1038/s41587-023-01772-1" TargetMode="External" /><Relationship Type="http://schemas.openxmlformats.org/officeDocument/2006/relationships/hyperlink" Id="rId153" Target="https://doi.org/10.1038/s41588-020-00749-z" TargetMode="External" /><Relationship Type="http://schemas.openxmlformats.org/officeDocument/2006/relationships/hyperlink" Id="rId169" Target="https://doi.org/10.1038/s41591-020-1060-8" TargetMode="External" /><Relationship Type="http://schemas.openxmlformats.org/officeDocument/2006/relationships/hyperlink" Id="rId127" Target="https://doi.org/10.1038/s41592-019-0690-6" TargetMode="External" /><Relationship Type="http://schemas.openxmlformats.org/officeDocument/2006/relationships/hyperlink" Id="rId119" Target="https://doi.org/10.1038/s41592-025-02651-0" TargetMode="External" /><Relationship Type="http://schemas.openxmlformats.org/officeDocument/2006/relationships/hyperlink" Id="rId101" Target="https://doi.org/10.1038/s41592-025-02772-6" TargetMode="External" /><Relationship Type="http://schemas.openxmlformats.org/officeDocument/2006/relationships/hyperlink" Id="rId183" Target="https://doi.org/10.1038/sj.bjc.6600827" TargetMode="External" /><Relationship Type="http://schemas.openxmlformats.org/officeDocument/2006/relationships/hyperlink" Id="rId187" Target="https://doi.org/10.1038/sj.bjc.6605792" TargetMode="External" /><Relationship Type="http://schemas.openxmlformats.org/officeDocument/2006/relationships/hyperlink" Id="rId191" Target="https://doi.org/10.1063/1.1378322" TargetMode="External" /><Relationship Type="http://schemas.openxmlformats.org/officeDocument/2006/relationships/hyperlink" Id="rId195" Target="https://doi.org/10.1063/1.1992473" TargetMode="External" /><Relationship Type="http://schemas.openxmlformats.org/officeDocument/2006/relationships/hyperlink" Id="rId193" Target="https://doi.org/10.1063/1.2159468" TargetMode="External" /><Relationship Type="http://schemas.openxmlformats.org/officeDocument/2006/relationships/hyperlink" Id="rId207" Target="https://doi.org/10.1073/pnas.0803850105" TargetMode="External" /><Relationship Type="http://schemas.openxmlformats.org/officeDocument/2006/relationships/hyperlink" Id="rId123" Target="https://doi.org/10.1093/nar/gkac235" TargetMode="External" /><Relationship Type="http://schemas.openxmlformats.org/officeDocument/2006/relationships/hyperlink" Id="rId95" Target="https://doi.org/10.1093/nar/gkaf295" TargetMode="External" /><Relationship Type="http://schemas.openxmlformats.org/officeDocument/2006/relationships/hyperlink" Id="rId203" Target="https://doi.org/10.1093/neuonc/nov029" TargetMode="External" /><Relationship Type="http://schemas.openxmlformats.org/officeDocument/2006/relationships/hyperlink" Id="rId199" Target="https://doi.org/10.1098/rsif.2008.0172" TargetMode="External" /><Relationship Type="http://schemas.openxmlformats.org/officeDocument/2006/relationships/hyperlink" Id="rId149" Target="https://doi.org/10.1098/rsif.2017.0467" TargetMode="External" /><Relationship Type="http://schemas.openxmlformats.org/officeDocument/2006/relationships/hyperlink" Id="rId135" Target="https://doi.org/10.1098/rsif.2021.0274" TargetMode="External" /><Relationship Type="http://schemas.openxmlformats.org/officeDocument/2006/relationships/hyperlink" Id="rId129" Target="https://doi.org/10.1098/rsos.172234" TargetMode="External" /><Relationship Type="http://schemas.openxmlformats.org/officeDocument/2006/relationships/hyperlink" Id="rId157" Target="https://doi.org/10.1098/rsos.191243" TargetMode="External" /><Relationship Type="http://schemas.openxmlformats.org/officeDocument/2006/relationships/hyperlink" Id="rId91" Target="https://doi.org/10.1101/2025.01.15.633183" TargetMode="External" /><Relationship Type="http://schemas.openxmlformats.org/officeDocument/2006/relationships/hyperlink" Id="rId217" Target="https://doi.org/10.1101/217737" TargetMode="External" /><Relationship Type="http://schemas.openxmlformats.org/officeDocument/2006/relationships/hyperlink" Id="rId145" Target="https://doi.org/10.1103/PhysRevE.101.032403" TargetMode="External" /><Relationship Type="http://schemas.openxmlformats.org/officeDocument/2006/relationships/hyperlink" Id="rId205" Target="https://doi.org/10.1103/PhysRevLett.97.168302" TargetMode="External" /><Relationship Type="http://schemas.openxmlformats.org/officeDocument/2006/relationships/hyperlink" Id="rId159" Target="https://doi.org/10.1103/mh5v-lcyw" TargetMode="External" /><Relationship Type="http://schemas.openxmlformats.org/officeDocument/2006/relationships/hyperlink" Id="rId161" Target="https://doi.org/10.1111/rssb.12312" TargetMode="External" /><Relationship Type="http://schemas.openxmlformats.org/officeDocument/2006/relationships/hyperlink" Id="rId133" Target="https://doi.org/10.1126/sciadv.adl4895" TargetMode="External" /><Relationship Type="http://schemas.openxmlformats.org/officeDocument/2006/relationships/hyperlink" Id="rId175" Target="https://doi.org/10.1158/0008-5472.CAN-20-0806" TargetMode="External" /><Relationship Type="http://schemas.openxmlformats.org/officeDocument/2006/relationships/hyperlink" Id="rId179" Target="https://doi.org/10.1158/1078-0432.CCR-03-0807" TargetMode="External" /><Relationship Type="http://schemas.openxmlformats.org/officeDocument/2006/relationships/hyperlink" Id="rId141" Target="https://doi.org/10.1186/s12859-022-04778-9" TargetMode="External" /><Relationship Type="http://schemas.openxmlformats.org/officeDocument/2006/relationships/hyperlink" Id="rId109" Target="https://doi.org/10.1186/s13059-017-1305-0" TargetMode="External" /><Relationship Type="http://schemas.openxmlformats.org/officeDocument/2006/relationships/hyperlink" Id="rId125" Target="https://doi.org/10.1186/s13059-020-02000-8" TargetMode="External" /><Relationship Type="http://schemas.openxmlformats.org/officeDocument/2006/relationships/hyperlink" Id="rId177" Target="https://doi.org/10.1200/JCO.2013.49.6968" TargetMode="External" /><Relationship Type="http://schemas.openxmlformats.org/officeDocument/2006/relationships/hyperlink" Id="rId137" Target="https://doi.org/10.1371/journal.pcbi.1005991" TargetMode="External" /><Relationship Type="http://schemas.openxmlformats.org/officeDocument/2006/relationships/hyperlink" Id="rId97" Target="https://doi.org/10.1371/journal.pcbi.1013014" TargetMode="External" /><Relationship Type="http://schemas.openxmlformats.org/officeDocument/2006/relationships/hyperlink" Id="rId87" Target="https://doi.org/10.1371/journal.pcbi.1013446" TargetMode="External" /><Relationship Type="http://schemas.openxmlformats.org/officeDocument/2006/relationships/hyperlink" Id="rId131" Target="https://doi.org/10.1371/journal.pcbi.1014366" TargetMode="External" /><Relationship Type="http://schemas.openxmlformats.org/officeDocument/2006/relationships/hyperlink" Id="rId213" Target="https://doi.org/10.1371/journal.pone.0012776" TargetMode="External" /><Relationship Type="http://schemas.openxmlformats.org/officeDocument/2006/relationships/hyperlink" Id="rId181" Target="https://doi.org/10.1592/phco.24.1.16.34800" TargetMode="External" /><Relationship Type="http://schemas.openxmlformats.org/officeDocument/2006/relationships/hyperlink" Id="rId209" Target="https://doi.org/10.5334/jors.151" TargetMode="External" /><Relationship Type="http://schemas.openxmlformats.org/officeDocument/2006/relationships/hyperlink" Id="rId105" Target="https://doi.org/10.64898/2026.02.04.703804" TargetMode="External" /><Relationship Type="http://schemas.openxmlformats.org/officeDocument/2006/relationships/hyperlink" Id="rId99" Target="https://doi.org/10.64898/2026.04.14.718485" TargetMode="External" /><Relationship Type="http://schemas.openxmlformats.org/officeDocument/2006/relationships/hyperlink" Id="rId103" Target="https://doi.org/10.64898/2026.04.20.719650" TargetMode="External" /><Relationship Type="http://schemas.openxmlformats.org/officeDocument/2006/relationships/hyperlink" Id="rId165" Target="https://doi.org/10.7554/eLife.510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dc:creator>
  <cp:keywords/>
  <dcterms:created xsi:type="dcterms:W3CDTF">2026-09-21T10:47:58Z</dcterms:created>
  <dcterms:modified xsi:type="dcterms:W3CDTF">2026-09-21T10:47:58Z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so cannot generate such states. Here we present Biomodelling.jl 2.0, in which stochastic reaction kinetics run inside growing, dividing, drug-treated cells. Exact, hybrid and adaptive kernels couple to exponential growth, volume-scaled transcription, gene replication, division with binomial partitioning, dose schedules with state-dependent killing, a lineage record, observation models and likelihood-free inference. Expression memory, cell-size scaling and cell-cycle-dependent bursting emerge from this physiology rather than being imposed. One resistance gene with slow promoter switching reproduces the lineage and memory signatures of drug tolerance, and the framework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With a built-in optimiser it reproduces the opposite rankings of intermittent dosing reported in a melanoma trial and in xenografts, and shows the ranking to turn on two measurable cell properties: growth under drug and fitness without it.</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Correspondence: alasri@berache.com</vt:lpwstr>
  </property>
</Properties>
</file>