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hautement concurrentiel de la plasturgie automobile (équipementier Tier-1), la maîtrise des cadences de production et la gestion proactive des stocks de matières premières et de pièces techniques constituent des leviers majeurs de compétitivité. Face à la dispersion des données d'atelier issues de 319 presses à injecter réparties sur les sites industriels de Kondar et Sousse en Tunisie ainsi que de Brno en République Tchèque, ce projet de fin d'études présente la conception et le développement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 système décisionnel intelligent d'aide au pilotage d'atelier et d'optimisation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S'appuyant sur un entrepôt de données (Data Warehouse) sous Microsoft SQL Server consolidant 32 043 enregistrements certifiés d'inventaire et de mouvements issus de 51 500 données brutes après assainissement par un pipeline ETL automatisé (7 tables en schéma en étoile), la solution combine trois composantes complémentaires : un module d'ingénierie et de modélisation prédictive évaluant quatre algorithmes sous un protocole sans fuite temporelle à 6 origines glissantes en 2026, où Random Forest Récursif s'impose comme modèle étalon (benchmark champion) en précision ponctuelle (MAPE = 5,85 % à 7j et 6,00 % à 30j) et Prophet comme moteur opérationnel déployé en production (quasi-égalité statistique à 30 jours, MAPE = 6,77 %, test de Diebold-Mariano p = 0,0694, intervalles natifs à 95 % et latence de 3,2 ms), complété par l'algorithme non supervisé Isolation Forest pour la détection des dérives de presses ; un module de gestion des stocks structuré autour d'une segmentation multicritère Pareto ABC (72/20/8) / K-Means et d'une formule de réapprovisionnement à horizon cible de 45 jours basée sur la consommation certifiée ; et une architecture logicielle articulant des tableaux de bord décisionnels interactifs sous Microsoft Power BI et un portail d'atelier web sous React.js orchestré par une API Spring Boot 3.</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résultats obtenus confirment une fiabilisation complète du suivi du Taux de Rendement Global (TRG moyen de 71,4 %) et une hiérarchisation proactive des réapprovisionnements pour 1 552 références en situation de rupture ou de stock critique, représentant un budget estimé de 2 418 650 TND.</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Système décisionnel intelligent, Industrie 4.0, Plasturgie Automobile, Taux de Rendement Global (TRG/OEE), Séries Temporelles, Machine Learning, Random Forest (modèle étalon / benchmark), Prophet (moteur de production), Test de Diebold-Mariano, ARIMA, Isolation Forest, K-Means, Pipeline ETL,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 et contexte client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Limites de la situation actuelle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Organisation des rôles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assainissement de la qualité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principales du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Modélisation dimensionnelle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 et traitement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 dans le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indicateurs de rotation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et segmentation des produits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4.5.1 Segmentation multicritère Pareto ABC et Clustering K-Means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4.5.2 Classification opérationnelle par niveau de risque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 et chiffrage budgétaire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Algorithme de réapprovisionnement à horizon cible de 45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Hiérarchisation des alertes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pour l'apprentissage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 et transformation logarithmique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 (Feature Engineering)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Découpage chronologique sans fuite temporelle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5.4.4 Normalisation des variables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Métriques d'évaluation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Développement des quatre modèles d'IA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Modèles de prévision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Détection d'anomalies de cadence par Isolation Forest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Résultats et analyse comparative rigoureuse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5.7.1 Performances comparées sur l'horizon de 30 jours (Moyenne ± Écart-type)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5.7.2 Évaluation multi-horizons (7, 15 et 30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5.7.3 Validation de significativité statistique : Test de Diebold-Mariano</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5.7.4 Analyse de la couverture des intervalles d'incertitude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5.7.5 Détection d'anomalies par Isolation Forest et sensibilité</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Sélection argumentée et rôles respectifs des modèles dans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Génération des prévisions et alimentation du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 et intégration applicative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Diagramme de séquence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Conception des rapports décisionnels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Tableau de bord de supervision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Tableau de bord des prévisions de cadence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Tableau de bord de gestion des stocks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Présentation des interfaces réalisées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Tableau de bord principal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Supervision de la production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Prévisions de cadence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6.6.4 Pilotage des stocks et alertes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6.6.5 Portail web opérationnel React &amp; Spring Boot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6.7.1 Tests fonctionnels et d'intégration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6.7.2 Validation des prévisions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6.7.3 Validation des règles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6.7.4 Évaluation d'utilisabilité et retours utilisateurs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74</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76</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Cycle itératif de la méthodologie Agile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Modélisation dimensionnelle en étoile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Évolution temporelle de la production globale des 319 presses (2024–2026)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Profils de saisonnalité de production par jour de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Heatmap d'activité atelier : cadence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séquentiel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3.6 : Diagramme de séquence du pipeline ETL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Architecture et flux de traitement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Segmentation multicritère Pareto ABC et Clustering K-Means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Répartition des alertes de rupture et de stock critique par famille de matière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Architecture et flux de traitement du module d'IA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Comparaison des modèles de prévision selon R² et MAE (pièces/jour)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5.3 : Prédictions de cadence Prophet vs Production réelle d'atelier avec intervalle de confiance à 95%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5.4 : Comparaison des modèles selon les métriques d'erreur MAPE et RMSE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5.5 : Détection non supervisée des dérives de presses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d'intégration et de déploiement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Diagramme de séquence des échanges entre l'utilisateur, l'interface et le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Vue d'ensemble du tableau de bord décisionnel Power BI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Interface « Supervision de la production et TRG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Répartition des volumes d'injection par famille de pièces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Rapport Power BI « Prévision des cadences et charge 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Rapport Power BI « Gestion des stocks d'atelier et alertes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Maps-IT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Positionnement comparatif des solutions existantes avec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priorisé et cohérent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1.6 : Calendrier et objectifs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langages et bibliothèques logiciels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Périmètre quantitatif des données industrielles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Tables principales du Data Warehouse en schéma en étoile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Impact des événements et variations industrielles sur la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Bilan quantitatif de la qualité des données (Waterfall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quantitatifs et techniques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le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selon le niveau de couverture disponible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pour le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Les 16 variables explicatives du modèle de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Découpage chronologique rigoureux du jeu de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Métriques d'évaluation de la performance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Avantages et limites : Modèle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Avantages et limites : Random Forest Regressor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5.8 : Avantages et limites : Prophet (Meta)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5.9 : Avantages et limites :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5.10 : Résultats réels des modèles à l'horizon 30 jours (Moyenne ± Écart-type sur 6 origines en 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5.11 : Évaluation comparative des modèles selon les trois horizons décisionnels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5.12 : Résultats des tests de significativité statistique de Diebold-Mariano (RF vs Prophet)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5.13 : Test de sensibilité et validation terrain d'Isolation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5.14 : Grille d'arbitrage et complémentarité architecturale des 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5.15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pour le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Points d'accès REST de l'application web opérationnelle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tests fonctionnels et d'intégration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Grille d'évaluation d'utilisabilité et retours qualitatifs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6.5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pour séries temporelles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chronologique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DAX</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Analysis Expressions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formules et de calculs analytiques utilisé dans Microsoft Power BI</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assainissement,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d'apprentissage automatique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JSON Web Token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Standard sécurisé pour l'authentification et l'échange de jetons de session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industrielle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nombre réel de pièces par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moyen d'erreur absolue par rapport au volume réel</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supervisé et non supervisé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Overall Equipment Effectiveness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Équivalent international du Taux de Rendement Global (TRG)</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rôles (Opérateur, Administrateur)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Representational State Transfer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légale pour la valorisation financière des stocks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Global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normé synthétisant Disponibilité, Performance et Qualité machine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manufacturier et la plasturgie automobile, l'amélioration continue de la performance industrielle repose sur la valorisation rigoureuse des flux massifs de données générés au sein des usines. Le suivi des cadences de fabrication, l'évaluation du Taux de Rendement Global (TRG/OEE) [25] et la gestion proactive des approvisionnements constituent des leviers déterminants pour garantir la continuité des lignes d'assemblage et maîtriser les coûts de revient.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est mené en collaboration avec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accompagnant un équipementier automobile de rang 1 exploitant trois sites de production d'injection plastique situés en Tunisie (usines de Kondar et Sousse) et en République Tchèque (site de Brno). Avec un parc de 319 presses à injecter de capacités variées produisant en moyenne 64 890 pièces par jour, l'entreprise fabrique des pièces plastiques techniques soumises à de strictes exigences de qualité et de délais de livraison.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Bien que l'entreprise dispose d'un entrepôt de données (Data Warehouse sous Microsoft SQL Server [16]) centralisant l'historique des opérations, le pilotage quotidien demeurait fragmenté. Le calcul du TRG était souvent réalisé de façon différée sur des feuilles de calcul, ce qui limitait la réactivité opérationnelle face aux pannes ou baisses de cadence. Parallèlement, la gestion des stocks de matières premières manquait d'outils d'anticipation, entraînant simultanément des situations de surstock sur certaines références et des risques de rupture critique sur des composants stratégiques.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de ce travail s'énonce donc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exploiter les données centralisées du Data Warehouse industriel pour concevoir un système décisionnel automatisé, capable de superviser les machines d'atelier,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cette problématique, nous avons conçu et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articulée autour de trois axes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de nettoyage (dédoublonnage sur clé composite, rejet des dates erronées, redressement des anomalies numériques) et chargement de 32 043 lignes certifiées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 sans fuite temporelle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rigoureuse de quatre modèles de séries temporelles (Régression Linéaire, ARIMA [3], Random Forest [7] et Prophet [12]) évalués sur 6 origines glissantes en 2026 à 7, 15 et 30 jours. Les résultats établissent une double complémentarité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Récursif s'impose comme modèle étalon (</w:t>
      </w:r>
      <w:r>
        <w:rPr>
          <w:rFonts w:ascii="Times New Roman" w:cs="Times New Roman" w:eastAsia="Times New Roman" w:hAnsi="Times New Roman"/>
          <w:b w:val="false"/>
          <w:bCs w:val="false"/>
          <w:i/>
          <w:iCs/>
          <w:color w:val="1A1A1A"/>
          <w:sz w:val="24"/>
          <w:szCs w:val="24"/>
        </w:rPr>
        <w:t xml:space="preserve">benchmark champion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en précision ponctuelle (MAPE = 5,85 % à 7j et 6,00 % à 30j), tandis 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s'impose comme le moteur opérationnel déployé en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(quasi-égalité statistique à 30 jours, MAPE = 6,77 %, test de Diebold-Mariano p = 0,0694 [27], intervalles natifs à 95 % et latence de 3,2 ms). En complément, l'algorithme Isolation Forest [8] assure la détection non supervisée des dérives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(72/20/8) et clustering K-Means [9], analyse de la couverture en jours et calcul du plan de réapprovisionnement optimal sur un horizon de 45 jours (chiffré à 2 418 650 TND pour les références critiques) [14, 15].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restitution s'appuie sur une double modalité adaptée aux profils d'utilisateurs : des tableaux de bord interactifs Microsoft Power BI [24] pour le pilotage managérial et une application web réactive développée avec React.js [22], Spring Boot [17] et FastAPI [21]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mené selon la méthodologie Agile Scrum [1, 2], découpé en un Sprint 0 de cadrage et quatre sprints de réalisation. Le présent rapport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premier chapitre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cadre général du projet, les organismes partenaires, l'étude comparative de l'existant, la méthodologie Scrum et les diagrammes UML [26].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deuxième chapitre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en quatre couches et au choix de l'environnement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troisième chapitre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des données, le bilan de qualité sous forme de waterfall et la réalisation du pipeline ETL alimentant 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quatrième chapitre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la conception du module de gestion des stocks, la double segmentation des articles et le calcul des commandes à horizon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cinquième chapitre (Sprint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expose le protocole d'évaluation sans fuite temporelle, les performances multi-horizons, le test de Diebold-Mariano consacrant le rôle étalon de Random Forest et le déploiement en production de Prophet, ainsi que la détection d'anomalies.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sixième chapitre (Sprint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décrit la conception des tableaux de bord Power BI, l'implémentation du portail web opérationnel et les résultats des tests d'intégration et d'utilisabilité.</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rapport se conclut par un bilan général des réalisations, une analyse objective des limites actuelles et la présentation de perspectives d'évolution concrètes.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la collaboration entre l'organisme d'accueil,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l'équipementier industriel partenaire spécialisé dans la plasturgie automobile. Nous analysons ensuite les problématiques opérationnelles rencontrées dans les ateliers d'injection plastique, les limites des outils existants et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conçue pour y répondre. Enfin, nous présentons la démarche méthodologique Agile Scrum et les diagrammes UML utilisés pour encadrer le développement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d'excellence prépare les étudiants à l'ingénierie des données massives, au développement d'algorithmes d'apprentissage automatique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science des données à un environnement industriel complexe, en exploitant des données réelles issues d'un parc de 319 presses à injecter réparties sur plusieurs sites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développé en collaboration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société de services informatiques et d'ingénierie logicielle située à Monastir en Tunisie. Fondée en 2021, Maps-IT accompagne les entreprises industrielles et de services dans la mise en œuvre de solutions numériques sur mesure, le développement d'applications métiers, la conception d'architectures décisionnelles et la valorisation des données par la Data Science.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présente la fiche d'identité de l'entreprise d'accueil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Champ</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Information</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Date de création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2021</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informatiques, ingénierie logicielle et Data Science</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Localisation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Monastir, Tunisie</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Contact</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mapsit.info@gmail.com</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 web</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https://maps-it.com</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Maps-IT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 et contexte client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Maps-IT intervient principalement dans trois domaines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Développement logiciel sur mesure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d'applications web et de micro-services modulaires adaptés aux processus métiers.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Business Intelligence et ingénierie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d'entrepôts de données (DWH), mise en place de flux ETL fiabilisés et modélisation dimensionnelle.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Data Science et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exploration de séries temporelles, modélisation prédictive et algorithmes d'optimisation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ce projet, Maps-IT intervient auprès d'un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équipementier automobile de rang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disposant de sites de production en Tunisie (usines de Kondar et Sousse) et en République Tchèque (site de Brno). Cet industriel produit des pièces plastiques techniques injectées sous fortes contraintes de cadence et de qualité.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une solution logicielle d'aide à la décision conçue pour faciliter le suivi des ateliers d'injection plastique et la gestion proactive des approvisionnements de stock. Elle s'appuie sur les données centralisées dans le Data Warehouse pour proposer des indicateurs de fonctionnement mis à jour régulièrement par shift, des prévisions de cadence de production par apprentissage automatique et des recommandations quantifiées de réapprovisionnement.</w:t>
      </w:r>
    </w:p>
    <w:p>
      <w:pPr>
        <w:spacing w:after="40" w:before="40"/>
      </w:pPr>
      <w:r>
        <w:t xml:space="preserve"/>
      </w:r>
    </w:p>
    <w:p>
      <w:pPr>
        <w:spacing w:after="60" w:before="140"/>
        <w:jc w:val="center"/>
      </w:pPr>
      <w:r>
        <w:drawing>
          <wp:inline distT="0" distB="0" distL="0" distR="0">
            <wp:extent cx="2095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857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responsables d'atelier, aux planificateurs de production et aux gestionnaires d'approvisionnement, en leur fournissant une vue unifiée pour piloter leurs opérations.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des machines et du TRG/OEE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suivi de l'état des 319 presses de l'atelier et calcul des trois composantes normalisées du Taux de Rendement Global selon la démarche TPM [25] (Taux de Disponibilité, Taux de Performance, Taux de Qualité).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des volumes de fabrication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estimation des cadences futures à court et moyen termes (horizons de 7, 15 et 30 jours) pour guider l'ordonnancement des équipes et des matières.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prévisionnelle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des articles du catalogue (méthode ABC et classification par niveau de risque) et calcul des réapprovisionnements nécessaires pour sécuriser une couverture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Restitution décisionnelle interactive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Power BI permettant de filtrer les indicateurs par usine, atelier, presse ou famille de matière plastique, complétés par une interface web opérationnelle.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conception de Nexora, le pilotage industriel présentait plusieurs contraintes méthodologiques et opérationnelles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Calcul manuel et différé du TRG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feuilles d'enregistrement remplies par les opérateurs étaient consolidées mensuellement sur tableur, empêchant une détection rapide des micro-arrêts ou des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réapprovisionnements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granulés polymères étaient fréquemment déclenchées en réaction à une alerte visuelle de pénurie en atelier, générant des risques de rupture ou de surcoûts logistiques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conjointe de ruptures et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l'absence d'outils analytiques entraînait une sur-couverture sur certaines références à faible rotation (immobilisation de trésorerie), tandis que des références critiques tombaient en rupture.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Fragmentation des sources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données de production, d'en-cours et d'inventaire étaient dispersées dans l'ERP, rendant leur croisement complexe pour les décideurs.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partenaire dispose d'un Data Warehouse (DWH) conservant l'historique complet des déclarations de production, des nomenclatures (BOM) et des mouvements d'inventaire. Toutefois, ces données massives demeuraient sous-exploitées pour anticiper les charges futures et guider la chaîne logistique.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centralisées du Data Warehouse industriel pour concevoir un système décisionnel automatisé, capable de superviser le rendement des presses,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coexistent couramment : les feuilles de calcul bureautiques (Excel), les modules de base des progiciels de gestion intégrée (ERP) et les solutions spécialisées de suivi d'atelier (Manufacturing Execution Systems - MES). Les tableurs, bien que flexibles, s'avèrent vulnérables aux erreurs de saisie et inadaptés aux volumes volumineux. Les ERP fournissent un cadre transactionnel rigide mais peu analytique, tandis que les progiciels MES représentent un investissement très lourd et n'intègrent pas nativement d'algorithmes d'apprentissage statistique pour la prévision de séries temporelles.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agilité décisionnelle, rigueur analytique et intégration fluide,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combine trois piliers techniques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d'assainissement de qualité (suppression des doublons, rejet des dates erronées, redressement des stocks négatifs) et chargement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rigoureuse de quatre modèles de séries temporelles sous protocole multi-horizons sans fuite (Régression Linéaire, ARIMA, Random Forest, Prophet) sur une cadence d'atelier de 64 890 pièces/jour. L'évaluation met en évidence les performances de Random Forest en prévision récursive fine (MAPE de 6,13 % à 15 jours) et la robustesse de Prophet pour le cadrage calendaire et l'incertitude (MAPE de 7,10 % à 30 jours, modèle retenu en production dans l'application web), complétés par Isolation Forest pour la détection non supervisée des 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(72/20/8) / K-Means, classification selon la couverture disponible et calcul du plan de réapprovisionnement pour sécuriser 45 jours d'activité sur 6 875 lignes d'inventaire.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 restitution associe des tableaux de bord interactifs Microsoft Power BI pour le management décisionnel et une application web (React.js / Spring Boot / FastAPI) pour la saisie et la consultation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1.2 résume le positionnement comparatif des solutions existantes vis-à-vis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transactionnel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du TRG d'atelier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Avancé</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 / Différé</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Automatisé par shift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Intégré (Prophet)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interactifs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Configurable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Statique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Interactif (Power BI)</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directe au DWH</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Natif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Directe (Schéma en étoile)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et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Partiel</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Multicritère (ABC + K-Means)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règles fixes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seuils statiques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Horizon cible 45 jours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d'appropriation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Accessible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Interface adaptée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et coût de déploiement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Investissement élevé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Coût élevé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Modulaire et maîtrisé</w:t>
            </w:r>
          </w:p>
        </w:tc>
      </w:tr>
    </w:tbl>
    <w:p>
      <w:pPr>
        <w:spacing w:after="120" w:before="80"/>
        <w:jc w:val="center"/>
      </w:pPr>
      <w:r>
        <w:rPr>
          <w:rFonts w:ascii="Times New Roman" w:cs="Times New Roman" w:eastAsia="Times New Roman" w:hAnsi="Times New Roman"/>
          <w:i/>
          <w:iCs/>
          <w:color w:val="595959"/>
          <w:sz w:val="20"/>
          <w:szCs w:val="20"/>
        </w:rPr>
        <w:t xml:space="preserve">Tableau 1.2 : Positionnement comparatif des solutions existantes avec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méthodique en huit étapes, illustré par la figure 1.2 :</w:t>
      </w:r>
    </w:p>
    <w:p>
      <w:pPr>
        <w:spacing w:after="40" w:before="40"/>
      </w:pPr>
      <w:r>
        <w:t xml:space="preserve"/>
      </w:r>
    </w:p>
    <w:p>
      <w:pPr>
        <w:spacing w:after="60" w:before="14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381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1.2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fichiers d'inventaire et des mouvements de production issus du système d'information industriel.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 la qualité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doublons sur clé composite, rejet des dates invalides et assainissement des incohérences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Ingénierie des variables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 16 variables explicatives temporelles et statistiques (lags, moyennes mobiles, jours ouvrés, patterns d'équipes).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Découpage chronologique sans fuite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partitionnement rigoureux comprenant une fenêtre d'initialisation des variables de 30 jours, 723 jours d'entraînement effectif et 98 jours d'évaluation test.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Entraînement et évaluation multi-horizons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 la Régression Linéaire, d'ARIMA, de Random Forest (champion en prévision récursive fine) et de Prophet (retenu en production avec prise en compte des événements calendaires), complétés par Isolation Forest.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Validation croisée temporelle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du protocole TimeSeriesSplit à 5 plis pour évaluer la stabilité prédictive dans le temps.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Évaluation sans fuite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métriques de précision (MAE, RMSE, MAPE, R²) exprimées en pièces réelles par jour sous protocole récursif multi-horizons.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Restitution utilisateur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déploiement des rapports décisionnels sous Microsoft Power BI et alimentation des services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les développements, nous avons comparé la méthode classique en cascade et la démarche Agile afin de retenir l'organisation la plus efficiente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Itératif et par incréments réguliers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Figée au démarrage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Ajustable selon l'avancement réel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Livrables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Livraison globale en fin de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Incrément fonctionnel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phase de recette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fin d'itération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imprévus de données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Rigide et pénalisante</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Adaptation fluide aux réalités terrain</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1.4 récapitule les avantages et limites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jalons contractuels nettement fixés.
• Simplicité de contractualisation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face aux anomalies de données.
• Risque de décalage avec les attentes d'atelier.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forte aux spécificités des séries réelles.
• Validation progressive et mesurable de chaque module.
• Rétroactions régulières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Exige une disponibilité continue des parties prenantes.
• Nécessite une discipline stricte sur la tenue du backlog.</w:t>
            </w:r>
          </w:p>
        </w:tc>
      </w:tr>
    </w:tbl>
    <w:p>
      <w:pPr>
        <w:spacing w:after="120" w:before="80"/>
        <w:jc w:val="center"/>
      </w:pPr>
      <w:r>
        <w:rPr>
          <w:rFonts w:ascii="Times New Roman" w:cs="Times New Roman" w:eastAsia="Times New Roman" w:hAnsi="Times New Roman"/>
          <w:i/>
          <w:iCs/>
          <w:color w:val="595959"/>
          <w:sz w:val="20"/>
          <w:szCs w:val="20"/>
        </w:rPr>
        <w:t xml:space="preserve">Tableau 1.4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sélectionné le framework Agile Scrum [1, 2], particulièrement approprié aux projets décisionnels et de science des données combinant plusieurs briques interdépendantes (ETL, algorithmes prédictifs, règles logistiques et restitution visuelle).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cadre itératif favorise l'ajustement continu des modèles en fonction de la qualité observée des données et permet de valider chaque composant logiciel auprès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1.3 illustre le cycle de déroulement de la méthodologie Scrum appliquée à notre projet :</w:t>
      </w:r>
    </w:p>
    <w:p>
      <w:pPr>
        <w:spacing w:after="40" w:before="40"/>
      </w:pPr>
      <w:r>
        <w:t xml:space="preserve"/>
      </w:r>
    </w:p>
    <w:p>
      <w:pPr>
        <w:spacing w:after="60" w:before="14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Cycle itératif de la méthodologie Agile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la rigueur académique d'un travail de Master et les exigences industrielles de l'atelier, les rôles Scrum ont été répartis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assumé par l'encadrant professionnel au sein de Maps-IT en lien avec l'équipe de l'usine partenaire. Il exprime les besoins fonctionnels, priorise les récits utilisateurs du backlog et valide les incréments à chaque revue de sprint.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 par l'encadrant académique à la Faculté des Sciences de Monastir. Il veille au respect du cadre méthodologique Agile, garantit la rigueur scientifique des protocoles de validation et aide à lever les blocages conceptuels.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 (Development Team)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incarnée par l'étudiante chercheuse, responsable de la conception technique, du développement du pipeline ETL, de l'expérimentation des algorithmes d'apprentissage et de la réalisation des interfaces.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regroupe les 20 récits utilisateurs (User Stories) formalisant les exigences fonctionnelles du système. Chaque récit est priorisé et associé à une estimation d'effort réaliste en jours de développement (charge unitaire comprise entre 1 et 4 jours, pour une charge totale de 56 jours de réalisation répartis sur le semestre)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la qualité des fichiers bruts afin d'identifier les anomalies d'inventaire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développer un pipeline ETL en Python pour nettoyer et dédoublonner les données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modéliser le schéma en étoile du DWH pour stocker les faits et dimensions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charger les 32 043 lignes nettoyées et créer les index SQL optimisés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calculer 16 variables explicatives (lags, moyennes mobiles) pour l'apprentissage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segmenter les 800 références d'articles selon la méthode Pareto ABC (72/20/8)</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appliquer un clustering K-Means pour regrouper les articles en 3 clusters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la couverture en jours et le taux de rotation de chaque article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recevoir des alertes automatiques pour les articles en rupture ou stock critique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qu'acheteur, je veux obtenir le calcul des commandes nécessaires pour sécuriser un horizon de 45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qu'acheteur, je veux chiffrer le budget global des approvisionnements prioritaires (2 418 650 TND)</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data scientist, je veux découper la série temporelle en initialisation (30j), train (723j) et test (98j)</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data scientist, je veux entraîner et comparer 4 modèles prédictifs et sélectionner le champion Random Forest</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data scientist, je veux évaluer les modèles par validation croisée temporelle TimeSeriesSplit à 5 plis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planificateur, je veux générer les prévisions de cadence via Random Forest à 7, 15 et 30 jours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responsable maintenance, je veux détecter les dérives de cadence d'atelier via Isolation Forest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et disposer d'un accès sécurisé selon mon profil (RBAC)</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superviseur, je veux visualiser le TRG et l'état des 319 presses sur un rapport Power BI dédié</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planificateur, je veux analyser les prévisions de Random Forest et les alertes de stock sur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d'atelier, je veux accéder aux services de stock via l'interface web opérationnelle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priorisé et cohérent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déroulé sur une période indicative de 13 semaines articulée en un sprint de cadrage initial (Sprint 0) et quatre sprints de développement d'une durée de 2 à 3 semaines chacun. Les dates mentionnées correspondent au planning prévisionnel du semestre académique [À VÉRIFIER: Dates exactes de la convention de stage FSM / Maps-IT]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529"/>
        <w:gridCol w:w="2103"/>
        <w:gridCol w:w="2485"/>
        <w:gridCol w:w="2548"/>
      </w:tblGrid>
      <w:tr>
        <w:trPr>
          <w:tblHeader/>
        </w:trPr>
        <w:tc>
          <w:tcPr>
            <w:tcW w:type="dxa" w:w="152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210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indicative [À VÉRIFIER]</w:t>
            </w:r>
          </w:p>
        </w:tc>
        <w:tc>
          <w:tcPr>
            <w:tcW w:type="dxa" w:w="248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25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Livrables clés validés</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02/02/2026 – 13/02/2026
(2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Cadrage des besoins et architecture globale</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cas d'utilisation UML et architecture 4 couches.</w:t>
            </w:r>
          </w:p>
        </w:tc>
      </w:tr>
      <w:tr>
        <w:tc>
          <w:tcPr>
            <w:tcW w:type="dxa" w:w="15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2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16/02/2026 – 06/03/2026
(3 semaines)</w:t>
            </w:r>
          </w:p>
        </w:tc>
        <w:tc>
          <w:tcPr>
            <w:tcW w:type="dxa" w:w="248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Qualité des données et pipeline ETL</w:t>
            </w:r>
          </w:p>
        </w:tc>
        <w:tc>
          <w:tcPr>
            <w:tcW w:type="dxa" w:w="25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Python de nettoyage, schéma en étoile DWH (7 tables) et 32 043 lignes chargées.</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09/03/2026 – 27/03/2026
(3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(72/20/8) / K-Means, seuils d'alerte, calcul du plan 45 jours et budget.</w:t>
            </w:r>
          </w:p>
        </w:tc>
      </w:tr>
      <w:tr>
        <w:tc>
          <w:tcPr>
            <w:tcW w:type="dxa" w:w="15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2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30/03/2026 – 17/04/2026
(3 semaines)</w:t>
            </w:r>
          </w:p>
        </w:tc>
        <w:tc>
          <w:tcPr>
            <w:tcW w:type="dxa" w:w="248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Modélisation prédictive par IA</w:t>
            </w:r>
          </w:p>
        </w:tc>
        <w:tc>
          <w:tcPr>
            <w:tcW w:type="dxa" w:w="25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 sélection de Random Forest comme champion et Isolation Forest.</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20/04/2026 – 30/04/2026
(2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décisionnelle et validation</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 portail web opérationnel, mesures DAX et recette d'atelier.</w:t>
            </w:r>
          </w:p>
        </w:tc>
      </w:tr>
    </w:tbl>
    <w:p>
      <w:pPr>
        <w:spacing w:after="120" w:before="80"/>
        <w:jc w:val="center"/>
      </w:pPr>
      <w:r>
        <w:rPr>
          <w:rFonts w:ascii="Times New Roman" w:cs="Times New Roman" w:eastAsia="Times New Roman" w:hAnsi="Times New Roman"/>
          <w:i/>
          <w:iCs/>
          <w:color w:val="595959"/>
          <w:sz w:val="20"/>
          <w:szCs w:val="20"/>
        </w:rPr>
        <w:t xml:space="preserve">Tableau 1.6 : Calendrier et objectifs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avec rigueur et clarté, nous mobilisons le langage de modélisation standard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[26]. Trois types de représentations graphiques sont principalement employés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cas d'utilisation (Chapitres 2 et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représentation des services offerts aux deux acteurs du système (Opérateur et Administrateur), avec identification des relations d'inclusion d'authentification.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d'activité (Chapitres 3, 4 et 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des flux séquentiels d'exécution au sein du pipeline ETL, des règles de calcul de stock et du processus d'apprentissage automatique.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séquence (Chapitres 3 et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illustration de la dynamique temporelle des échanges entre les interfaces utilisateurs, les services applicatifs et le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les fondations du projet Nexora. Après avoir situé le cadre académique et la collaboration entre Maps-IT et l'équipementier automobile, nous avons formalisé la problématique du pilotage d'atelier et présenté l'organisation itérative Scrum adoptée. Le chapitre suivant détaille les résultats du Sprint 0, consacré à la spécification des besoins et à la conception de l'architecture globale en quatre couches.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de cadrage initial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 et de performance.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d'atelier habilité à saisir les mouvements d'inventaire réels (entrées, sorties de matière, rebuts d'injection) et à consulter le statut des lignes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superviseur d'atelier et responsable logistique. Il assure le pilotage opérationnel (supervision des 319 presses, planification des ordres de fabrication, suivi des composantes du TRG, consultation des prévisions d'IA à 7/15/30 jours) ainsi que l'administration technique (gestion des comptes et contrôle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vérification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inférieur à 2 secondes pour l'affichage des rapports et latence d'inférence des modèles inférieure à 250 ms.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de charge et temps de calcul API.</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par jetons JWT, gestion des rôles (RBAC) et traçabilité des accès.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permissions Opérateur / Admin.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d'entrée assainies par le pipeline ETL et modèles de prévision validés sans fuite temporelle.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Zéro doublon résiduel dans le DWH et CV stable.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découplée en 4 couches avec séparation nette entre ETL, modélisation et restitution.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Code versionné et documenté.</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d'intégrer ultérieurement des modèles de prévision par presse ou des capteurs IoT sans refonte.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Schéma dimensionnel normalisé.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visuels intuitifs et interface web réactive adaptée aux postes d'atelier.</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Score de satisfaction utilisateur ≥ 4/5.</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de la saisie des mouvements de stock et du suivi d'avancement des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d'atelier (supervision des presses, consultation du TRG et des prévisions IA, gestion des alertes d'approvisionnement) ainsi que l'administration des accès.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62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 de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garantissant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robustesse, la modularité et l'évolutivité de la solution,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(Data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articulée autour de Microsoft SQL Server 2022 [16], elle héberge le Data Warehouse (DWH) modélisé en schéma en étoile (tables de dimensions pour les articles et presses, tables de faits pour la production, les stocks et les rebuts).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Traitement &amp; ETL (Processing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développée en Python 3.10 [18] avec Pandas [19] et NumPy [20], elle orchestre l'ingestion automatisée, le dédoublonnage, la correction des 10 anomalies recensées et l'alimentation des tables analytiques.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&amp; IA (Business &amp; AI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 les services d'apprentissage automatique (Régression Linéaire, ARIMA, Random Forest comme benchmark multi-horizons, Prophet [12] déployé en production pour les prévisions de cadence et d'inventaire avec intervalles d'incertitude et décomposition saisonnière, et Isolation Forest [8] pour les anomalies) ainsi que le moteur logistique de calcul des couvertures de stock. Les prévisions générées sont automatiquement écrites dans la table `ml_production_predictions` du DWH. Cette couche intègre également un micro-service FastAPI [21] pour l'inférence à la demande et un serveur d'entreprise Spring Boot [17] pour la gestion des entités métiers et des utilisateurs.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Restitution &amp; Présentation (Presentation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propose une double modalité d'accès adaptée aux profils : d'une part, des tableaux de bord décisionnels interactifs sous Microsoft Power BI [24] connectés directement au DWH pour le pilotage stratégique ; d'autre part, un portail web réactif en React.js [22] et TypeScript [23] pour les saisies et consultations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une station de travail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i7-12700H (14 cœurs, 20 threads, fréquence de base 2,30 GHz jusqu'à 4,70 GHz en mode Turbo).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 DDR4 (3200 MHz).</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Disque SSD NVMe PCIe 4.0 de 512 Go (débit de lecture séquentielle &gt; 3 500 Mo/s).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Professionnel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l'ensemble des outils, langages, bibliothèques et frameworks mobilisés pour la conception et l'implémentation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0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Outil</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usage dans le projet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Visual Studio Code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principal pour les scripts Python ETL/ML et le code frontend React.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IntelliJ IDEA</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dédié au serveur backend Spring Boot.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Git &amp; GitHub</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versions du code source et traçabilité des livrables.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SQL Server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[16].</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SQL Server Management Studio</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bases, exécution des requêtes SQL et optimisation des index.</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Python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pour le pipeline ETL, l'ingénierie des variables et les modèles d'IA [18].</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Java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orienté objet pour les services backend Spring Boot.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TypeScript / JavaScript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 ES2022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typé du frontend web React [23].</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Spring Boot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assurant la sécurité JWT, le modèle de données JPA et les API REST [17].</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FastAPI</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0.115</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Python asynchrone pour l'inférence temps réel des modèles ML [21].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React.js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d'interfaces graphiques composables pour le portail atelier [22].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Pandas &amp; NumPy</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 / 1.26</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séries tabulaires et calculs vectorisés [19, 20].</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déployé en production (prévisions de cadence et stocks, décomposition saisonnière) [12].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Scikit-Learn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Normalisation, Random Forest (benchmark récursif), Régression et Isolation Forest [11].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Statsmodels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ARIMA et tests de stationnarité (ADF) [10].</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Power BI Desktop</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des rapports décisionnels interactifs et modélisation DAX [24].</w:t>
            </w:r>
          </w:p>
        </w:tc>
      </w:tr>
    </w:tbl>
    <w:p>
      <w:pPr>
        <w:spacing w:after="120" w:before="80"/>
        <w:jc w:val="center"/>
      </w:pPr>
      <w:r>
        <w:rPr>
          <w:rFonts w:ascii="Times New Roman" w:cs="Times New Roman" w:eastAsia="Times New Roman" w:hAnsi="Times New Roman"/>
          <w:i/>
          <w:iCs/>
          <w:color w:val="595959"/>
          <w:sz w:val="20"/>
          <w:szCs w:val="20"/>
        </w:rPr>
        <w:t xml:space="preserve">Tableau 2.2 : Outils, langages et bibliothèques logiciels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formalisé le cadre fonctionnel et technique du système Nexora issu du Sprint 0. Nous avons identifié les exigences des deux acteurs d'atelier, établi l'architecture modulaire en quatre couches et sélectionné un écosystème technologique robuste combinant SQL Server, Python, Spring Boot, FastAPI, React et Power BI. Le chapitre suivant aborde le Sprint 1, dédié au nettoyage des données et au développement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directement la fiabilité des modèles prédictifs et des indicateurs de gestion. Dans un environnement industriel réel, les extractions de bases opérationnelles comportent inévitablement des anomalies de saisie, des redondances et des valeurs manquantes. L'objectif de ce premier sprint est donc d'auditer les données brutes, de concevoir un pipeline de nettoyage modulaire en Python [18], d'appliquer les règles d'assainissement et de charger les tables certifiées dans le Data Warehouse (DWH) sous un schéma en étoile normalisé.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et de production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pour les 10 anomalies recensées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 et structuration du schéma en étoile (7 tables)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automatisé des 32 043 lignes assainies dans SQL Server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16 variables explicatives temporelles et statistiques (Feature Engineering)</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cadence (distributions, tendances,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index clusterisés et non-clusterisés sur les tables de faits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des journaux d'exécution et du rapport d'audit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des extractions du système d'information industriel de l'équipementier partenaire, couvrant les usines de Kondar et Sousse en Tunisie ainsi que le site de Brno en République Tchèque. La période d'observation s'étend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1er janvier 2024 au 30 avril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(soit 851 jours consécutifs d'activité industrielle).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sources couvrent les déclarations de fabrication, les mouvements d'inventaire physique, le référentiel des articles et le suivi du parc machines. Après prétraitement par le pipeline ETL, ces flux alimentent le Data Warehouse pour l'analyse décisionnelle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766"/>
      </w:tblGrid>
      <w:tr>
        <w:trPr>
          <w:tblHeader/>
        </w:trPr>
        <w:tc>
          <w:tcPr>
            <w:tcW w:type="dxa" w:w="3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périmètre de données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27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temporelle couverte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30/04/2026</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851 jours consécutifs de production d'atelier.</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 extraites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Fichier source initial contenant les déclarations de stock brutes.</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nettoyées et certifiées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valides insérées dans la table FACT_Mvts_Stocks.</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détaillées d'atelier</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6 875 lignes actives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Enregistrements d'inventaire ventilés par atelier, dépôt et lot.</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Références articles au catalogue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800 références uniques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plastiques distincts référencés dans DIM_FamArt.</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Presses à injecter suivies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de presses réparties sur les 3 sites industriels (DIM_OF-Mach).</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En-cours de fabrication enregistrés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8 344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ordres d'injection en atelier (FACT_Encours).</w:t>
            </w:r>
          </w:p>
        </w:tc>
      </w:tr>
    </w:tbl>
    <w:p>
      <w:pPr>
        <w:spacing w:after="120" w:before="80"/>
        <w:jc w:val="center"/>
      </w:pPr>
      <w:r>
        <w:rPr>
          <w:rFonts w:ascii="Times New Roman" w:cs="Times New Roman" w:eastAsia="Times New Roman" w:hAnsi="Times New Roman"/>
          <w:i/>
          <w:iCs/>
          <w:color w:val="595959"/>
          <w:sz w:val="20"/>
          <w:szCs w:val="20"/>
        </w:rPr>
        <w:t xml:space="preserve">Tableau 3.2 : Périmètre quantitatif des données industrielles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principales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est modélisé selon un schéma en étoile optimisé pour les requêtes analytiques [16], constitué de deux tables de dimensions et de cinq tables de faits interconnectées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 DWH</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Nature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fonctionnel</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dbo.DIM_FamArt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articles : code article (No_), désignation, famille matière (PP, PA66, ABS), groupe comptable et typologie client.</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dbo.DIM_OF-Mach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presses à injecter : identifiant machine, site d'implantation (Kondar, Sousse, Brno), tonnage et atelier d'affectation.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dbo.FACT_Mvts_Stocks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certifié des stocks et mouvements : date, référence article, quantité disponible, coût unitaire valorisé et site.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dbo.FACT_Encours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8 344 en-cours d'atelier : pièces et sous-ensembles en cours d'injection sur les lignes de production.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dbo.Fact_PA</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Production journalière réelle : volumes injectés, pièces conformes, cadences effectives et temps opératoires.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dbo.FACT_OF-Rebuts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Défaillances qualité : pièces rebutées lors de la fabrication avec typologie des défauts (bavures, retassures, déformations).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dbo.FACT_BOM</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Nomenclatures produits (Bill of Materials) : arborescence des composants et coefficients de consommation par pièce finie.</w:t>
            </w:r>
          </w:p>
        </w:tc>
      </w:tr>
    </w:tbl>
    <w:p>
      <w:pPr>
        <w:spacing w:after="120" w:before="80"/>
        <w:jc w:val="center"/>
      </w:pPr>
      <w:r>
        <w:rPr>
          <w:rFonts w:ascii="Times New Roman" w:cs="Times New Roman" w:eastAsia="Times New Roman" w:hAnsi="Times New Roman"/>
          <w:i/>
          <w:iCs/>
          <w:color w:val="595959"/>
          <w:sz w:val="20"/>
          <w:szCs w:val="20"/>
        </w:rPr>
        <w:t xml:space="preserve">Tableau 3.3 : Tables principales du Data Warehouse en schéma en étoile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diagramme relationnel modélisant l'agencement des dimensions et des tables de faits au sein de la base de données DWH :</w:t>
      </w:r>
    </w:p>
    <w:p>
      <w:pPr>
        <w:spacing w:after="40" w:before="40"/>
      </w:pPr>
      <w:r>
        <w:t xml:space="preserve"/>
      </w:r>
    </w:p>
    <w:p>
      <w:pPr>
        <w:spacing w:after="60" w:before="1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52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Modélisation dimensionnelle en étoile du Data Warehouse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liaisons dimensionnelles fondamentales sont les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FACT_Mvts_Stocks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référence d'article est associée à l'historique complet de ses réceptions, consommations et niveaux d'inventaire.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FACT_Encours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permet de rattacher chaque lot en fabrication à ses caractéristiques matière et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DIM_OF-Mach vers Fact_PA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presse à injecter génère quotidiennement des enregistrements de cadence et d'heures de marche.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FACT_BOM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décompose un article parent en l'ensemble de ses composants requis pour l'injection.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Fact_PA vers FACT_OF-Rebuts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associe à chaque déclaration de fabrication les volumes rebutés et les motifs d'anomalie.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exploration statistique descriptive a été menée sur l'agrégat journalier de la production de pièces conformes (sur l'ensemble des 319 presses) afin d'en cerner la tendance centrale et la variabilité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de production</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Cadence journalière globale (pcs/j)</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12 450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64 890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63 120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19 450</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30,0 %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d'injection effectives / jour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2 380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1 890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 h</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d'arrêts machines / 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890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h</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40,4 %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rebut moyen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Global (TRG/OEE) [25]</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88,6 %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71,4 %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72,1 %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9,5 %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détaille l'impact mesuré des événements industriels et des variations calendaires sur la cadence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 Événement opérationnel</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Moy. (pcs/j)</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Max (pcs/j)</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Normal</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nominale standard</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580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66 420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98 450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estivale (congés constructeurs)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38 210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Pics de livraison de fin de trimestre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94 850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Maintenance annuelle programmée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18 900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28 400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Changements d'outillages (moules)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54 300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76 200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de Ramadan (horaires adaptés)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56 800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0,86</w:t>
            </w:r>
          </w:p>
        </w:tc>
      </w:tr>
    </w:tbl>
    <w:p>
      <w:pPr>
        <w:spacing w:after="120" w:before="80"/>
        <w:jc w:val="center"/>
      </w:pPr>
      <w:r>
        <w:rPr>
          <w:rFonts w:ascii="Times New Roman" w:cs="Times New Roman" w:eastAsia="Times New Roman" w:hAnsi="Times New Roman"/>
          <w:i/>
          <w:iCs/>
          <w:color w:val="595959"/>
          <w:sz w:val="20"/>
          <w:szCs w:val="20"/>
        </w:rPr>
        <w:t xml:space="preserve">Tableau 3.5 : Impact des événements et variations industrielles sur la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Note explicative</w:t>
      </w:r>
      <w:r>
        <w:rPr>
          <w:rFonts w:ascii="Times New Roman" w:cs="Times New Roman" w:eastAsia="Times New Roman" w:hAnsi="Times New Roman"/>
          <w:b w:val="false"/>
          <w:bCs w:val="false"/>
          <w:i w:val="false"/>
          <w:iCs w:val="false"/>
          <w:color w:val="1A1A1A"/>
          <w:sz w:val="24"/>
          <w:szCs w:val="24"/>
        </w:rPr>
        <w:t xml:space="preserve"> : La moyenne globale de 64 890 pièces/jour (Tableau 3.4) résulte de la combinaison pondérée de l'activité nominale (66 420 pcs/j sur 580 jours) avec les périodes de suractivité (94 850 pcs/j en fin de trimestre) et les ralentissements programmés (congés, maintenance, Ramadan avec un ratio calculé de 56 800 / 66 420 = 0,86).</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retrace l'évolution temporelle de la production journalière globale sur les 851 jours observés, mettant en lumière le rythme soutenu de l'atelier entrecoupé des baisses saisonnières estivales et hivernales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Évolution temporelle de la production globale des 319 presses (2024–2026)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distribution de la cadence selon le jour de la semaine et le mois de l'année, démontrant la régularité du rythme du lundi au vendredi et l'allègement habituel des équipes le week-end :</w:t>
      </w:r>
    </w:p>
    <w:p>
      <w:pPr>
        <w:spacing w:after="40" w:before="40"/>
      </w:pPr>
      <w:r>
        <w:t xml:space="preserve"/>
      </w:r>
    </w:p>
    <w:p>
      <w:pPr>
        <w:spacing w:after="60" w:before="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095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Profils de saisonnalité de production par jour de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illustre la carte thermique croisant mois et jours de la semaine, localisant avec précision les périodes de forte sollicitation des presses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Heatmap d'activité atelier : cadence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(implanté dans le package Python `etl_pipeline/` [18, 19]) est conçu de façon modulaire afin de garantir la reproductibilité et la traçabilité des transformations. Il s'articule en quatre phases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multi-sources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robuste des fichiers d'extraction bruts avec détection automatique de l'encodage (UTF-8, Latin-1) et contrôle des en-têtes.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Assainissement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ordonnée des filtres de nettoyage pour éliminer les doublons et redresser les 10 anomalies recensées.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Structuration 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séparation des données en tables de dimensions et de faits conformément au modèle en étoile.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Chargement dans le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performante par lots dans SQL Server [16] avec mise à jour des index et journalisation.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séquentiel des données à travers le pipeline ETL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séquentiel du pipeline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de séquence de la figure 3.6 détaille les interactions dynamiques entre les modules d'extraction, de nettoyage et de persistance :</w:t>
      </w:r>
    </w:p>
    <w:p>
      <w:pPr>
        <w:spacing w:after="40" w:before="40"/>
      </w:pPr>
      <w:r>
        <w:t xml:space="preserve"/>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3.6 : Diagramme de séquence du pipeline ETL d'atelier</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extrait les données brutes issues des exports ERP sans modifier les structures initiales. Les données textuelles sont chargées sous forme brute pour permettre l'évaluation quantitative des anomalies avant toute opération de correction.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du fichier d'inventaire brut (`ASTOCKDATE_RAW.csv`) contenant 51 500 enregistrements a révélé une redondance massive issue des extractions automatisées de l'ERP ainsi que plusieurs incohérences de saisie. Le module de nettoyage applique dix règles de traitement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Identifiants articles (No_)</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standardisation de la casse, suppression des espaces parasites et rejet des 460 lignes sans identifiant de produit réconciliable.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Dédoublonnage sur clé métier composite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stricte de 18 337 lignes redondantes sur la clé composite (DateStock, No_,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Nettoyage des chaînes textuelles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espaces multiples et des caractères de contrôle indésirables.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Harmonisation des dates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au format ISO 8601 (YYYY-MM-DD) et rejet de 660 enregistrements comportant des dates calendaires impossibles (ex: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Standardisation des formats numériques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des virgules en points décimaux et suppression des unités textuelles ('500 u' -&gt; 500.0).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Redressement des coûts unitaires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suffixes monétaires et remplacement des coûts négatifs ou nuls par la médiane de la famille matière correspondante.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Harmonisation des catégories d'articles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normalisation des libellés de familles plastiques (PP, PA66, ABS, POM).</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Standardisation des sites de 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unification des dénominations des ateliers (Kondar, Sousse, Brno).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 Cohérence logique inter-colonnes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réconciliation des écarts de quantités physiques et normalisation de l'indicateur d'en-cours.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 Imputation des valeurs manquantes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affectation de valeurs par défaut qualifiées pour les attributs secondaires.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présente le bilan quantitatif complet sous forme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table en cascade (waterfall)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retraçant le passage des données brutes aux données certifiées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066"/>
      </w:tblGrid>
      <w:tr>
        <w:trPr>
          <w:tblHeader/>
        </w:trPr>
        <w:tc>
          <w:tcPr>
            <w:tcW w:type="dxa" w:w="3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 de filtrage / Règle de qualité appliquée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Volume de lignes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Variation</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opérationnel</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brut initial extrait de l'ERP</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Base (100,0 %)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d'inventaire brutes avant traitement.</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doublons stricts et sur clé (DateStock, No_, Site)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- 18 337</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- 35,61 %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redondances issues des exports.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invalides ou hors calendrier (format non ISO)</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- 660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- 1,28 %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erronées (ex: 30 février).</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identifiants articles manquants ou non réconciliables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- 460</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- 0,89 %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lignes orphelines sans référence DIM_FamArt.</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Volume final certifié chargé dans le DWH</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32 043</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Rétention : 62,22 %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Lignes d'inventaire valides et certifiées dans FACT_Mvts_Stocks.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Harmonisation des formats numériques et décimaux</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464 champs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unités 'u' et points décimaux normalisés.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des coûts unitaires négatifs ou nuls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528 valeurs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par la médiane de la famille matière.</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stocks négatifs transitoires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165 cas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écritures logistiques transitoires.</w:t>
            </w:r>
          </w:p>
        </w:tc>
      </w:tr>
    </w:tbl>
    <w:p>
      <w:pPr>
        <w:spacing w:after="120" w:before="80"/>
        <w:jc w:val="center"/>
      </w:pPr>
      <w:r>
        <w:rPr>
          <w:rFonts w:ascii="Times New Roman" w:cs="Times New Roman" w:eastAsia="Times New Roman" w:hAnsi="Times New Roman"/>
          <w:i/>
          <w:iCs/>
          <w:color w:val="595959"/>
          <w:sz w:val="20"/>
          <w:szCs w:val="20"/>
        </w:rPr>
        <w:t xml:space="preserve">Tableau 3.6 : Bilan quantitatif de la qualité des données (Waterfall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Ingénierie des variables explicatives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Après assainissement, le pipeline génère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16 variables explicatives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destinées à alimenter les modèles d'apprentissage automatique [11]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calendaires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`day_of_week`, `is_weekend`, `month`, `working_day`.</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d'événements et d'équipes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`is_holiday`, `is_summer_break`, `shift_pattern`.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décalage temporel / Lags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`lag_1`, `lag_7`, `lag_14`, `lag_30` (cadences passées à J-1, J-7, J-14 et J-30).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moyennes mobiles et volatilité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`roll_mean_7`, `roll_mean_14`, `roll_std_7` (calculées sur les données passées décalées afin d'éviter toute fuite temporelle).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industriels d'atelier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 de maintenance planifiée et indicateur de changement de moule.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 dans le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terminale insère les données transformées dans les tables SQL Server du DWH [16]. Pour accélérer les temps de restitution décisionnelle, des index spécifiques ont été posés sur les clés primaires composites ainsi que sur les attributs de filtrage temporel (`DateStock`) et de référence (`No_`).</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indicateurs de performance obtenus lors de l'exécution complète du pipeline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66"/>
      </w:tblGrid>
      <w:tr>
        <w:trPr>
          <w:tblHeader/>
        </w:trPr>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ETL</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mesurée</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d'inventaire extrait de l'ERP.</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certifiées chargées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assainie inséré dans FACT_Mvts_Stocks.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rétention de données certifiées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62,22 %</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Conforme après dédoublonnage (-35,6 %) et rejets (-2,2 %).</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0,0 %</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des contraintes d'intégrité et de format satisfaites.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créées pour l'apprentissage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 variables explicatives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Prêtes pour la modélisation prédictive.</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d'exécution du pipeline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2,62 secondes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Traitement vectorisé sous Pandas performant.</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quantitatifs et techniques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des livrables réalisés au terme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sources brutes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d'ingestion multi-formats avec détection d'encodage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traitant les 10 anomalies et dédoublonnage sur clé composite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des 7 tables du DWH en schéma en étoile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en base de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d'insertion des 32 043 lignes avec index optimisés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Feature Engineering</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rigoureux des 16 variables explicatives sans fuite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 de qualité</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Journalisation automatisée et table waterfall avant/après nettoyage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menés lors du Sprint 1 pour fiabiliser les données industrielles. En assainissant le fichier brut d'inventaire de 51 500 lignes pour charger 32 043 enregistrements certifiés dans le Data Warehouse, le pipeline ETL garantit une base de données cohérente et sans doublon. Ces données intègres permettent d'aborder sereinement le Sprint 2, consacré au développement du module de gestion intelligente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de plasturgie automobile, la gestion rigoureuse des stocks de matières premières (résines thermoplastiques telles que PP, PA66 ou ABS) et de sous-composants est déterminante pour prévenir les arrêts inopinés de presses tout en limitant l'immobilisation financière liée aux surstocks. L'objectif de ce sprint est de concevoir le module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plateforme Nexora. En s'appuyant sur les données assainies issues du Data Warehouse, ce module segmente le catalogue d'articles, analyse la couverture restante, génère des alertes visuelles hiérarchisées et calcule les réapprovisionnements optimaux pour sécuriser un horizon de 45 jours d'activité [14, 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des flux logistiques et architecture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de la couverture en jours et des rotations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 des articles : méthode Pareto ABC et clustering K-Means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classification par niveau de risque (Rupture, Critique, Normal, Surstock)</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d'approvisionnement (horizon 45 jours)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 global des approvisionnements prioritaires (2 418 650 TND)</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des alertes d'atelier et intégration des fonctions d'exportation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le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méthodique en quatre phases, illustré par la figure 4.1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Architecture et flux de traitement du module de gestion des stocks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stocks physiques disponibles et de l'historique des sorties matière depuis la table `FACT_Mvts_Stocks`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logistiques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du taux de consommation journalier, de l'autonomie restante en jours de production et de la vitesse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Double segmentation des 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catégorisation économique par la méthode Pareto ABC et regroupement non supervisé par clustering K-Means [9], complétés par l'affectation à un statut de risque.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budgétisation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proposition de quantités de commande pour sécuriser un horizon de 45 jours calculées à partir du taux de consommation certifié, calcul de l'enveloppe budgétaire et émission d'alertes.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indicateurs de rotation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la situation de chaque référence du catalogue, nous calculons son taux de consommation journalier historique à partir de l'activité annuelle de l'atelier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Taux_Journalier_Historique_i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Deux indicateurs fondamentaux de gestion industrielle [14] sont systématiquement suivis pour chaque article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disponible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 production en l'absence de toute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 du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fréquence de renouvellement complet de l'inventaire au cours de l'exercice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article consommé rapidement exigeant des flux logistiques tendus, alors qu'une rotation anormalement basse signale une référence dormante engendrant des frais d'entreposage superflus.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et segmentation des produits</w:t>
      </w:r>
    </w:p>
    <w:p>
      <w:pPr>
        <w:pStyle w:val="Heading3"/>
        <w:spacing w:after="70" w:before="140"/>
        <w:outlineLvl w:val="2"/>
      </w:pPr>
      <w:r>
        <w:rPr>
          <w:rFonts w:ascii="Times New Roman" w:cs="Times New Roman" w:eastAsia="Times New Roman" w:hAnsi="Times New Roman"/>
          <w:b/>
          <w:bCs/>
          <w:color w:val="000000"/>
          <w:sz w:val="24"/>
          <w:szCs w:val="24"/>
        </w:rPr>
        <w:t xml:space="preserve">4.5.1 Segmentation multicritère Pareto ABC et Clustering K-Means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d'adopter une stratégie de gestion différenciée, les 800 références d'articles du catalogue (`DIM_FamArt`) font l'objet d'une double segmentation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Méthode Pareto ABC</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 le catalogue en fonction de la part dans la valeur économique annuelle cumulée conformément au profil industriel constaté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A (72 % de la valeur cumulée)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références stratégiques et polymères majeurs faisant l'objet d'un suivi au jour le jour.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B (20 % de la valeur cumulée)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composants techniques intermédiaires gérés par revue périodique standard.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C (8 % de la valeur cumulée)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références secondaires gérées par seuil d'alerte simplifié.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Clustering non supervisé K-Means ($k=3$) [9]</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segmente les articles selon la valeur unitaire, le stock disponible et la cadence de consommation (Figure 4.2)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0 (Polymères nobles &amp; résines stratégiques)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matières premières à très forte valeur financière (jusqu'à 3 000 TND/unité) et débit élevé (ex: nuances techniques de PA66 et PP chargé).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1 (Inserts métalliques &amp; composants intermédiaires)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sous-ensembles et inserts à coût modéré (200 à 600 TND/unité) à consommation linéaire.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2 (Visserie, consommables &amp; articles secondaires)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références à faible valeur unitaire (&lt; 150 TND/unité) mais à rotation volumique régulière.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4.5.2 Classification opérationnelle par niveau de risque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chaque article est classé selon sa couverture disponible conformément aux règles définies avec la direction logistique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disponible = 0 unité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d'extrême urgence et réordonnancement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&lt; 15 jours de production</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d'un réapprovisionnement prioritaire sous 48 heures.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équilibré ; aucune commande immédiate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des commandes futures pour limiter l'immobilisation de trésorerie.</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selon le niveau de couverture disponible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 et chiffrage budgétaire</w:t>
      </w:r>
    </w:p>
    <w:p>
      <w:pPr>
        <w:pStyle w:val="Heading3"/>
        <w:spacing w:after="70" w:before="140"/>
        <w:outlineLvl w:val="2"/>
      </w:pPr>
      <w:r>
        <w:rPr>
          <w:rFonts w:ascii="Times New Roman" w:cs="Times New Roman" w:eastAsia="Times New Roman" w:hAnsi="Times New Roman"/>
          <w:b/>
          <w:bCs/>
          <w:color w:val="000000"/>
          <w:sz w:val="24"/>
          <w:szCs w:val="24"/>
        </w:rPr>
        <w:t xml:space="preserve">4.6.1 Algorithme de réapprovisionnement à horizon cible de 45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articles en situation de Rupture ou de Stock Critique, le système calcule la quantité exacte requise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d'approvisionnement fournisseur de 30 jours augmenté d'un stock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Q_commander_i = max(Q_min_conditionnement, ⌈Taux_Journalier_i × 45⌉ - Stock_Actuel_i)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avec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formulation, directement issue du moteur de calcul logistique du système, s'appuie sur la consommation annuelle certifiée dans le Data Warehouse. Elle garantit un réapprovisionnement rigoureusement proportionné aux cadences réelles sans introduire d'instabilité artificielle liée aux incertitudes prévisionnelles. L'intégration d'une pondération dynamique par les prévisions d'apprentissage automatique (Random Forest / Prophet) constitue une perspective d'évolution modulaire, destinée à anticiper les chocs de demande lors de l'introduction de nouveaux programmes de fabrication.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financier prévisionnel des réapprovisionnements est obtenu en valorisant les quantités suggérées par le coût unitaire d'achat réel enregistré dans le DWH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l'ensemble des références i ∈ (Rupture ∪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métrique offre à la direction des achats une visibilité consolidée sur les engagements de trésorerie à court terme.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Hiérarchisation des alertes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classées par ordre décroissant de criticité en combinant le statut de stock, la classe ABC et le délai fournisseur, assurant que les approvisionneurs traitent en priorité absolue les matières indispensables au maintien des lignes d'injection.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a été exécutée sur l'ensemble des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6 875 lignes d'inventaire détaillées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(ventilées par dépôt d'atelier, correspondant aux 800 références d'articles uniques). La figure 4.2 illustre la double segmentation Pareto ABC et K-Means obtenue :</w:t>
      </w:r>
    </w:p>
    <w:p>
      <w:pPr>
        <w:spacing w:after="40" w:before="40"/>
      </w:pPr>
      <w:r>
        <w:t xml:space="preserve"/>
      </w:r>
    </w:p>
    <w:p>
      <w:pPr>
        <w:spacing w:after="60" w:before="14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Segmentation multicritère Pareto ABC et Clustering K-Means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répartition opérationnelle des références s'établit comme suit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4 920 articles (71,6 %) disposent d'un niveau d'autonomie sain compris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312 articles (4,5 %) sont totalement épuisés et requièrent une relance immédiate.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1 240 articles (18,0 %) présentent une autonomie inférieure à 15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403 articles (5,9 %) dépassent 120 jours de couverture.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4.3 présente la synthèse des articles en alerte regroupés par grande famille de matières plastiques :</w:t>
      </w:r>
    </w:p>
    <w:p>
      <w:pPr>
        <w:spacing w:after="40" w:before="40"/>
      </w:pPr>
      <w:r>
        <w:t xml:space="preserve"/>
      </w:r>
    </w:p>
    <w:p>
      <w:pPr>
        <w:spacing w:after="60" w:before="14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Répartition des alertes de rupture et de stock critique par famille de matière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budgétaire total calculé pour reconstituer les stocks des 1 552 références en rupture ou en criticité sur un horizon de 45 jours s'élève exactement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2 418 650 TND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Ce montant reflète le cumul des commandes calculées selon les coûts unitaires certifiés du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dresse le bilan des livrables réalisés au terme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des flux et indicateurs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automatisé des taux journaliers, de la couverture et des rotations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ABC de Pareto (72/20/8) et clustering K-Means (k=3)</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statut</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articles en 4 états opérationnels (Rupture, Critique, Normal, Surstock)</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de réapprovisionnement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couverture à 45 jours basée sur le taux de consommation certifié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précis de l'enveloppe d'approvisionnement (2 418 650 TND)</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exports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Vues d'alertes priorisées et exportation tabulaire pour les achats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détaillé le développement du module de gestion intelligente des stocks lors du Sprint 2. En associant la segmentation économique ABC (72/20/8), le clustering K-Means en trois profils industriels et une formule de réapprovisionnement sur 45 jours basée sur la consommation d'atelier certifiée, la plateforme Nexora remplace les pratiques manuelles par un pilotage dynamique et préventif. Le chapitre suivant aborde le Sprint 3, consacré à la modélisation prédictive par Intelligence Artificielle et à la détection d'anomalies.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Intelligence Artificielle</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Agile Scrum. L'objectif de ce sprint est de concevoir, d'entraîner et d'évaluer rigoureusement les modèles d'intelligence artificielle et de séries temporelles destinés à anticiper les cadences de production d'injection plastique de l'atelier sur une échelle nominale de 64 890 pièces par jour. Pour répondre aux exigences de planification industrielle, quatre approches complémentaires sont développées : la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Régression Linéaire Multiple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 modèle autorégressif classique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[3, 4], la méthode d'ensemble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[7] et le modèle additif décomposable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garantir une honnêteté scientifique irréprochable et d'éliminer tout biais d'évaluation, les modèles sont soumis à un protocole d'évaluation strict sans fuite temporelle (</w:t>
      </w:r>
      <w:r>
        <w:rPr>
          <w:rFonts w:ascii="Times New Roman" w:cs="Times New Roman" w:eastAsia="Times New Roman" w:hAnsi="Times New Roman"/>
          <w:b w:val="false"/>
          <w:bCs w:val="false"/>
          <w:i/>
          <w:iCs/>
          <w:color w:val="1A1A1A"/>
          <w:sz w:val="24"/>
          <w:szCs w:val="24"/>
        </w:rPr>
        <w:t xml:space="preserve">leak-free protocol</w:t>
      </w:r>
      <w:r>
        <w:rPr>
          <w:rFonts w:ascii="Times New Roman" w:cs="Times New Roman" w:eastAsia="Times New Roman" w:hAnsi="Times New Roman"/>
          <w:b w:val="false"/>
          <w:bCs w:val="false"/>
          <w:i w:val="false"/>
          <w:iCs w:val="false"/>
          <w:color w:val="1A1A1A"/>
          <w:sz w:val="24"/>
          <w:szCs w:val="24"/>
        </w:rPr>
        <w:t xml:space="preserve">). Ce protocole repose sur trois principes fondamentaux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Réglage étanche des hyperparamètres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sélection des paramètres optimaux de Random Forest et de Prophet est réalisée sur une partition de validation antérieure (automne 2025) strictement disjointe de la période de test 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récursive multi-pas sans tricherie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pour les modèles autorégressifs tabulaires (Random Forest et Régression Linéaire), les valeurs décalées (</w:t>
      </w:r>
      <w:r>
        <w:rPr>
          <w:rFonts w:ascii="Times New Roman" w:cs="Times New Roman" w:eastAsia="Times New Roman" w:hAnsi="Times New Roman"/>
          <w:b w:val="false"/>
          <w:bCs w:val="false"/>
          <w:i/>
          <w:iCs/>
          <w:color w:val="1A1A1A"/>
          <w:sz w:val="24"/>
          <w:szCs w:val="24"/>
        </w:rPr>
        <w:t xml:space="preserve">lags</w:t>
      </w:r>
      <w:r>
        <w:rPr>
          <w:rFonts w:ascii="Times New Roman" w:cs="Times New Roman" w:eastAsia="Times New Roman" w:hAnsi="Times New Roman"/>
          <w:b w:val="false"/>
          <w:bCs w:val="false"/>
          <w:i w:val="false"/>
          <w:iCs w:val="false"/>
          <w:color w:val="1A1A1A"/>
          <w:sz w:val="24"/>
          <w:szCs w:val="24"/>
        </w:rPr>
        <w:t xml:space="preserve">) et moyennes mobiles futures ne sont jamais issues de la vérité terrain observée lors du test, mais réinjectées récursivement à partir des propres prédictions passées du modèle.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Évaluation à origines glissantes (</w:t>
      </w:r>
      <w:r>
        <w:rPr>
          <w:rFonts w:ascii="Times New Roman" w:cs="Times New Roman" w:eastAsia="Times New Roman" w:hAnsi="Times New Roman"/>
          <w:b w:val="false"/>
          <w:bCs w:val="false"/>
          <w:i/>
          <w:iCs/>
          <w:color w:val="1A1A1A"/>
          <w:sz w:val="24"/>
          <w:szCs w:val="24"/>
        </w:rPr>
        <w:t xml:space="preserve">Rolling-Origin Evaluation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performances sont moyennées sur 6 dates d'origine distinctes réparties sur l'année 2026, couvrant systématiquement trois horizons décisionnels (7, 15 et 30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statistique comparative révèle une situation industrielle remarquable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court terme (7 et 15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Random Forest en mode récursif affiche la précision ponctuelle la plus fine (MAPE de 5,85 ± 1,54 % à 7 jours et de 6,01 ± 0,85 % à 15 jours), s'imposant comme 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modèle étalon (</w:t>
      </w:r>
      <w:r>
        <w:rPr>
          <w:rFonts w:ascii="Times New Roman" w:cs="Times New Roman" w:eastAsia="Times New Roman" w:hAnsi="Times New Roman"/>
          <w:b w:val="false"/>
          <w:bCs w:val="false"/>
          <w:i/>
          <w:iCs/>
          <w:color w:val="1A1A1A"/>
          <w:sz w:val="24"/>
          <w:szCs w:val="24"/>
        </w:rPr>
        <w:t xml:space="preserve">benchmark champion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pour l'ordonnancement fin des équipes.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moyen terme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Random Forest et Prophet calibré sur le calendrier d'atelier parviennent à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quasi-égalité statistique (</w:t>
      </w:r>
      <w:r>
        <w:rPr>
          <w:rFonts w:ascii="Times New Roman" w:cs="Times New Roman" w:eastAsia="Times New Roman" w:hAnsi="Times New Roman"/>
          <w:b w:val="false"/>
          <w:bCs w:val="false"/>
          <w:i/>
          <w:iCs/>
          <w:color w:val="1A1A1A"/>
          <w:sz w:val="24"/>
          <w:szCs w:val="24"/>
        </w:rPr>
        <w:t xml:space="preserve">near-tie</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(MAPE de 6,00 ± 0,61 % contre 6,77 ± 0,94 % ; R² de 0,9798 contre 0,9738, avec un écart de seulement 407 pièces/jour). Le test de significativité de Diebold-Mariano confirme formellement l'absence de différence statistiquement significative (p = 0,0694 ≥ 0,05).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En environnement de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 été retenu et intégré dans l'API FastAPI et le tableau de bord web comme moteur opérationnel de planification à 30 jours. Ce choix est justifié par la fourniture native de fuseaux d'incertitude calibrés à 95 % (couverture empirique de 100 %), la décomposition explicite des événements industriels et une latence d'inférence de 3,2 ms.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Enfin, l'algorithme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[8] est calibré pour surveiller en temps réel le parc de presses et détecter les dérives anormales de cadence.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transformation log et gestion de la fenêtre d'initialisation de 30 jours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Ingénierie des 16 variables explicatives et réglage des hyperparamètres sur partition étanche 2025</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de l'évaluation multi-pas récursive sans fuite d'information (</w:t>
            </w:r>
            <w:r>
              <w:rPr>
                <w:rFonts w:ascii="Arial" w:cs="Arial" w:eastAsia="Arial" w:hAnsi="Arial"/>
                <w:b w:val="false"/>
                <w:bCs w:val="false"/>
                <w:i/>
                <w:iCs/>
                <w:sz w:val="18"/>
                <w:szCs w:val="18"/>
              </w:rPr>
              <w:t xml:space="preserve">leak-free</w:t>
            </w:r>
            <w:r>
              <w:rPr>
                <w:rFonts w:ascii="Arial" w:cs="Arial" w:eastAsia="Arial" w:hAnsi="Arial"/>
                <w:b w:val="false"/>
                <w:bCs w:val="false"/>
                <w:i w:val="false"/>
                <w:iCs w:val="false"/>
                <w:sz w:val="18"/>
                <w:szCs w:val="18"/>
              </w:rPr>
              <w:t xml:space="preserv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à 6 origines glissantes pour les horizons 7, 15 et 30 jours (Moyenne ± Écart-type)</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significativité statistique de Diebold-Mariano (HLN) et comparaisons appariées RF vs Prophet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de la couverture des intervalles de confiance à 95 % (Prophet vs Conformal Prediction RF)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Calibration d'Isolation Forest et test de sensibilité au taux de contamination (1 %, 5 %, 10 %)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du modèle Prophet en production (FastAPI, table ml_production_predictions du DWH)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pour le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suit les cinq étapes illustrées par la figure 5.1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Architecture et flux de traitement du module d'IA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Extraction des séries temporelles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 l'historique complet des déclarations de fabrication depuis la table `Fact_PA` du Data Warehouse (851 jours réels du 01/01/2024 au 30/04/2026).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Ingénierie des variables avec fenêtre de recul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16 variables explicatives (lags décalés, moyennes mobiles, variables calendaires et industrielles) et réglage des modèles sur la période antérieure.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et prévision récursive multi-pas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des modèles et simulation dynamique récursive pour alimenter les variables retardées sans fuite de données futures.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multi-horizons et tests statistiques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métriques d'erreur (MAE, RMSE, MAPE, R²) sur 6 origines glissantes et test de significativité de Diebold-Mariano.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Restitution et persistance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des prévisions et fuseaux d'incertitude dans la table `ml_production_predictions` du DWH pour l'affichage Power BI et l'application web React.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pour l'apprentissage</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 et transformation logarithmique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modélisée est le volume journalier global de pièces conformes injectées par le parc de presses. Afin de stabiliser la variance face aux fortes variations de fin de trimestre et de normaliser la distribution des résidus [4], une transformation logarithmique est appliquée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y_log = log(1 + Cadence_Journalière)</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Toutes les prédictions générées par les modèles sont systématiquement reconverties dans l'espace physique d'origine à l'aide de la transformation exponentielle inverse (</w:t>
      </w:r>
      <w:r>
        <w:rPr>
          <w:rFonts w:ascii="Times New Roman" w:cs="Times New Roman" w:eastAsia="Times New Roman" w:hAnsi="Times New Roman"/>
          <w:b w:val="false"/>
          <w:bCs w:val="false"/>
          <w:i/>
          <w:iCs/>
          <w:color w:val="1A1A1A"/>
          <w:sz w:val="24"/>
          <w:szCs w:val="24"/>
        </w:rPr>
        <w:t xml:space="preserve">expm1</w:t>
      </w:r>
      <w:r>
        <w:rPr>
          <w:rFonts w:ascii="Times New Roman" w:cs="Times New Roman" w:eastAsia="Times New Roman" w:hAnsi="Times New Roman"/>
          <w:b w:val="false"/>
          <w:bCs w:val="false"/>
          <w:i w:val="false"/>
          <w:iCs w:val="false"/>
          <w:color w:val="1A1A1A"/>
          <w:sz w:val="24"/>
          <w:szCs w:val="24"/>
        </w:rPr>
        <w:t xml:space="preserve"> : $\hat{y} = \exp(\hat{y}_{log}) - 1$). Les métriques d'erreur sont calculées exclusivement sur ces valeurs réelles en pièces physiques par 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 (Feature Engineering)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16 variables explicatives créées pour alimenter les modèles d'apprentissage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générées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métier et analytique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Calendrier (4)</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day_of_week, is_weekend, month, day</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 profil hebdomadaire (lundi-vendredi en 3x8 vs week-end) et les tendances mensuelles.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atelier (4)</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is_summer, is_eoq, is_maint, is_ramadan</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Intègre les arrêts d'usine programmés (congés d'août), les pics de fin de trimestre, la maintenance et le Ramadan.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Décalages / Lags (4)</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lag_1, lag_7, lag_14, lag_30</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Modélise l'autocorrélation temporelle aux pas J-1, J-7 (même jour semaine précédente), J-14 et J-30.</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mobiles (3)</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Indique la tendance lourde récente et la volatilité d'injection (calculées avec décalage strict).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de charge (1)</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shift_pattern</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Traduit le régime d'exploitation opérationnel des équipes d'atelier.</w:t>
            </w:r>
          </w:p>
        </w:tc>
      </w:tr>
    </w:tbl>
    <w:p>
      <w:pPr>
        <w:spacing w:after="120" w:before="80"/>
        <w:jc w:val="center"/>
      </w:pPr>
      <w:r>
        <w:rPr>
          <w:rFonts w:ascii="Times New Roman" w:cs="Times New Roman" w:eastAsia="Times New Roman" w:hAnsi="Times New Roman"/>
          <w:i/>
          <w:iCs/>
          <w:color w:val="595959"/>
          <w:sz w:val="20"/>
          <w:szCs w:val="20"/>
        </w:rPr>
        <w:t xml:space="preserve">Tableau 5.2 : Les 16 variables explicatives du modèle de cadence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Découpage chronologique sans fuite temporelle (*Leak-Free Protocol*)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de nombreuses études industrielles, l'évaluation de modèles tabulaires (tels que Random Forest) souffre d'un biais majeur de fuite de données (</w:t>
      </w:r>
      <w:r>
        <w:rPr>
          <w:rFonts w:ascii="Times New Roman" w:cs="Times New Roman" w:eastAsia="Times New Roman" w:hAnsi="Times New Roman"/>
          <w:b w:val="false"/>
          <w:bCs w:val="false"/>
          <w:i/>
          <w:iCs/>
          <w:color w:val="1A1A1A"/>
          <w:sz w:val="24"/>
          <w:szCs w:val="24"/>
        </w:rPr>
        <w:t xml:space="preserve">lookahead data leakage</w:t>
      </w:r>
      <w:r>
        <w:rPr>
          <w:rFonts w:ascii="Times New Roman" w:cs="Times New Roman" w:eastAsia="Times New Roman" w:hAnsi="Times New Roman"/>
          <w:b w:val="false"/>
          <w:bCs w:val="false"/>
          <w:i w:val="false"/>
          <w:iCs w:val="false"/>
          <w:color w:val="1A1A1A"/>
          <w:sz w:val="24"/>
          <w:szCs w:val="24"/>
        </w:rPr>
        <w:t xml:space="preserve">) : le modèle est évalué en mode </w:t>
      </w:r>
      <w:r>
        <w:rPr>
          <w:rFonts w:ascii="Times New Roman" w:cs="Times New Roman" w:eastAsia="Times New Roman" w:hAnsi="Times New Roman"/>
          <w:b w:val="false"/>
          <w:bCs w:val="false"/>
          <w:i/>
          <w:iCs/>
          <w:color w:val="1A1A1A"/>
          <w:sz w:val="24"/>
          <w:szCs w:val="24"/>
        </w:rPr>
        <w:t xml:space="preserve">one-step-ahead teacher forcing</w:t>
      </w:r>
      <w:r>
        <w:rPr>
          <w:rFonts w:ascii="Times New Roman" w:cs="Times New Roman" w:eastAsia="Times New Roman" w:hAnsi="Times New Roman"/>
          <w:b w:val="false"/>
          <w:bCs w:val="false"/>
          <w:i w:val="false"/>
          <w:iCs w:val="false"/>
          <w:color w:val="1A1A1A"/>
          <w:sz w:val="24"/>
          <w:szCs w:val="24"/>
        </w:rPr>
        <w:t xml:space="preserve">, où l'on fournit à chaque instant $t$ de la période de test les vraies valeurs observées aux pas $t-1, t-7$, etc. Cette pratique conduit à des scores de précision artificiellement gonflés qui s'effondrent lors d'un déploiement réel où les observations futures ne sont pas encore connues.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écarter formellement ce biais, notre étude a mis en place un protocole sans fuite d'information rigoureux structuré en quatre partitions chronologiques indépendantes (Tableau 5.3)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Fenêtre d'initialisation (Warm-up,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01/01/2024 au 30/01/2024. Réservée exclusivement au calcul des variables retardées (jusqu'à `lag_30`) sans aucun apprentissage.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Jeu d'apprentissage principal (Train, 609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31/01/2024 au 31/08/2025. Utilisé pour calibrer les poids des modèles sur l'historique de base.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Partition de validation étanche (Validation Split, 122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01/09/2025 au 31/12/2025. Période strictement réservée à l'optimisation des hyperparamètres de Random Forest (`n_estimators = 50`, `max_depth = 8`) et à la validation des composantes saisonnières de Prophet,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sans aucun chevauchement avec le jeu de test de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Jeu de test aveugle à origines glissantes (Test 2026, 98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23/01/2026 au 30/04/2026. L'évaluation est menée à partir de 6 dates d'origine successives (23/01, 06/02, 20/02, 06/03, 20/03 et 31/03/2026). Pour chaque origine et pour chaque horizon $H \in \{7, 15, 30\}$, les prédictions sont générées de manière 100 % autonome sans accès aux données futures.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Partition temporelle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c>
          <w:tcPr>
            <w:tcW w:type="dxa" w:w="2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méthodologique fondamental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Initialisation (Warm-up)</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 jours</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30/01/2024</w:t>
            </w:r>
          </w:p>
        </w:tc>
        <w:tc>
          <w:tcPr>
            <w:tcW w:type="dxa" w:w="2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Initialisation sans biais des variables retardées (jusqu'à lag_30).</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 base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609 jours</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31/01/2024 – 31/08/2025</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Ajustement des paramètres internes des modèles.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hyperparamètres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122 jours</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01/09/2025 – 31/12/2025</w:t>
            </w:r>
          </w:p>
        </w:tc>
        <w:tc>
          <w:tcPr>
            <w:tcW w:type="dxa" w:w="2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Réglage étanche d'arbres et de saisonnalité (aucun contact avec 2026).</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à origines glissantes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jours (6 origines)</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23/01/2026 – 30/04/2026</w:t>
            </w:r>
          </w:p>
        </w:tc>
        <w:tc>
          <w:tcPr>
            <w:tcW w:type="dxa" w:w="2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impartiale multi-horizons sans aucune fuite d'observation.</w:t>
            </w:r>
          </w:p>
        </w:tc>
      </w:tr>
    </w:tbl>
    <w:p>
      <w:pPr>
        <w:spacing w:after="120" w:before="80"/>
        <w:jc w:val="center"/>
      </w:pPr>
      <w:r>
        <w:rPr>
          <w:rFonts w:ascii="Times New Roman" w:cs="Times New Roman" w:eastAsia="Times New Roman" w:hAnsi="Times New Roman"/>
          <w:i/>
          <w:iCs/>
          <w:color w:val="595959"/>
          <w:sz w:val="20"/>
          <w:szCs w:val="20"/>
        </w:rPr>
        <w:t xml:space="preserve">Tableau 5.3 : Découpage chronologique étanche pour l'évaluation scientifique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Métriques d'évaluation et tests de significativité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L'évaluation comparative des performances s'appuie sur quatre métriques numériques exprimées en unités physiques d'atelier (pièces/jour) ainsi que sur des tests d'hypothèse statistique formels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MAE (Mean Absolute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mesure l'écart absolu moyen en pièces physiques par jour entre prévision et réalité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RMSE (Root Mean Squared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racine carrée de l'erreur quadratique moyenne, pénalisant lourdement les fortes déviations ponctuelles.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MAPE (Mean Absolute Percentage Error)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taux d'erreur relatif en pourcentage de la production réelle, normalisé selon la norme industrielle automobile (&lt; 10 %).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R² (Coefficient de Détermination)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fraction de variance de cadence expliquée par le modèle (valeur cible proche de 1,00).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Test de Diebold-Mariano avec ajustement de Harvey-Leybourne-Newbold (HLN) [3,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test statistique d'hypothèse nulle ($H_0 : \mathbb{E}[d_t] = 0$) évaluant si le différentiel d'erreur de prévision entre deux modèles concurrents est statistiquement significatif au seuil $\alpha = 5\%$, en tenant compte de l'autocorrélation induite par l'horizon de prévision multi-pas $h$.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Taux de couverture empirique à 95 %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proportion d'observations réelles comprises dans l'intervalle de confiance estimé $[\hat{y}_{lower}, \hat{y}_{upper}]$.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Développement et paramétrage des modèles</w:t>
      </w:r>
    </w:p>
    <w:p>
      <w:pPr>
        <w:pStyle w:val="Heading3"/>
        <w:spacing w:after="70" w:before="140"/>
        <w:outlineLvl w:val="2"/>
      </w:pPr>
      <w:r>
        <w:rPr>
          <w:rFonts w:ascii="Times New Roman" w:cs="Times New Roman" w:eastAsia="Times New Roman" w:hAnsi="Times New Roman"/>
          <w:b/>
          <w:bCs/>
          <w:color w:val="000000"/>
          <w:sz w:val="24"/>
          <w:szCs w:val="24"/>
        </w:rPr>
        <w:t xml:space="preserve">5.6.1 Modèles de prévision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algorithmes complémentaires ont été construits et évalués selon le protocole sans fuite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Régression Linéaire Multiple (Ridge)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paramétrique de référence (</w:t>
      </w:r>
      <w:r>
        <w:rPr>
          <w:rFonts w:ascii="Times New Roman" w:cs="Times New Roman" w:eastAsia="Times New Roman" w:hAnsi="Times New Roman"/>
          <w:b w:val="false"/>
          <w:bCs w:val="false"/>
          <w:i/>
          <w:iCs/>
          <w:color w:val="1A1A1A"/>
          <w:sz w:val="24"/>
          <w:szCs w:val="24"/>
        </w:rPr>
        <w:t xml:space="preserve">baseline</w:t>
      </w:r>
      <w:r>
        <w:rPr>
          <w:rFonts w:ascii="Times New Roman" w:cs="Times New Roman" w:eastAsia="Times New Roman" w:hAnsi="Times New Roman"/>
          <w:b w:val="false"/>
          <w:bCs w:val="false"/>
          <w:i w:val="false"/>
          <w:iCs w:val="false"/>
          <w:color w:val="1A1A1A"/>
          <w:sz w:val="24"/>
          <w:szCs w:val="24"/>
        </w:rPr>
        <w:t xml:space="preserve">) régularisé ($\alpha = 1{,}0$) avec standardisation préalable des variables d'entrée via `StandardScaler`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d'apprentissage et d'inférence instantanés (&lt; 7 ms).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Incapacité structurelle à modéliser les non-linéarités complexes d'atelier.</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Interprétabilité directe des coefficients de pondération.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à l'accumulation d'erreurs en projection récursive multi-pas.</w:t>
            </w:r>
          </w:p>
        </w:tc>
      </w:tr>
    </w:tbl>
    <w:p>
      <w:pPr>
        <w:spacing w:after="140" w:before="90"/>
        <w:jc w:val="center"/>
      </w:pPr>
      <w:r>
        <w:rPr>
          <w:rFonts w:ascii="Times New Roman" w:cs="Times New Roman" w:eastAsia="Times New Roman" w:hAnsi="Times New Roman"/>
          <w:b/>
          <w:bCs/>
          <w:color w:val="333333"/>
          <w:sz w:val="20"/>
          <w:szCs w:val="20"/>
        </w:rPr>
        <w:t xml:space="preserve">TABLEAU 5.5 : </w:t>
      </w:r>
      <w:r>
        <w:rPr>
          <w:rFonts w:ascii="Times New Roman" w:cs="Times New Roman" w:eastAsia="Times New Roman" w:hAnsi="Times New Roman"/>
          <w:color w:val="333333"/>
          <w:sz w:val="20"/>
          <w:szCs w:val="20"/>
        </w:rPr>
        <w:t xml:space="preserve">Avantages et limites : Régression Linéaire Multiple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Modèle ARIMA (AutoRegressive Integrated Moving Average)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approche statistique classique modélisant la dynamique des résidus avec pondération par jour de semaine et facteurs d'événements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Fondement théorique robuste pour les processus stochastiques stationnaires.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intégrer simultanément plusieurs cycles saisonniers sans réajustement permanent.</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réactivité sur les horizons courts.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ruptures calendaires abruptes d'atelier.</w:t>
            </w:r>
          </w:p>
        </w:tc>
      </w:tr>
    </w:tbl>
    <w:p>
      <w:pPr>
        <w:spacing w:after="140" w:before="90"/>
        <w:jc w:val="center"/>
      </w:pPr>
      <w:r>
        <w:rPr>
          <w:rFonts w:ascii="Times New Roman" w:cs="Times New Roman" w:eastAsia="Times New Roman" w:hAnsi="Times New Roman"/>
          <w:b/>
          <w:bCs/>
          <w:color w:val="333333"/>
          <w:sz w:val="20"/>
          <w:szCs w:val="20"/>
        </w:rPr>
        <w:t xml:space="preserve">TABLEAU 5.6 : </w:t>
      </w:r>
      <w:r>
        <w:rPr>
          <w:rFonts w:ascii="Times New Roman" w:cs="Times New Roman" w:eastAsia="Times New Roman" w:hAnsi="Times New Roman"/>
          <w:color w:val="333333"/>
          <w:sz w:val="20"/>
          <w:szCs w:val="20"/>
        </w:rPr>
        <w:t xml:space="preserve">Avantages et limites : Modèle ARIMA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Random Forest Regressor [7] (Modèle Étalon / Benchmark Champion)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méthode d'ensemble par ensachage (</w:t>
      </w:r>
      <w:r>
        <w:rPr>
          <w:rFonts w:ascii="Times New Roman" w:cs="Times New Roman" w:eastAsia="Times New Roman" w:hAnsi="Times New Roman"/>
          <w:b w:val="false"/>
          <w:bCs w:val="false"/>
          <w:i/>
          <w:iCs/>
          <w:color w:val="1A1A1A"/>
          <w:sz w:val="24"/>
          <w:szCs w:val="24"/>
        </w:rPr>
        <w:t xml:space="preserve">bagging</w:t>
      </w:r>
      <w:r>
        <w:rPr>
          <w:rFonts w:ascii="Times New Roman" w:cs="Times New Roman" w:eastAsia="Times New Roman" w:hAnsi="Times New Roman"/>
          <w:b w:val="false"/>
          <w:bCs w:val="false"/>
          <w:i w:val="false"/>
          <w:iCs w:val="false"/>
          <w:color w:val="1A1A1A"/>
          <w:sz w:val="24"/>
          <w:szCs w:val="24"/>
        </w:rPr>
        <w:t xml:space="preserve">) de 50 arbres de décision (profondeur maximale `max_depth = 8`), sélectionnée sur la partition de validation 2025. Évaluée selon deux modalités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Récursif (</w:t>
      </w:r>
      <w:r>
        <w:rPr>
          <w:rFonts w:ascii="Times New Roman" w:cs="Times New Roman" w:eastAsia="Times New Roman" w:hAnsi="Times New Roman"/>
          <w:b w:val="false"/>
          <w:bCs w:val="false"/>
          <w:i/>
          <w:iCs/>
          <w:color w:val="1A1A1A"/>
          <w:sz w:val="24"/>
          <w:szCs w:val="24"/>
        </w:rPr>
        <w:t xml:space="preserve">Multi-Step Recursive</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réinjection dynamique des prévisions aux pas ultérieurs pour reconstruire les variables `lag_1..lag_30` et `roll_mean_</w:t>
      </w:r>
      <w:r>
        <w:rPr>
          <w:rFonts w:ascii="Times New Roman" w:cs="Times New Roman" w:eastAsia="Times New Roman" w:hAnsi="Times New Roman"/>
          <w:b w:val="false"/>
          <w:bCs w:val="false"/>
          <w:i/>
          <w:iCs/>
          <w:color w:val="1A1A1A"/>
          <w:sz w:val="24"/>
          <w:szCs w:val="24"/>
        </w:rPr>
        <w:t xml:space="preserve">` sans aucune tricherie de données futures.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Direct Calendrier (</w:t>
      </w:r>
      <w:r>
        <w:rPr>
          <w:rFonts w:ascii="Times New Roman" w:cs="Times New Roman" w:eastAsia="Times New Roman" w:hAnsi="Times New Roman"/>
          <w:b w:val="false"/>
          <w:bCs w:val="false"/>
          <w:i/>
          <w:iCs/>
          <w:color w:val="1A1A1A"/>
          <w:sz w:val="24"/>
          <w:szCs w:val="24"/>
        </w:rPr>
        <w:t xml:space="preserve">Calendar Direct</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entraîné exclusivement sur les descripteurs calendaires et industriels connus à l'avance sans dépendance autorégressive.</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Excellente capture des interactions non linéaires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Absence d'intervalles de confiance probabilistes natifs (nécessite conformal prediction ou arbres quantiles).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Modèle étalon (</w:t>
            </w:r>
            <w:r>
              <w:rPr>
                <w:rFonts w:ascii="Times New Roman" w:cs="Times New Roman" w:eastAsia="Times New Roman" w:hAnsi="Times New Roman"/>
                <w:b w:val="false"/>
                <w:bCs w:val="false"/>
                <w:i/>
                <w:iCs/>
                <w:color w:val="1A1A1A"/>
                <w:sz w:val="20"/>
                <w:szCs w:val="20"/>
              </w:rPr>
              <w:t xml:space="preserve">benchmark</w:t>
            </w:r>
            <w:r>
              <w:rPr>
                <w:rFonts w:ascii="Times New Roman" w:cs="Times New Roman" w:eastAsia="Times New Roman" w:hAnsi="Times New Roman"/>
                <w:b w:val="false"/>
                <w:bCs w:val="false"/>
                <w:i w:val="false"/>
                <w:iCs w:val="false"/>
                <w:color w:val="1A1A1A"/>
                <w:sz w:val="20"/>
                <w:szCs w:val="20"/>
              </w:rPr>
              <w:t xml:space="preserve">) offrant la meilleure précision ponctuelle (MAPE = 5,85 % à 7j et 6,00 % à 30j).</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Latence d'inférence récursive de ~211 ms supérieure aux modèles analytiques directs.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Absence de surapprentissage grâce au bagging d'arbres régularisés.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5.7 : </w:t>
      </w:r>
      <w:r>
        <w:rPr>
          <w:rFonts w:ascii="Times New Roman" w:cs="Times New Roman" w:eastAsia="Times New Roman" w:hAnsi="Times New Roman"/>
          <w:color w:val="333333"/>
          <w:sz w:val="20"/>
          <w:szCs w:val="20"/>
        </w:rPr>
        <w:t xml:space="preserve">Avantages et limites : Random Forest Regressor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Modèle Prophet (Meta) [12] (Moteur Déployé en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additif décomposable articulé autour d'une tendance linéaire par morceaux, de saisonnalités hebdomadaires et mensuelles et d'un calendrier complet des contraintes industrielles d'atelier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s_hebdo(t) + s_mensuel(t) + h_atelier(t) + ε_t</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Prophet intègre explicitement l'impact des congés estivaux d'août (facteur 0,58), des fermetures de maintenance annuelle de janvier (0,28), des cadences accélérées de fin de trimestre (1,43) et du mois de Ramadan (0,86)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Performance exceptionnelle à 30 jours (MAPE = 6,77 ± 0,94 %, R² = 0,9738), en quasi-égalité statistique avec Random Forest (p = 0,0694).</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Léger recul de précision ponctuelle sur les horizons très courts à 7 jours (7,44 % contre 5,85 % pour RF récursif).</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Fourniture native d'intervalles de prédiction à 95 % avec couverture empirique de 100 % sur le jeu de test.</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Inférence ultra-rapide (3,2 ms) idéale pour les requêtes interactives de l'application web.</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5.8 : </w:t>
      </w:r>
      <w:r>
        <w:rPr>
          <w:rFonts w:ascii="Times New Roman" w:cs="Times New Roman" w:eastAsia="Times New Roman" w:hAnsi="Times New Roman"/>
          <w:color w:val="333333"/>
          <w:sz w:val="20"/>
          <w:szCs w:val="20"/>
        </w:rPr>
        <w:t xml:space="preserve">Avantages et limites : Modèle Prophet (Ajusté Événements)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Détection d'anomalies de cadence par Isolation Forest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surveiller l'état de santé du parc des 319 presses, l'algorithme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[8] a été calibré sur les données de cadence, de temps d'arrêt et de taux de rebut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Approche totalement non supervisée : ne nécessite aucun étiquetage préalable d'incidents.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le calibrage rigoureux du taux de contamination initiale.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Complexité algorithmique linéaire O(n) très légère en calcul.</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Score d'anomalie continu permettant de hiérarchiser les priorités d'intervention.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5.9 : </w:t>
      </w:r>
      <w:r>
        <w:rPr>
          <w:rFonts w:ascii="Times New Roman" w:cs="Times New Roman" w:eastAsia="Times New Roman" w:hAnsi="Times New Roman"/>
          <w:color w:val="333333"/>
          <w:sz w:val="20"/>
          <w:szCs w:val="20"/>
        </w:rPr>
        <w:t xml:space="preserve">Avantages et limites : Isolation Forest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Résultats et analyse comparative rigoureuse</w:t>
      </w:r>
    </w:p>
    <w:p>
      <w:pPr>
        <w:pStyle w:val="Heading3"/>
        <w:spacing w:after="70" w:before="140"/>
        <w:outlineLvl w:val="2"/>
      </w:pPr>
      <w:r>
        <w:rPr>
          <w:rFonts w:ascii="Times New Roman" w:cs="Times New Roman" w:eastAsia="Times New Roman" w:hAnsi="Times New Roman"/>
          <w:b/>
          <w:bCs/>
          <w:color w:val="000000"/>
          <w:sz w:val="24"/>
          <w:szCs w:val="24"/>
        </w:rPr>
        <w:t xml:space="preserve">5.7.1 Performances comparées sur l'horizon de 30 jours (Moyenne ± Écart-type sur 6 origines)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5.10 présente les performances consolidées sur l'horizon décisionnel de 30 jours, moyennées sur 6 dates d'origine glissantes successives réparties sur l'année 2026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355"/>
        <w:gridCol w:w="1449"/>
        <w:gridCol w:w="1359"/>
        <w:gridCol w:w="1359"/>
        <w:gridCol w:w="1087"/>
        <w:gridCol w:w="1056"/>
      </w:tblGrid>
      <w:tr>
        <w:trPr>
          <w:tblHeader/>
        </w:trPr>
        <w:tc>
          <w:tcPr>
            <w:tcW w:type="dxa" w:w="235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évalué</w:t>
            </w:r>
          </w:p>
        </w:tc>
        <w:tc>
          <w:tcPr>
            <w:tcW w:type="dxa" w:w="144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 (Moy ± Écart-type)</w:t>
            </w:r>
          </w:p>
        </w:tc>
        <w:tc>
          <w:tcPr>
            <w:tcW w:type="dxa" w:w="135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(pièces/jour)</w:t>
            </w:r>
          </w:p>
        </w:tc>
        <w:tc>
          <w:tcPr>
            <w:tcW w:type="dxa" w:w="135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(pièces/jour)</w:t>
            </w:r>
          </w:p>
        </w:tc>
        <w:tc>
          <w:tcPr>
            <w:tcW w:type="dxa" w:w="108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105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Latence d'inférence</w:t>
            </w:r>
          </w:p>
        </w:tc>
      </w:tr>
      <w:tr>
        <w:tc>
          <w:tcPr>
            <w:tcW w:type="dxa" w:w="2355"/>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(Récursif) ★</w:t>
            </w:r>
          </w:p>
        </w:tc>
        <w:tc>
          <w:tcPr>
            <w:tcW w:type="dxa" w:w="1449"/>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0,9798 ± 0,0037</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359"/>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2 467 ± 207 pcs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359"/>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3 196 ± 267 pcs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087"/>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6,00 ± 0,61 %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056"/>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211,1 ms</w:t>
            </w:r>
          </w:p>
        </w:tc>
      </w:tr>
      <w:tr>
        <w:tc>
          <w:tcPr>
            <w:tcW w:type="dxa" w:w="235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(Ajusté Événements) [Prod]</w:t>
            </w:r>
          </w:p>
        </w:tc>
        <w:tc>
          <w:tcPr>
            <w:tcW w:type="dxa" w:w="144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0,9738 ± 0,0053</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35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2 875 ± 507 pcs</w:t>
            </w:r>
          </w:p>
        </w:tc>
        <w:tc>
          <w:tcPr>
            <w:tcW w:type="dxa" w:w="135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3 674 ± 636 pcs</w:t>
            </w:r>
          </w:p>
        </w:tc>
        <w:tc>
          <w:tcPr>
            <w:tcW w:type="dxa" w:w="108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6,77 ± 0,94 %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05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ms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235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(Direct Calendrier)</w:t>
            </w:r>
          </w:p>
        </w:tc>
        <w:tc>
          <w:tcPr>
            <w:tcW w:type="dxa" w:w="144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0,9743 ± 0,0063</w:t>
            </w:r>
          </w:p>
        </w:tc>
        <w:tc>
          <w:tcPr>
            <w:tcW w:type="dxa" w:w="135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2 798 ± 236 pcs</w:t>
            </w:r>
          </w:p>
        </w:tc>
        <w:tc>
          <w:tcPr>
            <w:tcW w:type="dxa" w:w="135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3 582 ± 286 pcs</w:t>
            </w:r>
          </w:p>
        </w:tc>
        <w:tc>
          <w:tcPr>
            <w:tcW w:type="dxa" w:w="108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6,80 ± 1,34 %</w:t>
            </w:r>
          </w:p>
        </w:tc>
        <w:tc>
          <w:tcPr>
            <w:tcW w:type="dxa" w:w="105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185,4 ms</w:t>
            </w:r>
          </w:p>
        </w:tc>
      </w:tr>
      <w:tr>
        <w:tc>
          <w:tcPr>
            <w:tcW w:type="dxa" w:w="235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 (Récursive)</w:t>
            </w:r>
          </w:p>
        </w:tc>
        <w:tc>
          <w:tcPr>
            <w:tcW w:type="dxa" w:w="144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0,9271 ± 0,0231</w:t>
            </w:r>
          </w:p>
        </w:tc>
        <w:tc>
          <w:tcPr>
            <w:tcW w:type="dxa" w:w="135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4 679 ± 936 pcs</w:t>
            </w:r>
          </w:p>
        </w:tc>
        <w:tc>
          <w:tcPr>
            <w:tcW w:type="dxa" w:w="135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6 097 ± 1 226 pcs</w:t>
            </w:r>
          </w:p>
        </w:tc>
        <w:tc>
          <w:tcPr>
            <w:tcW w:type="dxa" w:w="108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9,83 ± 1,27 %</w:t>
            </w:r>
          </w:p>
        </w:tc>
        <w:tc>
          <w:tcPr>
            <w:tcW w:type="dxa" w:w="105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ms</w:t>
            </w:r>
          </w:p>
        </w:tc>
      </w:tr>
      <w:tr>
        <w:tc>
          <w:tcPr>
            <w:tcW w:type="dxa" w:w="235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44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0,9133 ± 0,0856</w:t>
            </w:r>
          </w:p>
        </w:tc>
        <w:tc>
          <w:tcPr>
            <w:tcW w:type="dxa" w:w="135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5 099 ± 2 892 pcs</w:t>
            </w:r>
          </w:p>
        </w:tc>
        <w:tc>
          <w:tcPr>
            <w:tcW w:type="dxa" w:w="135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5 868 ± 3 045 pcs</w:t>
            </w:r>
          </w:p>
        </w:tc>
        <w:tc>
          <w:tcPr>
            <w:tcW w:type="dxa" w:w="108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11,39 ± 5,58 %</w:t>
            </w:r>
          </w:p>
        </w:tc>
        <w:tc>
          <w:tcPr>
            <w:tcW w:type="dxa" w:w="105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ms</w:t>
            </w:r>
          </w:p>
        </w:tc>
      </w:tr>
    </w:tbl>
    <w:p>
      <w:pPr>
        <w:spacing w:after="120" w:before="80"/>
        <w:jc w:val="center"/>
      </w:pPr>
      <w:r>
        <w:rPr>
          <w:rFonts w:ascii="Times New Roman" w:cs="Times New Roman" w:eastAsia="Times New Roman" w:hAnsi="Times New Roman"/>
          <w:i/>
          <w:iCs/>
          <w:color w:val="595959"/>
          <w:sz w:val="20"/>
          <w:szCs w:val="20"/>
        </w:rPr>
        <w:t xml:space="preserve">Tableau 5.10 : Résultats réels des modèles à l'horizon 30 jours (Moyenne ± Écart-type sur 6 origines en 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5.2 illustre la comparaison des modèles selon le coefficient de détermination R² et l'erreur absolue moyenne MAE, assortis des barres d'écart-type sur les 6 origines glissantes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Comparaison des modèles de prévision selon R² et MAE à 30 jours (Moyenne ± Écart-type)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5.3 illustre la trajectoire prédite par le modèle Prophet déployé en production face à la production réelle d'atelier, accompagnée de son fuseau d'incertitude calibré à 95 %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5.3 : Prédictions Prophet vs Production réelle d'atelier avec intervalle de confiance à 95%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5.4 résume les métriques d'erreur relative MAPE et quadratique RMSE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5.4 : Comparaison des modèles selon les métriques MAPE et RMSE à 30 jours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5.7.2 Évaluation multi-horizons (7, 15 et 30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5.11 synthétise le comportement des modèles sur les trois horizons décisionnels clés de l'usine : ordonnancement hebdomadaire (7 jours), approvisionnement moyen terme (15 jours) et plan de charge d'atelier (30 jours)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152"/>
        <w:gridCol w:w="2152"/>
        <w:gridCol w:w="2152"/>
        <w:gridCol w:w="2211"/>
      </w:tblGrid>
      <w:tr>
        <w:trPr>
          <w:tblHeader/>
        </w:trPr>
        <w:tc>
          <w:tcPr>
            <w:tcW w:type="dxa" w:w="215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215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7 jours (MAE / MAPE / R²)</w:t>
            </w:r>
          </w:p>
        </w:tc>
        <w:tc>
          <w:tcPr>
            <w:tcW w:type="dxa" w:w="215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15 jours (MAE / MAPE / R²)</w:t>
            </w:r>
          </w:p>
        </w:tc>
        <w:tc>
          <w:tcPr>
            <w:tcW w:type="dxa" w:w="221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30 jours (MAE / MAPE / R²)</w:t>
            </w:r>
          </w:p>
        </w:tc>
      </w:tr>
      <w:tr>
        <w:tc>
          <w:tcPr>
            <w:tcW w:type="dxa" w:w="2152"/>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(Récursif) ★</w:t>
            </w:r>
          </w:p>
        </w:tc>
        <w:tc>
          <w:tcPr>
            <w:tcW w:type="dxa" w:w="2152"/>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2 645 ± 392 / 5,85 % / 0,9782</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152"/>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2 538 ± 263 / 6,01 % / 0,9766</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211"/>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2 467 ± 207 / 6,00 % / 0,9798</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(Ajusté) [Prod]</w:t>
            </w:r>
          </w:p>
        </w:tc>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3 612 ± 1 155 / 7,44 % / 0,9616</w:t>
            </w:r>
          </w:p>
        </w:tc>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3 201 ± 854 / 7,38 % / 0,9665</w:t>
            </w:r>
          </w:p>
        </w:tc>
        <w:tc>
          <w:tcPr>
            <w:tcW w:type="dxa" w:w="221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2 875 ± 507 / 6,77 % / 0,9738</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(Direct)</w:t>
            </w:r>
          </w:p>
        </w:tc>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2 899 ± 485 / 6,29 % / 0,9728</w:t>
            </w:r>
          </w:p>
        </w:tc>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2 913 ± 320 / 6,99 % / 0,9697</w:t>
            </w:r>
          </w:p>
        </w:tc>
        <w:tc>
          <w:tcPr>
            <w:tcW w:type="dxa" w:w="221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2 798 ± 236 / 6,80 % / 0,9743</w:t>
            </w:r>
          </w:p>
        </w:tc>
      </w:tr>
      <w:tr>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3 734 ± 1 338 / 7,64 % / 0,9495</w:t>
            </w:r>
          </w:p>
        </w:tc>
        <w:tc>
          <w:tcPr>
            <w:tcW w:type="dxa" w:w="215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4 413 ± 878 / 9,11 % / 0,9277</w:t>
            </w:r>
          </w:p>
        </w:tc>
        <w:tc>
          <w:tcPr>
            <w:tcW w:type="dxa" w:w="221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4 679 ± 936 / 9,83 % / 0,9271</w:t>
            </w:r>
          </w:p>
        </w:tc>
      </w:tr>
      <w:tr>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4 671 ± 2 622 / 9,46 % / 0,9352</w:t>
            </w:r>
          </w:p>
        </w:tc>
        <w:tc>
          <w:tcPr>
            <w:tcW w:type="dxa" w:w="215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5 218 ± 3 177 / 11,57 % / 0,9099</w:t>
            </w:r>
          </w:p>
        </w:tc>
        <w:tc>
          <w:tcPr>
            <w:tcW w:type="dxa" w:w="221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5 099 ± 2 892 / 11,39 % / 0,9133</w:t>
            </w:r>
          </w:p>
        </w:tc>
      </w:tr>
    </w:tbl>
    <w:p>
      <w:pPr>
        <w:spacing w:after="120" w:before="80"/>
        <w:jc w:val="center"/>
      </w:pPr>
      <w:r>
        <w:rPr>
          <w:rFonts w:ascii="Times New Roman" w:cs="Times New Roman" w:eastAsia="Times New Roman" w:hAnsi="Times New Roman"/>
          <w:i/>
          <w:iCs/>
          <w:color w:val="595959"/>
          <w:sz w:val="20"/>
          <w:szCs w:val="20"/>
        </w:rPr>
        <w:t xml:space="preserve">Tableau 5.11 : Évaluation comparative des modèles selon les trois horizons décisionnels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multi-horizons apporte des enseignements décisifs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7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Random Forest Récursif devance Prophet de 1,59 point de MAPE (5,85 % contre 7,44 %), car la mémoire courte de ses décalages autorégressifs récents (`lag_1` et `roll_mean_7`) capte immédiatement les micro-variations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15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l'écart se resserre nettement (6,01 % pour RF contre 7,38 % pour Prophet), les deux modèles restant bien en deçà du seuil d'exigence de 10 %.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30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l'écart de MAPE devient minime (6,00 % pour RF contre 6,77 % pour Prophet, soit un différentiel de seulement 0,77 point). L'écart absolu moyen n'est que de 407 pièces par jour sur une production journalière globale de ~65 000 pièces. Les deux modèles convergent vers une performance industrielle remarquable.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5.7.3 Validation de significativité statistique : Test de Diebold-Mariano</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trancher scientifiquement la supériorité algorithmique entre Random Forest Récursif et Prophet Ajusté, le test formel de Diebold-Mariano avec ajustement pour petits échantillons et horizons multiples de Harvey-Leybourne-Newbold (HLN) a été appliqué sur l'ensemble des erreurs journalières de prévision cumulées sur les 6 origines glissantes (Tableau 5.12)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449"/>
        <w:gridCol w:w="1268"/>
        <w:gridCol w:w="1631"/>
        <w:gridCol w:w="1268"/>
        <w:gridCol w:w="1087"/>
        <w:gridCol w:w="1962"/>
      </w:tblGrid>
      <w:tr>
        <w:trPr>
          <w:tblHeader/>
        </w:trPr>
        <w:tc>
          <w:tcPr>
            <w:tcW w:type="dxa" w:w="144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évalué</w:t>
            </w:r>
          </w:p>
        </w:tc>
        <w:tc>
          <w:tcPr>
            <w:tcW w:type="dxa" w:w="126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Échantillons journaliers (N)</w:t>
            </w:r>
          </w:p>
        </w:tc>
        <w:tc>
          <w:tcPr>
            <w:tcW w:type="dxa" w:w="163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Différentiel moyen MAE (RF - Prophet)</w:t>
            </w:r>
          </w:p>
        </w:tc>
        <w:tc>
          <w:tcPr>
            <w:tcW w:type="dxa" w:w="126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Statistique DM (HLN)</w:t>
            </w:r>
          </w:p>
        </w:tc>
        <w:tc>
          <w:tcPr>
            <w:tcW w:type="dxa" w:w="108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p-value (DM HLN)</w:t>
            </w:r>
          </w:p>
        </w:tc>
        <w:tc>
          <w:tcPr>
            <w:tcW w:type="dxa" w:w="196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Conclusion statistique au seuil α = 5 %</w:t>
            </w:r>
          </w:p>
        </w:tc>
      </w:tr>
      <w:tr>
        <w:tc>
          <w:tcPr>
            <w:tcW w:type="dxa" w:w="144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7 jours</w:t>
            </w:r>
          </w:p>
        </w:tc>
        <w:tc>
          <w:tcPr>
            <w:tcW w:type="dxa" w:w="126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 observations</w:t>
            </w:r>
          </w:p>
        </w:tc>
        <w:tc>
          <w:tcPr>
            <w:tcW w:type="dxa" w:w="163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-966,4 pièces/jour</w:t>
            </w:r>
          </w:p>
        </w:tc>
        <w:tc>
          <w:tcPr>
            <w:tcW w:type="dxa" w:w="126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-1,841</w:t>
            </w:r>
          </w:p>
        </w:tc>
        <w:tc>
          <w:tcPr>
            <w:tcW w:type="dxa" w:w="108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0,0729</w:t>
            </w:r>
          </w:p>
        </w:tc>
        <w:tc>
          <w:tcPr>
            <w:tcW w:type="dxa" w:w="196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Différence non significative (p ≥ 0,05) : Quasi-égalité / Near-tie</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144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15 jours</w:t>
            </w:r>
          </w:p>
        </w:tc>
        <w:tc>
          <w:tcPr>
            <w:tcW w:type="dxa" w:w="126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90 observations</w:t>
            </w:r>
          </w:p>
        </w:tc>
        <w:tc>
          <w:tcPr>
            <w:tcW w:type="dxa" w:w="163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-662,6 pièces/jour</w:t>
            </w:r>
          </w:p>
        </w:tc>
        <w:tc>
          <w:tcPr>
            <w:tcW w:type="dxa" w:w="126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-1,960</w:t>
            </w:r>
          </w:p>
        </w:tc>
        <w:tc>
          <w:tcPr>
            <w:tcW w:type="dxa" w:w="108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0,0531</w:t>
            </w:r>
          </w:p>
        </w:tc>
        <w:tc>
          <w:tcPr>
            <w:tcW w:type="dxa" w:w="196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Différence non significative (p ≥ 0,05) : Quasi-égalité / Near-tie</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144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Horizon 30 jours</w:t>
            </w:r>
          </w:p>
        </w:tc>
        <w:tc>
          <w:tcPr>
            <w:tcW w:type="dxa" w:w="126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180 observations</w:t>
            </w:r>
          </w:p>
        </w:tc>
        <w:tc>
          <w:tcPr>
            <w:tcW w:type="dxa" w:w="163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-407,7 pièces/jour</w:t>
            </w:r>
          </w:p>
        </w:tc>
        <w:tc>
          <w:tcPr>
            <w:tcW w:type="dxa" w:w="126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-1,827</w:t>
            </w:r>
          </w:p>
        </w:tc>
        <w:tc>
          <w:tcPr>
            <w:tcW w:type="dxa" w:w="108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 = 0,0694</w:t>
            </w:r>
          </w:p>
        </w:tc>
        <w:tc>
          <w:tcPr>
            <w:tcW w:type="dxa" w:w="196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Différence non significative (p ≥ 0,05) : Quasi-égalité / Near-tie</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bl>
    <w:p>
      <w:pPr>
        <w:spacing w:after="120" w:before="80"/>
        <w:jc w:val="center"/>
      </w:pPr>
      <w:r>
        <w:rPr>
          <w:rFonts w:ascii="Times New Roman" w:cs="Times New Roman" w:eastAsia="Times New Roman" w:hAnsi="Times New Roman"/>
          <w:i/>
          <w:iCs/>
          <w:color w:val="595959"/>
          <w:sz w:val="20"/>
          <w:szCs w:val="20"/>
        </w:rPr>
        <w:t xml:space="preserve">Tableau 5.12 : Résultats des tests de significativité statistique de Diebold-Mariano (RF vs Prophet)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test de Diebold-Mariano livre une conclusion univoque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à l'ensemble des trois horizons décisionnels (7, 15 et 30 jours), la p-value demeure strictement supérieure au seuil canonique de 5 % (p &gt; 0,05)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Les deux modèles se situent dans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zone de parité et d'équivalence statistique (</w:t>
      </w:r>
      <w:r>
        <w:rPr>
          <w:rFonts w:ascii="Times New Roman" w:cs="Times New Roman" w:eastAsia="Times New Roman" w:hAnsi="Times New Roman"/>
          <w:b w:val="false"/>
          <w:bCs w:val="false"/>
          <w:i/>
          <w:iCs/>
          <w:color w:val="1A1A1A"/>
          <w:sz w:val="24"/>
          <w:szCs w:val="24"/>
        </w:rPr>
        <w:t xml:space="preserve">near-tie</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En toute rigueur scientifique, il est donc inadmissible d'affirmer que Random Forest 'écrase' ou 'domine outrageusement' Prophet. Le choix final d'architecture doit reposer sur des critères industriels d'ingénierie logicielle (intervalles, explicabilité, latence et 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5.7.4 Analyse de la couverture des intervalles d'incertitude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L'arbitrage industriel entre les deux modèles de tête s'éclaire à la lumière de la gestion de l'incertitude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(Moteur Déployé)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génère par construction bayésienne un intervalle de prédiction probabiliste à 95 % autour de sa composante tendancielle. Sur notre protocole à origines glissantes, la couverture empirique mesurée est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100,0 %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(les 180 observations réelles de test à 30 jours sont intégralement contenues dans l'intervalle $[\hat{y}_{lower}, \hat{y}_{upper}]$), avec une marge moyenne calibrée de $\pm 7\,200$ pièces/jour, parfaitement exploitable pour dimensionner les stocks de sécurité.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(Modèle Étalon)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ne fournit nativement qu'une prévision ponctuelle déterministe. Pour lui adjoindre des intervalles de confiance comparables, il est nécessaire de déployer une méthode de prédiction conforme (</w:t>
      </w:r>
      <w:r>
        <w:rPr>
          <w:rFonts w:ascii="Times New Roman" w:cs="Times New Roman" w:eastAsia="Times New Roman" w:hAnsi="Times New Roman"/>
          <w:b w:val="false"/>
          <w:bCs w:val="false"/>
          <w:i/>
          <w:iCs/>
          <w:color w:val="1A1A1A"/>
          <w:sz w:val="24"/>
          <w:szCs w:val="24"/>
        </w:rPr>
        <w:t xml:space="preserve">Conformal Prediction</w:t>
      </w:r>
      <w:r>
        <w:rPr>
          <w:rFonts w:ascii="Times New Roman" w:cs="Times New Roman" w:eastAsia="Times New Roman" w:hAnsi="Times New Roman"/>
          <w:b w:val="false"/>
          <w:bCs w:val="false"/>
          <w:i w:val="false"/>
          <w:iCs w:val="false"/>
          <w:color w:val="1A1A1A"/>
          <w:sz w:val="24"/>
          <w:szCs w:val="24"/>
        </w:rPr>
        <w:t xml:space="preserve">) basée sur les résidus d'entraînement, ce qui induit une marge forfaitaire de $\pm 4\,751$ pièces/jour mais ajoute une complexité algorithmique d'inférence non supportée nativement par les bibliothèques standard.</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5.7.5 Détection d'anomalies par Isolation Forest et sensibilité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paramètre de contamination d'Isolation Forest fixe le taux d'anomalies attendues dans l'atelier. Une analyse de sensibilité a été menée pour calibrer ce paramètre en croisant les alarmes levées avec les événements d'arrêt réels de la GMAO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21"/>
        <w:gridCol w:w="2036"/>
        <w:gridCol w:w="2221"/>
        <w:gridCol w:w="2189"/>
      </w:tblGrid>
      <w:tr>
        <w:trPr>
          <w:tblHeader/>
        </w:trPr>
        <w:tc>
          <w:tcPr>
            <w:tcW w:type="dxa" w:w="22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de contamination</w:t>
            </w:r>
          </w:p>
        </w:tc>
        <w:tc>
          <w:tcPr>
            <w:tcW w:type="dxa" w:w="203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d'anomalies détectées</w:t>
            </w:r>
          </w:p>
        </w:tc>
        <w:tc>
          <w:tcPr>
            <w:tcW w:type="dxa" w:w="22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Coïncidence avec arrêts / maintenance réels</w:t>
            </w:r>
          </w:p>
        </w:tc>
        <w:tc>
          <w:tcPr>
            <w:tcW w:type="dxa" w:w="218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de validation terrain</w:t>
            </w:r>
          </w:p>
        </w:tc>
      </w:tr>
      <w:tr>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1 %</w:t>
            </w:r>
          </w:p>
        </w:tc>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 anomalies</w:t>
            </w:r>
          </w:p>
        </w:tc>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arrêts planifiés ou pannes majeures [À VÉRIFIER]</w:t>
            </w:r>
          </w:p>
        </w:tc>
        <w:tc>
          <w:tcPr>
            <w:tcW w:type="dxa" w:w="218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55,6 % [À VÉRIFIER: Rapprochement GMAO]</w:t>
            </w:r>
          </w:p>
        </w:tc>
      </w:tr>
      <w:tr>
        <w:tc>
          <w:tcPr>
            <w:tcW w:type="dxa" w:w="22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5 %</w:t>
            </w:r>
          </w:p>
        </w:tc>
        <w:tc>
          <w:tcPr>
            <w:tcW w:type="dxa" w:w="203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41 anomalies</w:t>
            </w:r>
          </w:p>
        </w:tc>
        <w:tc>
          <w:tcPr>
            <w:tcW w:type="dxa" w:w="22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 arrêts planifiés ou maintenances [À VÉRIFIER]</w:t>
            </w:r>
          </w:p>
        </w:tc>
        <w:tc>
          <w:tcPr>
            <w:tcW w:type="dxa" w:w="218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48,8 % [À VÉRIFIER: Rapprochement GMAO]</w:t>
            </w:r>
          </w:p>
        </w:tc>
      </w:tr>
      <w:tr>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10 % (Choix retenu)</w:t>
            </w:r>
          </w:p>
        </w:tc>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82 anomalies</w:t>
            </w:r>
          </w:p>
        </w:tc>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34 arrêts planifiés ou pannes constatées [À VÉRIFIER]</w:t>
            </w:r>
          </w:p>
        </w:tc>
        <w:tc>
          <w:tcPr>
            <w:tcW w:type="dxa" w:w="218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41,5 % [À VÉRIFIER: Rapprochement GMAO]</w:t>
            </w:r>
          </w:p>
        </w:tc>
      </w:tr>
    </w:tbl>
    <w:p>
      <w:pPr>
        <w:spacing w:after="120" w:before="80"/>
        <w:jc w:val="center"/>
      </w:pPr>
      <w:r>
        <w:rPr>
          <w:rFonts w:ascii="Times New Roman" w:cs="Times New Roman" w:eastAsia="Times New Roman" w:hAnsi="Times New Roman"/>
          <w:i/>
          <w:iCs/>
          <w:color w:val="595959"/>
          <w:sz w:val="20"/>
          <w:szCs w:val="20"/>
        </w:rPr>
        <w:t xml:space="preserve">Tableau 5.13 : Test de sensibilité et validation terrain d'Isolation Forest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taux de contamination de 10 % est retenu : il permet d'alerter les superviseurs non seulement sur les pannes franches mais aussi sur les dérives progressives de cadence des outillages nécessitant un réétalonnage préventif.</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5.5 montre les points de fonctionnement de l'atelier et la frontière de détection des anomalies :</w:t>
      </w:r>
    </w:p>
    <w:p>
      <w:pPr>
        <w:spacing w:after="40" w:before="40"/>
      </w:pPr>
      <w:r>
        <w:t xml:space="preserve"/>
      </w:r>
    </w:p>
    <w:p>
      <w:pPr>
        <w:spacing w:after="60" w:before="140"/>
        <w:jc w:val="center"/>
      </w:pPr>
      <w:r>
        <w:drawing>
          <wp:inline distT="0" distB="0" distL="0" distR="0">
            <wp:extent cx="4953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2383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5.5 : Détection non supervisée des dérives de presses par Isolation Forest</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Sélection argumentée et rôles respectifs des modèles dans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résultats sans fuite temporelle et les tests de significativité conduisent à une décision d'architecture équilibrée, transparente et pleinement assumée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Rôle de Random Forest Récursif : Modèle Étalon d'Atelier (</w:t>
      </w:r>
      <w:r>
        <w:rPr>
          <w:rFonts w:ascii="Times New Roman" w:cs="Times New Roman" w:eastAsia="Times New Roman" w:hAnsi="Times New Roman"/>
          <w:b w:val="false"/>
          <w:bCs w:val="false"/>
          <w:i/>
          <w:iCs/>
          <w:color w:val="1A1A1A"/>
          <w:sz w:val="24"/>
          <w:szCs w:val="24"/>
        </w:rPr>
        <w:t xml:space="preserve">Benchmark Champion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Random Forest s'adjuge la meilleure précision ponctuelle absolue sur tous les horizons (MAPE de 5,85 % à 7 jours, 6,01 % à 15 jours et 6,00 % à 30 jours, R² = 0,9798). Il constitue le modèle étalon de référence pour les simulations hors-ligne poussées et l'ordonnancement fin des équipes à très court terme.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Rôle de Prophet : Modèle Opérationnel Déployé en Production (</w:t>
      </w:r>
      <w:r>
        <w:rPr>
          <w:rFonts w:ascii="Times New Roman" w:cs="Times New Roman" w:eastAsia="Times New Roman" w:hAnsi="Times New Roman"/>
          <w:b w:val="false"/>
          <w:bCs w:val="false"/>
          <w:i/>
          <w:iCs/>
          <w:color w:val="1A1A1A"/>
          <w:sz w:val="24"/>
          <w:szCs w:val="24"/>
        </w:rPr>
        <w:t xml:space="preserve">Production Engine</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Prophet est le modèle unique effectivement intégré en production dans l'API FastAPI (`/predict/production` et `/predict/stock`), persisté dans la table `ml_production_predictions` de la base SQL Server et affiché sur l'interface React. Ce choix est pleinement justifié par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1. Sa quasi-égalité statistique avec Random Forest à l'horizon cible de 30 jours (MAPE de 6,77 % vs 6,00 %, p = 0,0694 ≥ 0,05, écart de seulement 407 pièces/jour).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2. Sa génération native et robuste de bornes d'incertitude à 95 % (couverture empirique de 100 % sur 180 points de test), indispensable pour calculer les stocks de sécurité et le plan de réapprovisionnement.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3. Sa latence d'inférence ultra-faible de 3,2 ms (contre 211,1 ms pour Random Forest récursif), garantissant une expérience utilisateur fluide sans latence de chargement.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4. Son interprétabilité métier immédiate par décomposition additive des composantes (tendance, cycles hebdomadaires, congés estivaux, Ramadan, arrêts programmés).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993"/>
        <w:gridCol w:w="2174"/>
        <w:gridCol w:w="2174"/>
        <w:gridCol w:w="2325"/>
      </w:tblGrid>
      <w:tr>
        <w:trPr>
          <w:tblHeader/>
        </w:trPr>
        <w:tc>
          <w:tcPr>
            <w:tcW w:type="dxa" w:w="199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décision</w:t>
            </w:r>
          </w:p>
        </w:tc>
        <w:tc>
          <w:tcPr>
            <w:tcW w:type="dxa" w:w="21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Random Forest Récursif [7] (Modèle Étalon / Benchmark)</w:t>
            </w:r>
          </w:p>
        </w:tc>
        <w:tc>
          <w:tcPr>
            <w:tcW w:type="dxa" w:w="21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Ajusté [12] (Modèle Déployé en Production)</w:t>
            </w:r>
          </w:p>
        </w:tc>
        <w:tc>
          <w:tcPr>
            <w:tcW w:type="dxa" w:w="232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Arbitrage et décision retenue dans Nexora</w:t>
            </w:r>
          </w:p>
        </w:tc>
      </w:tr>
      <w:tr>
        <w:tc>
          <w:tcPr>
            <w:tcW w:type="dxa" w:w="199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ponctuelle (MAPE 30j)</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6,00 ± 0,61 %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(2 467 pcs/j)</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6,77 ± 0,94 % (2 875 pcs/j)</w:t>
            </w:r>
          </w:p>
        </w:tc>
        <w:tc>
          <w:tcPr>
            <w:tcW w:type="dxa" w:w="23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Quasi-égalité statistique (p = 0,0694)</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 écart de 407 pcs/j négligeable à l'échelle d'atelier.</w:t>
            </w:r>
          </w:p>
        </w:tc>
      </w:tr>
      <w:tr>
        <w:tc>
          <w:tcPr>
            <w:tcW w:type="dxa" w:w="19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ponctuelle (MAPE 7j)</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5,85 ± 1,54 %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(2 645 pcs/j)</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7,44 ± 2,65 % (3 612 pcs/j)</w:t>
            </w:r>
          </w:p>
        </w:tc>
        <w:tc>
          <w:tcPr>
            <w:tcW w:type="dxa" w:w="23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 offre une réactivité supérieure sur les horizons très courts.</w:t>
            </w:r>
          </w:p>
        </w:tc>
      </w:tr>
      <w:tr>
        <w:tc>
          <w:tcPr>
            <w:tcW w:type="dxa" w:w="199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Intervalle d'incertitude (95 %)</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Non natif (exige conformal prediction ±4 751 pcs)</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Natif avec couverture empirique 100 %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(±7 200 pcs)</w:t>
            </w:r>
          </w:p>
        </w:tc>
        <w:tc>
          <w:tcPr>
            <w:tcW w:type="dxa" w:w="23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Prophet retenu</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 essentiel pour le calcul dynamique des stocks de sécurité.</w:t>
            </w:r>
          </w:p>
        </w:tc>
      </w:tr>
      <w:tr>
        <w:tc>
          <w:tcPr>
            <w:tcW w:type="dxa" w:w="19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Latence d'inférence</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211,1 ms (simulation récursive)</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ms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(projection analytique directe)</w:t>
            </w:r>
          </w:p>
        </w:tc>
        <w:tc>
          <w:tcPr>
            <w:tcW w:type="dxa" w:w="23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Prophet retenu</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 temps de réponse optimal pour l'API FastAPI et le web.</w:t>
            </w:r>
          </w:p>
        </w:tc>
      </w:tr>
      <w:tr>
        <w:tc>
          <w:tcPr>
            <w:tcW w:type="dxa" w:w="199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Explicabilité des facteurs</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Implicite (forêt d'arbres)</w:t>
            </w:r>
          </w:p>
        </w:tc>
        <w:tc>
          <w:tcPr>
            <w:tcW w:type="dxa" w:w="21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Explicite (tendance + cycles + calendrier)</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32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Prophet retenu</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 adoption facilitée auprès des planificateurs d'atelier.</w:t>
            </w:r>
          </w:p>
        </w:tc>
      </w:tr>
      <w:tr>
        <w:tc>
          <w:tcPr>
            <w:tcW w:type="dxa" w:w="199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Statut dans l'application</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Modèle étalon / Pipeline offline</w:t>
            </w:r>
          </w:p>
        </w:tc>
        <w:tc>
          <w:tcPr>
            <w:tcW w:type="dxa" w:w="21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Modèle unique déployé en production</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32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alimente la base SQL Server et les écrans utilisateurs en temps réel.</w:t>
            </w:r>
          </w:p>
        </w:tc>
      </w:tr>
    </w:tbl>
    <w:p>
      <w:pPr>
        <w:spacing w:after="120" w:before="80"/>
        <w:jc w:val="center"/>
      </w:pPr>
      <w:r>
        <w:rPr>
          <w:rFonts w:ascii="Times New Roman" w:cs="Times New Roman" w:eastAsia="Times New Roman" w:hAnsi="Times New Roman"/>
          <w:i/>
          <w:iCs/>
          <w:color w:val="595959"/>
          <w:sz w:val="20"/>
          <w:szCs w:val="20"/>
        </w:rPr>
        <w:t xml:space="preserve">Tableau 5.14 : Grille d'arbitrage et complémentarité architecturale des modèles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Génération des prévisions et alimentation du DWH</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d'inférence en production est exécuté quotidiennement via l'API FastAPI de Nexora. Il s'appuie sur le modèle Prophet pour calculer les projections à l'horizon de 30 jours, accompagnées des bornes d'incertitude inférieure et supérieure à 95 %. Les résultats sont persistés automatiquement dans la table `ml_production_predictions` du Data Warehouse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`ml_production_predictions (forecast_date, prophet_quantity, target_quantity, max_capacity, working_day, horizon_days, model_name, mae, rmse, mape, created_at)`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schéma garantit l'indépendance de la couche de visualisation : les rapports Power BI et les écrans de l'application web React interrogent directement cette table sans déclencher de ré-entraînement lourd, assurant un temps de réponse instantané.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5.15 récapitule les livrables réalisés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 variables d'ingénierie et protocole sans fuite temporelle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sous Python de Régression, ARIMA, RF et Prophet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Réglage étanche d'hyperparamètres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split 2025 disjointe du test 2026 (RF n_est=50, depth=8)</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multi-horizons récursive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sur 6 origines glissantes à 7, 15 et 30 jours (Moyenne ± Écart-type)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Tests de significativité statistique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de Diebold-Mariano confirmant le near-tie à 30 jours (p = 0,0694)</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l'incertitude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Couverture à 100 % de l'intervalle 95 % de Prophet et conformal pour RF</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Isolation Forest avec test de sensibilité (1 %, 5 %, 10 %)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Déploiement en production</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 FastAPI et table ml_production_predictions peuplées par Prophet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5.15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 développement et l'évaluation comparative approfondie de quatre modèles de séries temporelles sous un protocole d'évaluation strict sans fuite temporelle. Les résultats démontrent une complémentarité industrielle remarquable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Récursif s'établit comme le modèle étalon (</w:t>
      </w:r>
      <w:r>
        <w:rPr>
          <w:rFonts w:ascii="Times New Roman" w:cs="Times New Roman" w:eastAsia="Times New Roman" w:hAnsi="Times New Roman"/>
          <w:b w:val="false"/>
          <w:bCs w:val="false"/>
          <w:i/>
          <w:iCs/>
          <w:color w:val="1A1A1A"/>
          <w:sz w:val="24"/>
          <w:szCs w:val="24"/>
        </w:rPr>
        <w:t xml:space="preserve">benchmark champion</w:t>
      </w:r>
      <w:r>
        <w:rPr>
          <w:rFonts w:ascii="Times New Roman" w:cs="Times New Roman" w:eastAsia="Times New Roman" w:hAnsi="Times New Roman"/>
          <w:b w:val="false"/>
          <w:bCs w:val="false"/>
          <w:i w:val="false"/>
          <w:iCs w:val="false"/>
          <w:color w:val="1A1A1A"/>
          <w:sz w:val="24"/>
          <w:szCs w:val="24"/>
        </w:rPr>
        <w:t xml:space="preser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en précision ponctuelle (MAPE de 5,85 % à 7 jours et 6,00 % à 30 jours), tandis que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s'impose comme le moteur opérationnel déployé en production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grâce à sa quasi-égalité statistique à 30 jours (MAPE de 6,77 %, R² de 0,9738, test de Diebold-Mariano p = 0,0694 ≥ 0,05), sa fourniture native de fuseaux d'incertitude à 95 % (couverture de 100 %) et son temps de réponse ultra-rapide de 3,2 ms. Le chapitre suivant aborde le Sprint 4, consacré à la restitution décisionnelle par Power BI et à la validation d'ensemble du système.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phase de réalisation de notre projet. Après avoir mis en place le pipeline ETL (Sprint 1), le module de gestion des stocks (Sprint 2) et les modèles de prévision par IA (Sprint 3), ce sprint a pour objectif d'intégrer l'ensemble de ces briques au sein d'une solution de restitution conviviale et réactive. Les rapports décisionnels développés sous Microsoft Power BI [24], alimentés directement par le Data Warehouse et la table `ml_production_predictions`, permettent aux cadres et superviseurs de piloter les indicateurs d'atelier, de suivre les prévisions de cadence et d'analyser les risques de rupture. En complément, un portail web opérationnel en React.js [22] et Spring Boot [17] offre aux équipes de terrain une interface de saisie et de consultation des mouvements d'inventaire.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 Power BI au Data Warehouse et modélisation du schéma analytique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Supervision de Production &amp; TRG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Prévision des Cadences par IA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Gestion des Stocks &amp; Alertes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API REST du portail web (Spring Boot / FastAPI) et vues React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(calcul du TRG, seuils critiques, taux de rotation)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et évaluation d'utilisabilité auprès de 4 profils d'atelier</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pour le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 et intégration applicative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globale d'intégration et de déploiement de la solution décisionnelle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d'intégration et de déploiement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Entrepôt de données SQL Server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centralise les tables de faits et de dimensions nettoyées ainsi que les prévisions issues de l'apprentissage automatique (`ml_production_predictions`).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 d'entreprise (Spring Boot /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serveur Spring Boot [17] gère l'authentification sécurisée par jetons JWT, le contrôle d'accès RBAC et les entités métiers, tandis que le micro-service FastAPI [21] sert d'interface d'inférence directe pour les modèles Python.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Rapports décisionnels Microsoft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interactifs connectés en mode DirectQuery ou Import au DWH, exploitant des mesures calculées en DAX pour le management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Portail web réactif React.js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interface utilisateur dynamique permettant aux opérateurs de renseigner les réceptions et consommations de matière.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Diagramme de séquence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illustre le déroulement des interactions lors de la consultation d'un rapport décisionnel et de l'interrogation des prévisions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Diagramme de séquence des échanges entre l'utilisateur, l'interface et le DWH</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 de l'application d'un filtre temporel ou machine, Power BI interroge les tables de faits consolidées et restitue instantanément les courbes d'évolution ainsi que le fuseau de prévision à 95 %.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Conception des rapports décisionnels Power BI</w:t>
      </w:r>
    </w:p>
    <w:p>
      <w:pPr>
        <w:pStyle w:val="Heading3"/>
        <w:spacing w:after="70" w:before="140"/>
        <w:outlineLvl w:val="2"/>
      </w:pPr>
      <w:r>
        <w:rPr>
          <w:rFonts w:ascii="Times New Roman" w:cs="Times New Roman" w:eastAsia="Times New Roman" w:hAnsi="Times New Roman"/>
          <w:b/>
          <w:bCs/>
          <w:color w:val="000000"/>
          <w:sz w:val="24"/>
          <w:szCs w:val="24"/>
        </w:rPr>
        <w:t xml:space="preserve">6.5.1 Tableau de bord de supervision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offre une supervision complète du parc de 319 presses à injecter réparties sur les sites de Kondar, Sousse et Brno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clés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valeur consolidée du TRG d'atelier (moyenne observée de 71,4 % [25]), décomposée en taux de disponibilité (88,2 %), de performance (84,5 %) et de qualité (95,8 %).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décompte en temps réel des presses en production, en maintenance planifiée ou en arrêt pour changement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Analyse des causes d'arrêt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 de Pareto des motifs d'interruption (défaillances hydrauliques, surchauffe de fourreau, manque matière).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Tableau de bord des prévisions de cadence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est dédié à l'exploitation des projections de production issues des modèles d'IA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Sélecteur d'horizon de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ergonomique entre 7 jours (ajustement des équipes), 15 jours (anticipation matière) et 30 jours (plan de charge mensuel).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Comparaison réel / prévu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superposition de la cadence réelle et de la prévision Random Forest (modèle champion), complétée par la trajectoire Prophet et son fuseau indicatif d'incertitude à 95 %.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de fiabilité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en bandeau des erreurs MAPE respectives (5,41 % pour Random Forest et 25,87 % pour Prophet).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Tableau de bord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permet le pilotage fin des 6 875 lignes d'inventaire détaillées du catalogue d'articles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Synthèse par état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indicateurs visuels des 312 références en Rupture (Rouge) et 1 240 en Stock Critique (Orange).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Filtres multicritères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par famille de résine (PP, PA66, ABS), atelier d'injection ou classe ABC.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Plan de commande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 exportable indiquant la quantité exacte à commander et le montant budgétaire associé (enveloppe globale de 2 418 650 TND).</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Présentation des interfaces réalisées</w:t>
      </w:r>
    </w:p>
    <w:p>
      <w:pPr>
        <w:pStyle w:val="Heading3"/>
        <w:spacing w:after="70" w:before="140"/>
        <w:outlineLvl w:val="2"/>
      </w:pPr>
      <w:r>
        <w:rPr>
          <w:rFonts w:ascii="Times New Roman" w:cs="Times New Roman" w:eastAsia="Times New Roman" w:hAnsi="Times New Roman"/>
          <w:b/>
          <w:bCs/>
          <w:color w:val="000000"/>
          <w:sz w:val="24"/>
          <w:szCs w:val="24"/>
        </w:rPr>
        <w:t xml:space="preserve">6.6.1 Tableau de bord principal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illustre la vue d'ensemble décisionnelle Power BI regroupant les indicateurs clés de production et de stock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Vue d'ensemble du tableau de bord décisionnel Power BI Nexora</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Supervision de la production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montre l'interface de pilotage du parc machines et d'analyse des composantes du TRG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Interface « Supervision de la production et TRG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la répartition des volumes fabriqués par grande famille de composants plastiques automobiles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Répartition des volumes d'injection par famille de pièces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Prévisions de cadence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présente l'écran de visualisation des cadences prévisionnelles à 30 jours (trajectoire Random Forest et cadrage d'incertitude Prophet)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Prévision des cadences et charge atelier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6.6.4 Pilotage des stocks et alertes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6.7 illustre l'interface dédiée à la surveillance d'inventaire et au suivi des alertes de rupture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6.7 : Rapport Power BI « Gestion des stocks d'atelier et alertes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6.6.5 Portail web opérationnel React &amp; Spring Boot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des tableaux de bord Power BI dédiés aux décideurs, la plateforme comprend une application web développée avec React 18.2 [22] côté client et Spring Boot 3.2 [17] côté serveur. Ce portail offre aux opérateurs et techniciens de fabrication une interface fluide pour consulter les données opérationnelles et enregistrer les mouvements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points d'accès (API REST) exposés par le serveur applicatif s'articule autour des routes suivantes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216"/>
        <w:gridCol w:w="2712"/>
        <w:gridCol w:w="2899"/>
        <w:gridCol w:w="1839"/>
      </w:tblGrid>
      <w:tr>
        <w:trPr>
          <w:tblHeader/>
        </w:trPr>
        <w:tc>
          <w:tcPr>
            <w:tcW w:type="dxa" w:w="121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Méthode HTTP</w:t>
            </w:r>
          </w:p>
        </w:tc>
        <w:tc>
          <w:tcPr>
            <w:tcW w:type="dxa" w:w="271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Point d'accès (Endpoint)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w:t>
            </w:r>
          </w:p>
        </w:tc>
        <w:tc>
          <w:tcPr>
            <w:tcW w:type="dxa" w:w="183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Profil autorisé</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/api/auth/login</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avec génération de jeton JWT</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Tous utilisateurs</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/api/stock</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Consultation de l'inventaire avec filtrage par statut de couverture</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/api/stock/movement</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 d'un mouvement d'entrée, sortie ou rebut matière</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/api/machines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Liste des 319 presses à injecter et statut temps réel</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/api/machines/{id}/status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Détail opérationnel d'une presse et historique de son TRG</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/api/predictions/cadence?horizon=30</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Récupération des prévisions de cadence issues du pipeline IA</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bl>
    <w:p>
      <w:pPr>
        <w:spacing w:after="120" w:before="80"/>
        <w:jc w:val="center"/>
      </w:pPr>
      <w:r>
        <w:rPr>
          <w:rFonts w:ascii="Times New Roman" w:cs="Times New Roman" w:eastAsia="Times New Roman" w:hAnsi="Times New Roman"/>
          <w:i/>
          <w:iCs/>
          <w:color w:val="595959"/>
          <w:sz w:val="20"/>
          <w:szCs w:val="20"/>
        </w:rPr>
        <w:t xml:space="preserve">Tableau 6.2 : Points d'accès REST de l'application web opérationnelle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6.7.1 Tests fonctionnels et d'intégration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valider la conformité de la solution avec les spécifications du système, six scénarios de test d'intégration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899"/>
        <w:gridCol w:w="2774"/>
        <w:gridCol w:w="1122"/>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 de test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d'exécution</w:t>
            </w:r>
          </w:p>
        </w:tc>
        <w:tc>
          <w:tcPr>
            <w:tcW w:type="dxa" w:w="27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constaté</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DWH DirectQuery</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Interrogation simultanée des tables FACT_PA et FACT_Mvts_Stocks depuis Power BI.</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&lt; 1,5 s, synchronisation immédiate des visuels.</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TRG (DAX)</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des formules de disponibilité, performance et qualité sur 10 shifts types.</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stricte avec les déclarations manuelles certifiées de l'atelier.</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multi-horizons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Bascule entre les horizons de prévision 7j, 15j et 30j sur l'interface graphique.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à jour instantanée des courbes et des bornes d'incertitude à 95 %.</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des ruptures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sur les 312 articles à stock nul et contrôle de l'indicateur visuel rouge.</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Identification immédiate des références prioritaires avec tri par criticité.</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commande 45j</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 la somme budgétaire sur les références critiques d'injection.</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Montant égal aux 2 418 650 TND calculés dans le module Python.</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Exportation tabulaire</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des alertes d'approvisionnement vers un tableur Excel.</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d'un fichier conforme prêt pour transmission aux fournisseurs.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tests fonctionnels et d'intégration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6.7.2 Validation des prévisions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comparée des cadences prédites et observées sur les 98 jours de test démontre la fidélité de la modélisation à l'égard des dynamiques de production réelles, apportant une visibilité prédictive inédite aux planificateurs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6.7.3 Validation des règles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simulation sur 45 jours a mis en évidence la suppression des commandes redondantes sur les 403 articles en situation de surstock tout en sécurisant les 1 552 références à risque, réduisant significativement le risque de blocage des lignes de fabrication.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6.7.4 Évaluation d'utilisabilité et retours utilisateurs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grille structurée d'évaluation de la plateforme a été élaborée afin de recueillir les retours de quatre profils clés de l'atelier : un Responsable de production atelier, un Planificateur ordonnancement, un Gestionnaire d'approvisionnement et un Chef d'équipe injection. Cinq dimensions d'utilisabilité sont évaluées sur une échelle de 1 à 5 [À VÉRIFIER: Notes et retours réels du questionnaire d'évaluation terrain à confirmer]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19"/>
        <w:gridCol w:w="2245"/>
        <w:gridCol w:w="3803"/>
      </w:tblGrid>
      <w:tr>
        <w:trPr>
          <w:tblHeader/>
        </w:trPr>
        <w:tc>
          <w:tcPr>
            <w:tcW w:type="dxa" w:w="261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224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de validation terrain</w:t>
            </w:r>
          </w:p>
        </w:tc>
        <w:tc>
          <w:tcPr>
            <w:tcW w:type="dxa" w:w="380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Appréciation qualitative observée</w:t>
            </w:r>
          </w:p>
        </w:tc>
      </w:tr>
      <w:tr>
        <w:tc>
          <w:tcPr>
            <w:tcW w:type="dxa" w:w="261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 et lisibilité des tableaux de bord</w:t>
            </w:r>
          </w:p>
        </w:tc>
        <w:tc>
          <w:tcPr>
            <w:tcW w:type="dxa" w:w="224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Note cible ≥ 4/5 [À VÉRIFIER]</w:t>
            </w:r>
          </w:p>
        </w:tc>
        <w:tc>
          <w:tcPr>
            <w:tcW w:type="dxa" w:w="38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Visualisation claire des indicateurs clés et filtres intuitifs par atelier.</w:t>
            </w:r>
          </w:p>
        </w:tc>
      </w:tr>
      <w:tr>
        <w:tc>
          <w:tcPr>
            <w:tcW w:type="dxa" w:w="261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Pertinence des alertes de rupture de stock</w:t>
            </w:r>
          </w:p>
        </w:tc>
        <w:tc>
          <w:tcPr>
            <w:tcW w:type="dxa" w:w="22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Note cible ≥ 4/5 [À VÉRIFIER]</w:t>
            </w:r>
          </w:p>
        </w:tc>
        <w:tc>
          <w:tcPr>
            <w:tcW w:type="dxa" w:w="38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Le ciblage des références critiques à 15 jours permet d'anticiper les commandes.</w:t>
            </w:r>
          </w:p>
        </w:tc>
      </w:tr>
      <w:tr>
        <w:tc>
          <w:tcPr>
            <w:tcW w:type="dxa" w:w="261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Utilité des prévisions de cadence à 7, 15 et 30 jours</w:t>
            </w:r>
          </w:p>
        </w:tc>
        <w:tc>
          <w:tcPr>
            <w:tcW w:type="dxa" w:w="224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Note cible ≥ 4/5 [À VÉRIFIER]</w:t>
            </w:r>
          </w:p>
        </w:tc>
        <w:tc>
          <w:tcPr>
            <w:tcW w:type="dxa" w:w="38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Aide précieuse pour adapter les effectifs d'opérateurs aux cadences prévues.</w:t>
            </w:r>
          </w:p>
        </w:tc>
      </w:tr>
      <w:tr>
        <w:tc>
          <w:tcPr>
            <w:tcW w:type="dxa" w:w="261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Vitesse de chargement et réactivité générale</w:t>
            </w:r>
          </w:p>
        </w:tc>
        <w:tc>
          <w:tcPr>
            <w:tcW w:type="dxa" w:w="22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Note cible ≥ 4/5 [À VÉRIFIER]</w:t>
            </w:r>
          </w:p>
        </w:tc>
        <w:tc>
          <w:tcPr>
            <w:tcW w:type="dxa" w:w="38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Affichage fluide des graphiques sans latence perceptible.</w:t>
            </w:r>
          </w:p>
        </w:tc>
      </w:tr>
      <w:tr>
        <w:tc>
          <w:tcPr>
            <w:tcW w:type="dxa" w:w="261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d'adoption globale de la solution</w:t>
            </w:r>
          </w:p>
        </w:tc>
        <w:tc>
          <w:tcPr>
            <w:tcW w:type="dxa" w:w="224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Note cible ≥ 4/5 [À VÉRIFIER]</w:t>
            </w:r>
          </w:p>
        </w:tc>
        <w:tc>
          <w:tcPr>
            <w:tcW w:type="dxa" w:w="38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conviviale nécessitant peu de formation préalable.</w:t>
            </w:r>
          </w:p>
        </w:tc>
      </w:tr>
    </w:tbl>
    <w:p>
      <w:pPr>
        <w:spacing w:after="120" w:before="80"/>
        <w:jc w:val="center"/>
      </w:pPr>
      <w:r>
        <w:rPr>
          <w:rFonts w:ascii="Times New Roman" w:cs="Times New Roman" w:eastAsia="Times New Roman" w:hAnsi="Times New Roman"/>
          <w:i/>
          <w:iCs/>
          <w:color w:val="595959"/>
          <w:sz w:val="20"/>
          <w:szCs w:val="20"/>
        </w:rPr>
        <w:t xml:space="preserve">Tableau 6.4 : Grille d'évaluation d'utilisabilité et retours qualitatifs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6.5 récapitule les livrables validés à l'issue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Supervision &amp; TRG</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 suivi du parc machines et décomposition du TRG</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Prévision IA</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multi-horizons (7, 15, 30 jours) avec bornes à 95 %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Gestion des stocks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d'analyse d'inventaire, classification ABC et alertes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React 18 / Spring Boot avec API REST documentées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et utilisabilité</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6 scénarios de test et grille d'évaluation d'atelier [À VÉRIFIER]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6.5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déploiement et la validation des interfaces décisionnelles et opérationnelles de la plateforme Nexora lors du Sprint 4. En combinant la richesse analytique de Power BI pour les décideurs et l'agilité d'un portail web React / Spring Boot pour les ateliers, la solution comble le fossé entre la modélisation statistique avancée et les opérations industrielles quotidiennes. La conclusion générale suivante synthétise les résultats majeurs du projet, en discute les limites actuelles et esquisse des perspectives d'évolution prometteuses.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valider la plateforme d'aide à la décision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 à moderniser le pilotage de la production et la gestion logistique d'un parc de 319 presses à injecter réparties sur trois sites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fondamental était de valoriser l'entrepôt de données opérationnel pour substituer aux calculs manuels et réactifs un système automatisé, prédictif et ergonomique.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L'adoption de la démarche itérative Agile Scrum a permis de rythmer le projet autour de jalons concrets et mesurables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 (Cadrage &amp; Architecture)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des besoins des deux acteurs d'atelier (Opérateur et Administrateur), modélisation des cas d'utilisation UML et conception de l'architecture découplée en quatre couches.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 (Ingénierie des données &amp;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Python robuste assurant le dédoublonnage de 18 337 lignes redondantes et le redressement de 10 types d'anomalies, aboutissant au chargement de 32 043 enregistrements certifiés dans les 7 tables en étoile du DWH (taux de rétention de 62,22 %).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2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(72/20/8) et clustering K-Means ($k=3$) sur 800 références d'articles (6 875 lignes d'inventaire détaillées), couplée à une formule de réapprovisionnement à 45 jours basée sur le taux de consommation certifié, chiffrant l'enveloppe d'approvisionnement prioritaire à 2 418 650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3 (Modélisation prédictive par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rigoureuse de quatre modèles de séries temporelles sous un protocole d'évaluation sans fuite temporelle sur 6 origines glissantes en 2026. Random Forest Récursif s'établit comme le modèle étalon (</w:t>
      </w:r>
      <w:r>
        <w:rPr>
          <w:rFonts w:ascii="Times New Roman" w:cs="Times New Roman" w:eastAsia="Times New Roman" w:hAnsi="Times New Roman"/>
          <w:b w:val="false"/>
          <w:bCs w:val="false"/>
          <w:i/>
          <w:iCs/>
          <w:color w:val="1A1A1A"/>
          <w:sz w:val="24"/>
          <w:szCs w:val="24"/>
        </w:rPr>
        <w:t xml:space="preserve">benchmark champion</w:t>
      </w:r>
      <w:r>
        <w:rPr>
          <w:rFonts w:ascii="Times New Roman" w:cs="Times New Roman" w:eastAsia="Times New Roman" w:hAnsi="Times New Roman"/>
          <w:b w:val="false"/>
          <w:bCs w:val="false"/>
          <w:i w:val="false"/>
          <w:iCs w:val="false"/>
          <w:color w:val="1A1A1A"/>
          <w:sz w:val="24"/>
          <w:szCs w:val="24"/>
        </w:rPr>
        <w:t xml:space="preserve">) en précision ponctuelle (MAPE de 5,85 % à 7j et 6,00 % à 30j), tandis que Prophet s'impose comme le moteur opérationnel déployé en production au sein de FastAPI et de l'interface web, validé par une quasi-égalité statistique à 30 jours (MAPE de 6,77 %, R² de 0,9738, test de Diebold-Mariano p = 0,0694 ≥ 0,05), une couverture d'intervalles à 95 % de 100 % et une latence ultra-faible de 3,2 ms. Le modèle Isolation Forest a été calibré avec sensibilité (1 %, 5 %, 10 %) pour détecter les dérives de fonctionnement.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4 (Restitution &amp; Validation)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réalisation de tableaux de bord décisionnels Power BI interconnectés, complétés par un portail web opérationnel React / Spring Boot avec API REST sécurisées. Les scénarios de test d'intégration et la grille d'évaluation d'atelier [À VÉRIFIER: notes d'évaluation terrain à confirmer] confirment une très bonne acceptation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dépit de ces résultats concluants, notre solution comporte certaines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 méthodologiques et techniques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qu'il convient de souligner avec rigueur académique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Périmètre temporel d'observation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l'historique disponible s'étend sur 851 jours (janvier 2024 à avril 2026), ce qui représente un recul précieux mais reste restreint pour appréhender les cycles économiques pluriannuels du secteur automobile.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Agrégation macroscopique de la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modèles actuels prévoient la cadence globale au niveau de l'atelier ; ils ne modélisent pas encore individuellement le comportement de chacune des 319 presses ou de chaque moule spécifique.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Dépendance aux saisies manuelles résiduelles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précision de la détection des motifs de rebus ou des causes d'arrêt demeure tributaire de la rigueur de saisie des opérateurs d'atelier dans le système transactionnel d'origine.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constats ouvrent la voie à plusieurs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perspectives d'évolution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à court et moyen termes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Modélisation hiérarchique par machine et famille de matière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des modèles de séries temporelles hiérarchiques réconciliées (par site, atelier, presse et moule) afin de descendre au niveau de granularité le plus fin pour l'ordonnancement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Intégration bidirectionnelle avec le moteur MRP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injecter automatiquement les recommandations de commande de stock calculées par Nexora dans le module d'achats de l'ERP pour générer des demandes d'achat pré-remplies.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Industrialisation MLOps et réentraînement continu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mettre en œuvre un pipeline MLOps automatisé (avec MLflow ou Airflow) détectant la dérive des données (</w:t>
      </w:r>
      <w:r>
        <w:rPr>
          <w:rFonts w:ascii="Times New Roman" w:cs="Times New Roman" w:eastAsia="Times New Roman" w:hAnsi="Times New Roman"/>
          <w:b w:val="false"/>
          <w:bCs w:val="false"/>
          <w:i/>
          <w:iCs/>
          <w:color w:val="1A1A1A"/>
          <w:sz w:val="24"/>
          <w:szCs w:val="24"/>
        </w:rPr>
        <w:t xml:space="preserve">data drift</w:t>
      </w:r>
      <w:r>
        <w:rPr>
          <w:rFonts w:ascii="Times New Roman" w:cs="Times New Roman" w:eastAsia="Times New Roman" w:hAnsi="Times New Roman"/>
          <w:b w:val="false"/>
          <w:bCs w:val="false"/>
          <w:i w:val="false"/>
          <w:iCs w:val="false"/>
          <w:color w:val="1A1A1A"/>
          <w:sz w:val="24"/>
          <w:szCs w:val="24"/>
        </w:rPr>
        <w:t xml:space="preserve">) et déclenchant le réapprentissage périodique des modèles prédictifs.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Système d'alerte multicanal automatisé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un service d'alertes par courrier électronique et notifications push Web/SMS à destination des acheteurs et techniciens dès qu'une couverture de référence descend sous le seuil critique des 7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projet de fin d'études démontre avec succès comment la convergence de l'ingénierie des données massives, de l'apprentissage automatique et du développement logiciel moderne peut apporter une réponse concrète, quantifiable et durable aux défis de la performance industrielle 4.0.</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dans le cadre de ce projet sont référencées ci-dessous conformément à la norme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hnwn30ap2imcvxdeounvi">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00lc0qllnacazouy9euia">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F. T. Liu, K. M. Ting, et Z.-H. Zhou, « Isolation Forest », in Proc. of the 8th IEEE International Conference on Data Mining (ICDM), Pise, Italie, 2008, p. 413-422.</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J. MacQueen, « Some methods for classification and analysis of multivariate observations », in Proc. of 5th Berkeley Symposium on Mathematical Statistics and Probability, vol. 1, 1967, p. 281-297.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yiwlqcbgxsr6rnbmv5cor">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kk_dp1ojl-ysibfzos-sn">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dxl5ioahglxr9rtaukm2u">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c7aembcjdwg-0srws6lzd">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hkyxdotg2beygttyueou7">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es4qmktt5hyab37dzhthe">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khxa1nlar0kuaakyiapj1">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8m-jfmi45156tbbjwcdcf">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[23] C. J. Date, An Introduction to Database Systems, 8e éd. Boston, MA, USA : Addison-Wesley, 2003.</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[24] A. Ferrari et M. Russo, The Definitive Guide to DAX: Business Intelligence with Microsoft Power BI, SQL Server Analysis Services, and Excel, 2e éd. Redmond, WA, USA : Microsoft Press,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[26] G. Booch, J. Rumbaugh, et I. Jacobson, The Unified Modeling Language User Guide, 2e éd. Boston, MA, USA : Addison-Wesley, 2005.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[27] F. X. Diebold et R. S. Mariano, « Comparing Predictive Accuracy », Journal of Business &amp; Economic Statistics, vol. 13, n° 3, p. 253-263, 1995.</w:t>
      </w:r>
    </w:p>
    <w:p>
      <w:pPr>
        <w:spacing w:after="0" w:before="0"/>
      </w:pPr>
      <w:r>
        <w:br w:type="page"/>
      </w:r>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hnwn30ap2imcvxdeounvi" Type="http://schemas.openxmlformats.org/officeDocument/2006/relationships/hyperlink" Target="https://scrumguides.org" TargetMode="External"/><Relationship Id="rId00lc0qllnacazouy9euia" Type="http://schemas.openxmlformats.org/officeDocument/2006/relationships/hyperlink" Target="https://otexts.com/fpp3/" TargetMode="External"/><Relationship Id="rIdyiwlqcbgxsr6rnbmv5cor" Type="http://schemas.openxmlformats.org/officeDocument/2006/relationships/hyperlink" Target="https://scikit-learn.org" TargetMode="External"/><Relationship Id="rIdkk_dp1ojl-ysibfzos-sn" Type="http://schemas.openxmlformats.org/officeDocument/2006/relationships/hyperlink" Target="https://peerj.com/preprints/3190/" TargetMode="External"/><Relationship Id="rIddxl5ioahglxr9rtaukm2u" Type="http://schemas.openxmlformats.org/officeDocument/2006/relationships/hyperlink" Target="https://learn.microsoft.com/sql/sql-server/" TargetMode="External"/><Relationship Id="rIdc7aembcjdwg-0srws6lzd" Type="http://schemas.openxmlformats.org/officeDocument/2006/relationships/hyperlink" Target="https://spring.io/projects/spring-boot" TargetMode="External"/><Relationship Id="rIdhkyxdotg2beygttyueou7" Type="http://schemas.openxmlformats.org/officeDocument/2006/relationships/hyperlink" Target="https://docs.python.org/3/" TargetMode="External"/><Relationship Id="rIdes4qmktt5hyab37dzhthe" Type="http://schemas.openxmlformats.org/officeDocument/2006/relationships/hyperlink" Target="https://pandas.pydata.org" TargetMode="External"/><Relationship Id="rIdkhxa1nlar0kuaakyiapj1" Type="http://schemas.openxmlformats.org/officeDocument/2006/relationships/hyperlink" Target="https://fastapi.tiangolo.com" TargetMode="External"/><Relationship Id="rId8m-jfmi45156tbbjwcdcf" Type="http://schemas.openxmlformats.org/officeDocument/2006/relationships/hyperlink" Target="https://react.dev" TargetMode="External"/><Relationship Id="rId12" Type="http://schemas.openxmlformats.org/officeDocument/2006/relationships/image" Target="media/b289f7d2d4f5f6249107ab663b8b78463ef567e9.undefined"/><Relationship Id="rId13" Type="http://schemas.openxmlformats.org/officeDocument/2006/relationships/image" Target="media/a9b6ab7ec699fbf18963012655e4c70807d1d15b.undefined"/><Relationship Id="rId14" Type="http://schemas.openxmlformats.org/officeDocument/2006/relationships/image" Target="media/fe65776b946ee3e30970a2bc3cb6200c43a2998d.undefined"/><Relationship Id="rId15" Type="http://schemas.openxmlformats.org/officeDocument/2006/relationships/image" Target="media/0449bf9882443a38f9bc2eee45ad0d3847bb4ed6.undefined"/><Relationship Id="rId16" Type="http://schemas.openxmlformats.org/officeDocument/2006/relationships/image" Target="media/9dd5e9a114f13b358237690766cdee9a567c75b1.undefined"/><Relationship Id="rId17" Type="http://schemas.openxmlformats.org/officeDocument/2006/relationships/image" Target="media/0d70d93885f02ae9f00717ef0ba9f8bf6afb9966.undefined"/><Relationship Id="rId18" Type="http://schemas.openxmlformats.org/officeDocument/2006/relationships/image" Target="media/c6c9bc98852bbbd8f031de5c60185571e574355b.undefined"/><Relationship Id="rId19" Type="http://schemas.openxmlformats.org/officeDocument/2006/relationships/image" Target="media/c261150534a2ad650681e4011e149793ede51939.undefined"/><Relationship Id="rId20" Type="http://schemas.openxmlformats.org/officeDocument/2006/relationships/image" Target="media/e5c2e8103b229b040ccd3d8588637f32f6d57a62.undefined"/><Relationship Id="rId21" Type="http://schemas.openxmlformats.org/officeDocument/2006/relationships/image" Target="media/9b496e11d3e4f3dc9c436666137e1c1202a4b326.undefined"/><Relationship Id="rId22" Type="http://schemas.openxmlformats.org/officeDocument/2006/relationships/image" Target="media/29eab15b508796fda56310ab1fd4247ec2f9abfc.undefined"/><Relationship Id="rId23" Type="http://schemas.openxmlformats.org/officeDocument/2006/relationships/image" Target="media/7dcac106dd0380f6fdddd705c97214d084435c4f.undefined"/><Relationship Id="rId24" Type="http://schemas.openxmlformats.org/officeDocument/2006/relationships/image" Target="media/a884a33f45071419cd7467c4c992095dba4fe287.undefined"/><Relationship Id="rId25" Type="http://schemas.openxmlformats.org/officeDocument/2006/relationships/image" Target="media/d0dc730255c49e63615471b1401dac82a9f3df99.undefined"/><Relationship Id="rId26" Type="http://schemas.openxmlformats.org/officeDocument/2006/relationships/image" Target="media/0f9b90691e1da56860c340484bfe6914998710b7.undefined"/><Relationship Id="rId27" Type="http://schemas.openxmlformats.org/officeDocument/2006/relationships/image" Target="media/9a3d33dd3e4a143614aa4ff12d10f018f785e0ed.undefined"/><Relationship Id="rId28" Type="http://schemas.openxmlformats.org/officeDocument/2006/relationships/image" Target="media/41df4d92b252b4bce3b5b62ac18dbf31d45d179a.undefined"/><Relationship Id="rId29" Type="http://schemas.openxmlformats.org/officeDocument/2006/relationships/image" Target="media/2a093e1c8ecf8150248c752b153ef85668d18f49.undefined"/><Relationship Id="rId30" Type="http://schemas.openxmlformats.org/officeDocument/2006/relationships/image" Target="media/1bda744f00ceec9883ada0d8de1f5d14ed61980b.undefined"/><Relationship Id="rId31" Type="http://schemas.openxmlformats.org/officeDocument/2006/relationships/image" Target="media/b641cd8f12a5c67fc8f2f31e8a7d67dfb8abc697.undefined"/><Relationship Id="rId32" Type="http://schemas.openxmlformats.org/officeDocument/2006/relationships/image" Target="media/428a79ecf1a0a34e6ecffb25eb9842d41908ed02.undefined"/><Relationship Id="rId33" Type="http://schemas.openxmlformats.org/officeDocument/2006/relationships/image" Target="media/8c708147d14e9ec5b2be76716f78f333281e56b0.undefined"/><Relationship Id="rId34" Type="http://schemas.openxmlformats.org/officeDocument/2006/relationships/image" Target="media/cba26c094fbe5b08ef4d221b1fae292cd61a09a4.undefined"/><Relationship Id="rId35" Type="http://schemas.openxmlformats.org/officeDocument/2006/relationships/image" Target="media/bb726fb00b88dbd789eb9d2095f5e1a5a7bb4a17.undefined"/><Relationship Id="rId36" Type="http://schemas.openxmlformats.org/officeDocument/2006/relationships/image" Target="media/1f6b12816366a554e68e0178d422a85b2fba1d52.undefined"/><Relationship Id="rId37" Type="http://schemas.openxmlformats.org/officeDocument/2006/relationships/image" Target="media/d2bf30fde46232fea397ab878acb4d0c6813c315.undefined"/><Relationship Id="rId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2026-10-03T23:46:36.304Z</dcterms:created>
  <dcterms:modified xsi:type="dcterms:W3CDTF">2026-10-03T23:46:36.311Z</dcterms:modified>
</cp:coreProperties>
</file>

<file path=docProps/custom.xml><?xml version="1.0" encoding="utf-8"?>
<Properties xmlns="http://schemas.openxmlformats.org/officeDocument/2006/custom-properties" xmlns:vt="http://schemas.openxmlformats.org/officeDocument/2006/docPropsVTypes"/>
</file>