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concurrentiel de la plasturgie automobile (équipementier Tier-1), la maîtrise des cadences de fabrication et la gestion proactive des approvisionnements de matières premières constituent des leviers déterminants de rentabilité. Face à la dispersion des données d'atelier issues de 319 presses à injecter réparties sur trois sites industriels (Kondar et Sousse en Tunisie, Brno en République Tchèque),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et opérationnelle d'aide au pilotage industriel.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Alimentée par un entrepôt de données (Data Warehouse) sous Microsoft SQL Server consolidant 32 043 enregistrements validés après assainissement par un pipeline ETL automatisé (schéma en étoile), la solution s'articule autour de trois modules complémentaires : un module prédictif comparant cinq approches d'apprentissage supervisé et de séries temporelles (Régression Linéaire, ARIMA, Random Forest et Prophet), où Random Forest et Prophet atteignent tous deux une précision moyenne satisfaisante (erreurs MAPE d'environ 6 % à 7 %), Random Forest offrant une précision ponctuelle élevée et Prophet assurant le déploiement opérationnel grâce à sa modélisation native des composantes calendaires et son intégration directe dans la base de données ; un module de détection non supervisée des anomalies de cadence par Isolation Forest ; un module de gestion des stocks structuré par une segmentation multicritère Pareto ABC / K-Means et une règle de réapprovisionnement à horizon cible de 45 jours chiffrant l'enveloppe prioritaire pour 193 références en risque à environ 380 400 TND (sur un catalogue totalisant 14,31 M TND de valeur annuelle consommée) ; et une restitution adaptée aux rôles de l'entreprise via des tableaux de bord interactifs Microsoft Power BI pour le management et un portail web opérationnel React / Spring Boot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a été validée avec succès par des scénarios de tests fonctionnels et d'intégration en conditions réelles, apportant une visibilité structurée sur le Taux de Rendement Global (TRG moyen de 71,4 %) et sécurisant l'approvisionnement des lignes d'assemblage.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Industrie 4.0, Plasturgie Automobile, Taux de Rendement Global (TRG), Séries Temporelles, Random Forest, Prophet, Isolation Forest, K-Means,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highly demanding automotive plastics manufacturing sector (Tier-1 supplier), controlling production throughput and proactively managing raw material replenishment are decisive factors for operational efficiency. Addressing data dispersion across 319 injection moulding machines located across three industrial plants (Kondar and Sousse in Tunisia, Brno in the Czech Republic), this Master's thesis presents the design and deployment of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an intelligent decision-support and operational platform.</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Built upon a Microsoft SQL Server Data Warehouse consolidating 32,043 validated inventory and transaction records structured in a star schema after automated ETL sanitization, the platform integrates three core modules: a forecasting engine evaluating five machine learning and time series models (Linear Regression, ARIMA, Random Forest, and Prophet), in which Random Forest and Prophet both achieve competitive average accuracy (~6% to 7% MAPE), with Random Forest providing high point precision and Prophet deployed in production for its explainability and native handling of industrial calendar effects; an unsupervised anomaly detection module using Isolation Forest; an intelligent inventory management module based on Pareto ABC / K-Means multi-criteria segmentation and a 45-day replenishment formula budgeting 193 critical references at approximately 380,400 TND (out of a catalog accounting for 14.31 M TND in annual consumption); and a dual-interface architecture featuring interactive Microsoft Power BI dashboards for executive monitoring and a reactive React / Spring Boot web portal for shop-floor operators.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has been successfully validated through functional and integration tests under industrial conditions, delivering structured visibility over Overall Equipment Effectiveness (mean OEE of 71.4%) and securing material availability for manufacturing lines.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Keywords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Decision Support System, Industry 4.0, Automotive Plastics, Overall Equipment Effectiveness (OEE), Time Series Forecasting, Random Forest, Prophet, Isolation Forest, K-Means, ETL Pipeline,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Clustering K-Means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facteurs d'événements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du jeu de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Modèles d'apprentissage évalués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comparatifs et évaluation multi-horizons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Détection des dérives et anomalies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Supervision de la production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70</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Annexe A : Détails méthodologiques et analyses statistiques approfondies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A.1 Protocole expérimental et prévention des fuites temporelles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A.2 Résultats complets par horizon avec écarts-types sur 6 origines glissantes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A.3 Test formel de Diebold-Mariano avec variance HAC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A.4 Analyse des intervalles d'incertitude : Prophet et Prédiction Conforme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Trajectoire des prédictions Prophet face à la production réelle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Détection non supervisée des anomalies de cadence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d'injection par famille de pièces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et cohérent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Calendrier et objectifs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du Data Warehouse en schéma en étoile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14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du jeu de données (851 jours au total)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Synthèse des performances prédictives moyennes aux horizons 7, 15 et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Analyse de sensibilité du modèle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Points d'accès REST de l'application web opérationnelle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A.1 : Performances détaillées à l'horizon 7 jours (Moyenne ± Écart-type)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A.2 : Performances détaillées à l'horizon 15 jours (Moyenne ± Écart-type)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A.3 : Performances détaillées à l'horizon 30 jours (Moyenne ± Écart-type)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A.4 : Tests de significativité statistique de Diebold-Mariano avec variance HAC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A.5 : Comparaison de la qualité des intervalles d'incertitude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international du Taux de Rendement Global (TRG)</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Disponibilité, Performance et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méthodique des flux de données générés au sein des usines. Le suivi des cadences de fabrication, l'évaluation du Taux de Rendement Global (TRG/OEE) [25]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des exigences strictes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calcul du TRG était souvent réalisé de façon différée sur des feuilles de calcul, ce qui limitait la réactivité opérationnelle face aux aléas de production.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validées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évaluation comparative de modèles prédictifs (Régression Linéaire, ARIMA [3], Random Forest [7] et Prophet [12]) sur des horizons de 7, 15 et 30 jours. Les modèles Random Forest et Prophet atteignent tous deux une bonne précision moyenne (erreurs MAPE de l'ordre de 6 % à 7 %), Random Forest offrant une précision ponctuelle élevée et Prophet étant retenu pour le déploiement opérationnel grâce à son explicabilité et sa gestion native des saisonnalités industrielles. En complément, l'algorithme Isolation Forest [8] assure la détection précoce des dérives de cadence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[9], analyse de la couverture en jours et calcul du plan de réapprovisionnement sur un horizon de 45 jours (évalué à environ 380 400 TND pour les 193 références prioritaires du catalogue)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à horizon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protocole d'évaluation des modèles, la comparaison de leurs performances prédictives à court et moyen termes, le choix du modèle opérationnel et la détection d'anomalies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fonctionnels.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du TRG,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 des mouvements de matière et consultation des stocks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 l'état des 319 presses de l'atelier et calcul des trois composantes normalisées du Taux de Rendement Global selon la démarche TPM [25] (Taux de Disponibilité, Taux de Performance,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différé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micro-arrêts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conservant l'historique complet des déclarations de production, des nomenclatures (BOM) et des mouvements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le rendement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d'assainissement de qualité (suppression des doublons, rejet des dates erronées, redressement des stocks négatifs) et chargement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de séries temporelles sous protocole multi-horizons (Régression Linéaire, ARIMA, Random Forest, Prophet) sur une cadence d'atelier d'environ 65 000 pièces/jour. Random Forest et Prophet atteignent une précision comparable (erreur moyenne de 6 % à 7 % de MAPE). Prophet a été retenu pour le déploiement opérationnel dans l'application en raison de sa décomposition explicable (tendance, saisonnalité hebdomadaire et arrêts d'atelier) et de sa simplicité d'intégration, complété par Isolation Forest pour la détection des 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 K-Means, classification selon la couverture disponible et calcul du plan de réapprovisionnement pour sécuriser 45 jours d'activité sur le catalogue de 800 références distinctes (budget prévisionnel estimé à environ 380 400 TND).</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d'atelier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en étoile)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Multicritère (ABC + K-Means)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cible 45 jours (800 réf.)</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fichiers d'inventaire et des mouvements de production issus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doublons sur clé composite, rejet des dates invalides et assainissement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Ingénierie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14 variables explicatives temporelles et statistiques (lags, moyennes mobiles, jours ouvrés, événements calendaires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temporel comprenant une fenêtre d'initialisation des variables de 30 jours, 579 jours d'entraînement de base (609 jours de tranche d'apprentissage totale), 122 jours de validation et 120 jours de test (dont 98 jours d'évaluation).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et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 la Régression Linéaire, d'ARIMA, de Random Forest et de Prophet (avec prise en compte des événements calendaires), complétés par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par origines glissantes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du protocole d'évaluation à 6 origines glissantes sur 2026 pour évaluer la stabilité prédictive.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Mesure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 précision (MAE, RMSE, MAPE, R²) exprimées en pièces par jour aux horizons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des rapports décisionnels sous Microsoft Power BI et alimentation des services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afin de retenir l'organisation la plus efficiente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Itératif et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 de données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Rigide et pénalisante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Adaptation fluide aux réalités terrain</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les 20 récits utilisateurs (User Stories) formalisant les exigences fonctionnelles du système. Chaque récit est priorisé et associé à une estimation d'effort réaliste en jours de développement (charge unitaire comprise entre 1 et 4 jours, pour une charge totale de 56 jours de réalisation répartis sur le semestre). Conformément aux spécifications d'accès et aux cas d'utilisation du système, les exigences sont réparties exclusivement entre les deux seuls rôles de la plateforme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(gestion des flux, modèles prédictifs, budgets et supervision décisionnelle)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(saisies d'atelier, consultation locale des stocks et suivi des alertes)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enregistrements validés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14 variables temporelles et d'événements industriels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segmenter les 800 références d'articles selon la méthode Pareto ABC (72/20/8)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par clustering K-Means en 3 groupes de gestion logistique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 budget global des approvisionnements prioritaires (environ 380 400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 partitionnement chronologique étanche sans fuite (warmup, train, validation, test)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par validation à origines glissantes multi-horizons sans fuite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aux horizons de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dérives de cadence machine via Isolation Forest pour la maintenance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le TRG et le statut en temps réel des 319 presses sur un rapport Power BI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les prévisions de cadence et les alertes d'approvisionnement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les mouvements d'inventaire et les déclarations de rebuts via l'interface web</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et cohérent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29"/>
        <w:gridCol w:w="2103"/>
        <w:gridCol w:w="2485"/>
        <w:gridCol w:w="2548"/>
      </w:tblGrid>
      <w:tr>
        <w:trPr>
          <w:tblHeader/>
        </w:trPr>
        <w:tc>
          <w:tcPr>
            <w:tcW w:type="dxa" w:w="15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21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indicative</w:t>
            </w:r>
          </w:p>
        </w:tc>
        <w:tc>
          <w:tcPr>
            <w:tcW w:type="dxa" w:w="248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25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02/02/2026 – 13/02/2026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16/02/2026 – 06/03/2026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schéma en étoile DWH (7 tables) et 32 043 lignes chargées.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09/03/2026 – 27/03/2026
(3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 K-Means, seuils d'alerte, calcul du plan 45 jours et budget.</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30/03/2026 – 17/04/2026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sélection de Random Forest comme champion et Isolation Forest.</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20/04/2026 – 30/04/2026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1.6 : Calendrier et objectifs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saisir les mouvements d'inventaire réels (entrées, sorties de matière, rebuts d'injection) et à consulter le statut des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composantes du TRG,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2 secondes pour l'affichage des rapports et latence d'inférence des modèles inférieure à 250 ms.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charge et temps de calcul API.</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validés sans fuite temporelle.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CV stable.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Score de satisfaction utilisateur ≥ 4/5.</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du suivi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du TRG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(DWH) modélisé en schéma en étoile (tables de dimensions pour les articles et presses, tables de faits pour la production, les stocks et les rebuts).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comme benchmark multi-horizons, Prophet [12] déployé en production pour les prévisions de cadence et d'inventaire avec intervalles d'incertitude et décomposition saisonnière, et Isolation Forest [8] pour les anomalies) ainsi que le moteur logistique de calcul des couvertures de stock. Les prévisions générées sont automatiquement écrites dans la table `ml_production_predictions` du DWH. Cette couche intègre également un micro-service FastAPI [21] pour l'inférence à la demande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saisies et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temps réel des modèles ML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 cadence et stocks,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(benchmark récursif), Régression et Isolation Forest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en étoile (7 tables)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16 variables explicatives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clusterisés et non-clusterisés sur les tables de faits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Fichier source initial contenant les déclarations de stock brutes.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valides insérées dans la table FACT_Mvts_Stocks.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d'inventaire ventilés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plastiques distincts référencés dans DIM_FamArt.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réparties sur les 3 sites industriels (DIM_OF-Mach).</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 (FACT_Encours).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modélisé selon un schéma en étoile optimisé pour les requêtes analytiques [16], constitué de deux tables de dimensions et de cinq tables de faits interconnectées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DWH</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(No_), désignation, famille matière (PP, PA66, ABS),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site d'implantation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validé des stocks et mouvements : date, référence article, quantité disponible, coût unitaire valorisé et site.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8 344 en-cours d'atelier : pièces et sous-ensembles en cours d'injection sur les lignes de production.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journalière réelle : volumes injectés, pièces conformes, cadences effectives et temps opératoires.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Défaillances qualité : pièces rebutées lors de la fabrication avec typologie des défauts (bavures, retassures, déformations).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produits (Bill of Materials) : arborescence des composants et coefficients de consommation par pièce finie.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du Data Warehouse en schéma en étoile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liaisons dimensionnelles fondamentales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d'article est associée à l'historique complet de ses réceptions, consommations et niveaux d'inventaire.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permet de rattacher chaque lot en fabrication à ses caractéristiques matière et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à injecter génère quotidiennement des enregistrements de cadence et d'heures de marche.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décompose un article parent en l'ensemble de ses composants requis pour l'injection.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associe à chaque déclaration de fabrication les volumes rebutés et les motifs d'anomalie.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 [25]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(implanté dans le package Python `etl_pipeline/`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multi-sources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robuste des fichiers d'extraction bruts avec détection automatique de l'encodage (UTF-8, Latin-1) et contrôle des en-têtes.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filtres de nettoyage pour éliminer les doublons et redresser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du fichier d'inventaire brut (`ASTOCKDATE_RAW.csv`) contenant 51 500 enregistrements a révélé une redondance massive issue des extractions automatisées de l'ERP ainsi que plusieurs incohérences de saisie. Le module de nettoyage applique dix règles de traitement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 la casse, suppression des espaces parasites et rejet des 460 lignes sans identifiant de produit réconciliable.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 sur clé métier composite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stricte de 18 337 lignes redondantes sur la clé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des chaînes textuelles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multiples et des caractères de contrôle indésirables.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au format ISO 8601 (YYYY-MM-DD) et rejet de 660 enregistrements comportant des dates calendaires impossibles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Standardisation des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virgules en points décimaux et suppression des unités textuelles ('500 u' -&gt; 500.0).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Redressement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suffixes monétaires et remplacement des coûts négatifs ou nuls par la médiane de la famille matière correspondante.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Harmonisation des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normalisation des libellés de familles plastiques (PP, PA66, ABS, POM).</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Standardisation des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unification des dénominations des ateliers (Kondar, Sousse, 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logique inter-colonnes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de quantités physiques et normalisation de l'indicateur d'en-cours.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Imputation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valeurs par défaut qualifiées pour les attributs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présente le bilan quantitatif complet sous forme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 en cascade (waterfall)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retraçant le passage des données brutes aux données validées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0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filtrage / Règle de qualité appliquée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de lignes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opérationnel</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initial extrait de l'ERP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Base (100,0 %)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d'inventaire brutes avant traitement.</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 et sur clé (DateStock, No_, Site)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redondances issues des exports.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invalides ou hors calendrier (format non ISO)</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- 660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- 1,28 %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erronées (ex: 30 février).</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identifiants articles manquants ou non réconciliables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- 460</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- 0,89 %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lignes orphelines sans référence DIM_FamArt.</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validé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Lignes d'inventaire valides et assainies dans FACT_Mvts_Stocks.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numériques et décimaux</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champs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unités 'u' et points décimaux normalisés.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des coûts unitaires négatifs ou nuls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par la médiane de la famille matière.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stocks négatifs transitoires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écritures logistiques transitoires.</w:t>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de la qualité des données (Waterfall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Ingénierie des variables explicatives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assainissement, le pipeline génère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16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destinées à alimenter les modèles d'apprentissage automatique [11]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`day_of_week`, `is_weekend`, `month`, `working_day`.</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d'événements et d'équipes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`is_holiday`, `is_summer_break`, `shift_pattern`.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temporel / Lags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`lag_1`, `lag_7`, `lag_14`, `lag_30` (cadences passées à J-1, J-7, J-14 et J-30).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moyennes mobiles et volatilité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`roll_mean_7`, `roll_mean_14`, `roll_std_7` (calculées sur les données passées décalées afin d'éviter toute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planifiée et indicateur de changement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terminale insère les données transformées dans les tables SQL Server du DWH [16]. Pour accélérer les temps de restitution décisionnelle, des index spécifiques ont été posés sur les clés primaires composites ainsi que sur les attributs de filtrage temporel (`DateStock`) et de référence (`No_`).</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 inséré dans FACT_Mvts_Stocks.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assainies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Conforme après dédoublonnage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des contraintes d'intégrité et de format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vectorisé sous Pandas performant.</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avec détection d'encodage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et dédoublonnage sur clé composite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7 tables du DWH en schéma en étoile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 optimisés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rigoureux des 16 variables explicatives sans fuite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Journalisation automatisée et table waterfall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validés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 référentiel des 800 articles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800 références : méthode Pareto ABC et clustering K-Means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 (horizon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(environ 380 400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 l'historique des sorties matière depuis la table `FACT_Mvts_Stocks`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segmentation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et regroupement non supervisé par clustering K-Means [9], complétés par l'affectation à un statut de risque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Clustering K-Means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références d'articles du catalogue unique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(`DIM_FamArt`) font l'objet d'une double segmentation économique et volumique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Méthode Pareto ABC sur la valeur annuelle consommée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(valeur totale consommée : 14 311 585 TND,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(446 références, 55,8 %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concentre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(10 018 110 TND). Elle rassemble les résines thermoplastiques majeures et inserts à forte valeur faisant l'objet d'un contrôle régulier.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(202 références, 25,2 %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(2 862 317 TND), correspondant aux composants techniques intermédiaires gérés par revue périodique.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(152 références, 19,0 %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(1 431 158 TND), regroupant les références secondaires gérées par seuil d'alerte simplifié.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Clustering non supervisé K-Means ($k=3$) [9]</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 les 800 références selon trois axes normalisés : coût unitaire, stock physique disponible et taux de consommation journalier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0 (227 références, 28,4 %)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fort stock moyen (10 643 unités), consommation soutenue (139,8 pièces/jour) et coût moyen de 327,6 TND/unité (résines principales de forte rotation).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1 (299 références, 37,4 %)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stock modéré (3 404 unités), cadence moyenne de 101,4 pièces/jour et coût unitaire moyen de 300,3 TND/unité.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2 (274 références, 34,2 %)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haute valeur unitaire (coût moyen de 351,2 TND/unité), stock moyen de 3 694 unités et débit régulier de 93,4 pièces/jour.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segmentation structurelle, chaque référence est affectée à un statut opérationnel selon sa couverture disponible, conformément aux seuils définis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physique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l'administrateur et l'opérateur d'atelier traitent en priorité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l'état des stocks est conduite sur l'unité maîtresse du référentiel produit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800 références distinctes du catalogue (`DIM_FamArt`)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800 références d'articles, la distribution opérationnelle des stocks issue du DWH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557 références (69,6 %) disposent d'un niveau d'autonomie équilibré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47 références (5,9 %) ont un stock physique nul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146 références (18,2 %) présentent une autonomie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50 références (6,2 %)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illustre la double segmentation Pareto ABC et K-Means obtenue sur les 800 références du catalogue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K-Means des stocks</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distinctes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(47 en rupture et 146 critiques, soit 24,1 % du catalogue). La quantité globale à commander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847 204 unités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budget total prévisionnel estimé à environ 380 400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(380 393 TND). Ce budget est calculé directement d'après les coûts unitaires réels constatés dans le Data Warehouse (coût moyen de 0,45 TND par unité sur les références concernées).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et clustering K-Means (k=3) sur 800 références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800 références en 4 états opérationnels (47 ruptures, 146 critiques)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basée sur le taux de consommation validé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budget d'approvisionnement des 193 références (environ 380 400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le clustering K-Means en trois profils industriels et une formule de réapprovisionnement sur 45 jours basée sur la consommation d'atelier validée, la plateforme Nexora remplace les pratiques manuelles par un pilotage dynamique et préventif unifié sur les 800 références du catalogue. Le chapitre suivant aborde le Sprint 3, consacré à la modélisation prédictive par Intelligence Artificielle et à la détection d'anomalies.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IA et détection d'anomalies</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anticiper les charges des ateliers d'injection et prévenir les tensions sur les approvisionnements, quatre algorithmes d'apprentissage automatique ont été développés et comparés : la Régression Linéaire, un modèle autorégressif ARIMA, Random Forest et le modèle décomposable Prophet. En complément, l'algorithme non supervisé Isolation Forest est employé pour détecter les dérives anormales de cadence machine sur le parc de 319 presses.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met en évidence deux constats clés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court et moyen termes (7 à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Random Forest et Prophet atteignent tous deux une précision satisfaisante (erreur relative moyenne de 6 % à 7 % de MAPE). Le test statistique de Diebold-Mariano confirme que l'écart entre les deux approches à 30 jours n'est pas statistiquement significatif.</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Dans l'application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pour le déploiement en production en raison de sa décomposition explicite (tendance de fond, profil hebdomadaire et événements d'atelier) et de sa facilité d'intégration dans l'entrepôt de données SQL Server (table `ml_production_predictions`).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transformation log et découpage chronologique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variables explicatives et réglage des hyperparamètres sur partition 2025</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 l'évaluation multi-pas récursive sans fuite d'information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à 6 origines glissantes pour les horizons 7, 15 et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significativité statistique de Diebold-Mariano et analyse des intervalles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Calibration du modèle Isolation Forest pour la surveillance des cadences machines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des prévisions Prophet dans la table ml_production_predictions du DWH</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séries temporelles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complet des déclarations de fabrication depuis la table `Fact_PA` du Data Warehouse (851 jours réels du 01/01/2024 au 30/04/2026).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variables explicatives (lags décalés, moyennes mobiles, variables calendaires et industrielles) et réglage des modèles sur la période antérieure.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projection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modèles et simulation récursive pour alimenter les variables retardées de façon autonome.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sur origines glissantes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métriques d'erreur sur 6 origines glissantes en 2026 et test de significativité de Diebold-Mariano.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Persistance décisionnelle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enregistrement des prévisions et fuseaux d'incertitude dans la table `ml_production_predictions` du DWH pour l'affichage Power BI et le portail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produites par l'atelier. Afin de stabiliser la variance face aux fortes variations de fin de trimestre et de normaliser la distribution des résidus [4],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Toutes les prédictions générées sont reconverties dans l'espace physique d'origine via la fonction exponentielle inverse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 : $\hat{y} = \exp(\hat{y}_{log}) - 1$). Les métriques d'erreur sont calculées directement sur les valeurs réelles en pièces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facteurs d'événements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14 variables explicatives créées pour alimenter les algorithmes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(3)</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congés d'août, les pics de fin de trimestre, la maintenance de janvier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l'autocorrélation temporelle aux pas J-1, J-7,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variabilité d'atelier (calculées avec décalage strict).</w:t>
            </w:r>
          </w:p>
        </w:tc>
      </w:tr>
    </w:tbl>
    <w:p>
      <w:pPr>
        <w:spacing w:after="120" w:before="80"/>
        <w:jc w:val="center"/>
      </w:pPr>
      <w:r>
        <w:rPr>
          <w:rFonts w:ascii="Times New Roman" w:cs="Times New Roman" w:eastAsia="Times New Roman" w:hAnsi="Times New Roman"/>
          <w:i/>
          <w:iCs/>
          <w:color w:val="595959"/>
          <w:sz w:val="20"/>
          <w:szCs w:val="20"/>
        </w:rPr>
        <w:t xml:space="preserve">Tableau 5.2 : Les 14 variables explicatives du modèle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multiplicateurs d'événements d'atelier sont estimés sur la tranche d'apprentissage précédant chaque date de test : congés estivaux d'août (facteur 0,635), pics de fin de trimestre (1,361), arrêt annuel de maintenance (0,383) et période de Ramadan (0,874). Ces mêmes indicatrices sont fournies à Random Forest afin d'assurer une équité d'information entre les modèles.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du jeu de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les modèles dans des conditions réalistes d'exploitation sans fuite d'information future, la série historique de 851 jours est découpée en quatre périodes distinctes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 temporelle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(Warm-up)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30/01/2024</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initial des variables retardées (jusqu'à lag_30) sans apprentissage.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 base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579 jours (609j total)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31/01/2024 – 31/08/2025</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paramètres internes des modèles.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hyperparamètres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des hyperparamètres de Random Forest (50 arbres, profondeur 8) et de Prophet.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à origines glissantes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120 jours (98j éval)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01/01/2026 – 30/04/2026</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 sur 6 dates d'origine indépendantes en 2026.</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du jeu de données (851 jours au total)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Modèles d'apprentissage évalués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approches de modélisation prédictive sont examinées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 Multiple (Ridge)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paramétrique de référence régularisé, rapide et directement interprétable mais limité pour les non-linéarités complexes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 (AutoRegressive Integrated Moving Average)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 : méthode statistique classique traitant les dépendances autorégressives et les moyennes mobiles.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Regressor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[7] : méthode d'ensemble par ensachage d'arbres de décision. Évaluée en mode récursif (où les prédictions alimentent dynamiquement les lags ultérieurs) et en mode direct sur variables calendaires.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[12] : modèle additif décomposable combinant tendance par morceaux, saisonnalité hebdomadaire et calendrier des événements industriels.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quatre indicateurs standards exprimés en pièces physiques par jour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écart absolu moyen entre les cadences observées et prédites.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carrée de l'erreur quadratique moyenne, sensible aux fortes déviations.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pourcentage d'erreur moyen relatif, avec une cible industrielle inférieure à 10 %.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 de variance de la cadence journalière expliquée par le modèle.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comparatifs et évaluation multi-horizons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modèles ont été évalués sur les trois horizons décisionnels de l'usine : 7 jours (ordonnancement hebdomadaire), 15 jours (approvisionnement court terme) et 30 jours (plan de charge mensuel). Les résultats moyens obtenus sur les 6 origines glissantes de test en 2026 sont synthétisés dans le tableau 5.4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500"/>
        <w:gridCol w:w="11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w:t>
            </w:r>
          </w:p>
        </w:tc>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prévision</w:t>
            </w:r>
          </w:p>
        </w:tc>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moyenne (pièces/jour)</w:t>
            </w:r>
          </w:p>
        </w:tc>
        <w:tc>
          <w:tcPr>
            <w:tcW w:type="dxa" w:w="1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moyenne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(Récursif)</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2 645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 (Ajusté)</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3 653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(Direct)</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2 899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4 364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(Récursif)</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2 538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 (Ajusté)</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3 350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(Direct)</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2 913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7,0 %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9,1 %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5 247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(Récursif)</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 (Ajusté)</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(Direct)</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2 798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5 321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w:t>
            </w:r>
          </w:p>
        </w:tc>
      </w:tr>
    </w:tbl>
    <w:p>
      <w:pPr>
        <w:spacing w:after="120" w:before="80"/>
        <w:jc w:val="center"/>
      </w:pPr>
      <w:r>
        <w:rPr>
          <w:rFonts w:ascii="Times New Roman" w:cs="Times New Roman" w:eastAsia="Times New Roman" w:hAnsi="Times New Roman"/>
          <w:i/>
          <w:iCs/>
          <w:color w:val="595959"/>
          <w:sz w:val="20"/>
          <w:szCs w:val="20"/>
        </w:rPr>
        <w:t xml:space="preserve">Tableau 5.4 : Synthèse des performances prédictives moyennes aux horizons 7, 15 et 30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7 et 15 jours, Random Forest Récursif affiche l'erreur moyenne la plus basse (5,9 % et 6,0 % de MAPE), bénéficiant de l'information récente de ses variables retardées. À l'horizon de 30 jours, Random Forest (6,0 %) et Prophet (6,7 %) parviennent à des précisions très proches, l'écart d'erreur moyenne n'étant que de 515 pièces par jour sur une cadence d'atelier d'environ 65 000 pièces/jour. Le test statistique de Diebold-Mariano confirme formellement que cet écart à 30 jours n'est pas statistiquement significatif au seuil de 5 % (p = 0,1891 ≥ 0,05, voir Annexe A pour les détails du test).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trajectoire prévisionnelle de Prophet face à la production réelle d'atelier sur une fenêtre représentative, accompagnée de son fuseau d'incertitude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Trajectoire des prédictions Prophet face à la production réelle d'atelier</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Détection des dérives et anomalies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en continu le fonctionnement des 319 presses et détecter précocement les ralentissements anormaux ou les micro-arrêts non déclarés,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a été calibré sur les données de cadence journalière et de temps de cycle.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5.5 présente l'analyse de sensibilité selon le taux de contamination retenu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contamination</w:t>
            </w:r>
          </w:p>
        </w:tc>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d'anomalies détectées</w:t>
            </w:r>
          </w:p>
        </w:tc>
        <w:tc>
          <w:tcPr>
            <w:tcW w:type="dxa" w:w="3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industrielle</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1 %</w:t>
            </w:r>
          </w:p>
        </w:tc>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anomalies</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Cible uniquement les incidents critiques et pannes franches d'outillage.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5 %</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anomalies</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Identifie les arrêts prolongés et les dérives de cadence significatives.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10 % (Retenu)</w:t>
            </w:r>
          </w:p>
        </w:tc>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anomalies</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Permet une maintenance préventive élargie en signalant les dérives graduelles.</w:t>
            </w:r>
          </w:p>
        </w:tc>
      </w:tr>
    </w:tbl>
    <w:p>
      <w:pPr>
        <w:spacing w:after="120" w:before="80"/>
        <w:jc w:val="center"/>
      </w:pPr>
      <w:r>
        <w:rPr>
          <w:rFonts w:ascii="Times New Roman" w:cs="Times New Roman" w:eastAsia="Times New Roman" w:hAnsi="Times New Roman"/>
          <w:i/>
          <w:iCs/>
          <w:color w:val="595959"/>
          <w:sz w:val="20"/>
          <w:szCs w:val="20"/>
        </w:rPr>
        <w:t xml:space="preserve">Tableau 5.5 : Analyse de sensibilité du modèle 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illustre les points de fonctionnement observés et la frontière de détection établie par Isolation Forest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Détection non supervisée des anomalies de cadence par Isolation Forest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résultats conduit à une organisation claire et complémentaire entre les deux modèles de tête (Tableau 5.6)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Random Forest Récursif</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(Modèle Déployé)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à 30 jours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 de MAPE (2 467 pcs/j)</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 de MAPE (2 982 pcs/j)</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Significativité de l'écart à 30 jours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Référence de comparaison</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significative (p = 0,189)</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Structure du modèle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non linéaire (forêt d'arbres)</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additive explicite (tendance + cycles + arrêts)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au système</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Modèle d'étude et de référence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Précalculé et persisté dans la table ml_production_predictions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Rôle opérationnel dans Nexora</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 d'atelier et recalibrage périodique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Alimentation des tableaux de bord Power BI et de l'interface web</w:t>
            </w:r>
          </w:p>
        </w:tc>
      </w:tr>
    </w:tbl>
    <w:p>
      <w:pPr>
        <w:spacing w:after="120" w:before="80"/>
        <w:jc w:val="center"/>
      </w:pPr>
      <w:r>
        <w:rPr>
          <w:rFonts w:ascii="Times New Roman" w:cs="Times New Roman" w:eastAsia="Times New Roman" w:hAnsi="Times New Roman"/>
          <w:i/>
          <w:iCs/>
          <w:color w:val="595959"/>
          <w:sz w:val="20"/>
          <w:szCs w:val="20"/>
        </w:rPr>
        <w:t xml:space="preserve">Tableau 5.6 : Rôles respectifs des modèles dans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Prophet a été retenu pour le déploiement opérationnel dans la base SQL Server et les écrans de restitution en raison de sa structure explicable (qui permet aux gestionnaires de visualiser la contribution de chaque événement d'atelier) et de sa simplicité d'intégration logicielle. Random Forest constitue le modèle de référence pour les études de précision et le suivi hors-ligne.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5.7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variables explicatives et calendrier d'événements industriels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 Régression, ARIMA, Random Forest et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des hyperparamètres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Partition de validation 2025 disjointe du test 2026</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Performances mesurées à 7, 15 et 30 jours sur 6 origines glissantes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de significativité</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de Diebold-Mariano confirmant l'absence d'écart significatif à 30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Isolation Forest avec analyse de sensibilité (1 %, 5 %, 10 %)</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dans la table ml_production_predictions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5.7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comparative de quatre modèles de séries temporelles sous un protocole d'évaluation par origines glissantes. Les résultats montrent que Random Forest et Prophet atteignent une précision comparable à l'horizon de 30 jours (erreur relative de 6 % à 7 %). Prophet a été retenu pour alimenter les rapports et interfaces de la plateforme en raison de sa décomposition explicable et de son intégration directe dans la base de données. Le chapitre suivant aborde le Sprint 4, consacré à la restitution décisionnelle par Power BI, à l'application web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à l'administrateur de piloter les indicateurs d'atelier, de suivre les prévisions de cadence et d'analyser les risques de rupture. En complément, un portail web opérationnel en React.js [22] et Spring Boot [17] offre à l'opérateur d'atelier une interface de saisie et de consultation des mouvements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renseigner les réceptions et consommations de matière.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consolidée du TRG d'atelier (moyenne observée de 71,4 % [25]), décomposée en taux de disponibilité (88,2 %), de performance (84,5 %) et de qualité (95,8 %).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des motifs d'interruption (défaillances hydrauliques, surchauffe de fourreau, manque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des prévisions Random Forest et Prophet, complétées par les intervalles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moyennes MAPE issues de l'évaluation glissante (environ 6,0 % pour Random Forest et 6,7 % pour Prophet à 30 jours).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380 400 TND pour les 193 références prioritaires).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Supervision de la production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de pilotage du parc machines et d'analyse des composantes du TRG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volumes fabriqués par grande famille de composants plastiques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d'injection par famille de pièces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(trajectoires prédictives et cadrage d'incertitude)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à l'administrateur, la plateforme comprend une application web développée avec React 18.2 [22] côté client et Spring Boot 3.2 [17] côté serveur. Ce portail offre à l'opérateur d'atelier une interface fluide pour consulter les données opérationnelles et enregistrer les mouvements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points d'accès (API REST) exposés par le serveur applicatif s'articule autour des routes suivantes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216"/>
        <w:gridCol w:w="2712"/>
        <w:gridCol w:w="2899"/>
        <w:gridCol w:w="1839"/>
      </w:tblGrid>
      <w:tr>
        <w:trPr>
          <w:tblHeader/>
        </w:trPr>
        <w:tc>
          <w:tcPr>
            <w:tcW w:type="dxa" w:w="121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HTTP</w:t>
            </w:r>
          </w:p>
        </w:tc>
        <w:tc>
          <w:tcPr>
            <w:tcW w:type="dxa" w:w="271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Point d'accès (Endpoint)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183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 autorisé</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/api/auth/login</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avec génération de jeton JWT</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Tous utilisateurs</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 l'inventaire avec filtrage par statut de couverture</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/api/stock/movement</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 d'un mouvement d'entrée, sortie ou rebut matière</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Liste des 319 presses à injecter et statut consolidé dans le DWH</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/api/machines/{id}/status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Détail opérationnel d'une presse et historique de son TRG</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/api/predictions/cadence?horizon=30</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Récupération des prévisions de cadence issues du pipeline IA</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Points d'accès REST de l'application web opérationnelle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FACT_PA et FACT_Mvts_Stocks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fluide,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disponibilité, performance et qualité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d'atelier validées.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multi-horizons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entre les horizons de prévision 7j, 15j et 30j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références à stock nul (47 références distinctes)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193 références prioritaires du catalogue.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380 400 TND calculés dans le module d'approvisionnement.</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démontre la fidélité de la modélisation à l'égard des dynamiques de production réelles, apportant une visibilité prédictive structurée à l'administrateur et aux opérateurs de l'atelier.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50 références en situation de surstock tout en sécurisant les 193 références prioritaires du catalogue (47 ruptures et 146 critiques pour un budget de 380 400 TND), réduisant significativement le risque de blocage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décomposition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multi-horizons (7, 15,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fonctionnels et d'intégration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l'administrateur et l'agilité d'un portail web React / Spring Boot pour l'opérateur en atelier,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assurant le dédoublonnage de 18 337 lignes redondantes et le redressement de 10 types d'anomalies, aboutissant au chargement de 32 043 enregistrements validés dans les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($k=3$) sur le catalogue de 800 références (couvrant 14,31 M TND de valeur annuelle consommée), couplée à une formule de réapprovisionnement à 45 jours qui chiffre l'enveloppe prioritaire des 193 références en risque à environ 380 400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cinq approches d'apprentissage supervisé et de séries temporelles sur des horizons de 7, 15 et 30 jours. Random Forest et Prophet affichent des niveaux de précision comparables et satisfaisants (erreurs MAPE de l'ordre de 6 % à 7 %), Random Forest obtenant les plus faibles écarts moyens et Prophet assurant le déploiement opérationnel grâce à sa robustesse et sa gestion native des composantes calendaires. L'algorithme Isolation Forest permet quant à lui d'identifier automatiquement les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pour le suivi managérial et d'un portail web opérationnel React / Spring Boot pour les équipes d'atelier, validés avec succès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régueur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w0fzc1qnranxzycpau-tn">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dehr5ndtee5mfiugsxpqj">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cvqj3bre05r0bd8ul-b8g">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wyjjstzm7mildarjhuwse">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q-r4mb_v4ny3-hcoswswl">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sa8gs4gtp1kaazbfrfyx9">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5os48gu3eko7xxbxooejb">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2-2resipbdnltipdw5yz8">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ywhkmekjskebi2n9odiog">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pk8j0_ax7eshedxhmcvh2">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[23] C. J. Date, An Introduction to Database Systems, 8e éd. Boston, MA, USA : Addison-Wesley, 2003.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[27] F. X. Diebold et R. S. Mariano, « Comparing Predictive Accuracy », Journal of Business &amp; Economic Statistics, vol. 13, n° 3, p. 253-263, 1995.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[28] G. Shafer et V. Vovk, « A tutorial on conformal prediction », Journal of Machine Learning Research, vol. 9, p. 371-421, 2008.</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Annexe A : Détails méthodologiques et analyses statistiques approfondies</w:t>
      </w:r>
    </w:p>
    <w:p>
      <w:pPr>
        <w:pStyle w:val="Heading2"/>
        <w:spacing w:after="90" w:before="200"/>
        <w:outlineLvl w:val="1"/>
      </w:pPr>
      <w:r>
        <w:rPr>
          <w:rFonts w:ascii="Times New Roman" w:cs="Times New Roman" w:eastAsia="Times New Roman" w:hAnsi="Times New Roman"/>
          <w:b/>
          <w:bCs/>
          <w:color w:val="000000"/>
          <w:sz w:val="28"/>
          <w:szCs w:val="28"/>
        </w:rPr>
        <w:t xml:space="preserve">A.1 Protocole expérimental et prévention des fuites temporelles (Data Leakage)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l'évaluation de modèles tabulaires appliqués à des séries temporelles (comme Random Forest), un risque courant réside dans l'utilisation de valeurs observées futures pour alimenter les variables explicatives retardées (lags) au cours de la période de test (</w:t>
      </w:r>
      <w:r>
        <w:rPr>
          <w:rFonts w:ascii="Times New Roman" w:cs="Times New Roman" w:eastAsia="Times New Roman" w:hAnsi="Times New Roman"/>
          <w:b w:val="false"/>
          <w:bCs w:val="false"/>
          <w:i/>
          <w:iCs/>
          <w:color w:val="1A1A1A"/>
          <w:sz w:val="24"/>
          <w:szCs w:val="24"/>
        </w:rPr>
        <w:t xml:space="preserve">one-step-ahead teacher forcing</w:t>
      </w:r>
      <w:r>
        <w:rPr>
          <w:rFonts w:ascii="Times New Roman" w:cs="Times New Roman" w:eastAsia="Times New Roman" w:hAnsi="Times New Roman"/>
          <w:b w:val="false"/>
          <w:bCs w:val="false"/>
          <w:i w:val="false"/>
          <w:iCs w:val="false"/>
          <w:color w:val="1A1A1A"/>
          <w:sz w:val="24"/>
          <w:szCs w:val="24"/>
        </w:rPr>
        <w:t xml:space="preserve">). Ce procédé introduit un biais d'anticipation qui fausse l'estimation des performances réelles en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écarter tout risque de fuite d'information, deux principes stricts ont été mis en œuvre dans ce projet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Simulation récursive multi-pas (Multi-Step Recursive Forecasting)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les horizons de 7, 15 et 30 jours, les valeurs prédites aux pas $t+1, t+2, \dots$ sont réinjectées dynamiquement comme entrées décalées pour les pas suivants, sans jamais recourir aux données observées au-delà de la date d'origine.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Estimation étanche des facteurs d'événements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coefficients d'impact des événements calendaires d'atelier (congés d'été : 0,635, pic de fin de trimestre : 1,361, maintenance de janvier : 0,383, Ramadan : 0,874) sont appris exclusivement sur la tranche d'apprentissage précédant chaque date de coupure.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A.2 Résultats complets par horizon avec écarts-types sur 6 origines glissantes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A.1, A.2 et A.3 détaillent les moyennes et écarts-types des quatre métriques (MAE, RMSE, MAPE, R²) obtenus sur les 6 fenêtres de test glissantes en 2026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7 jours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63"/>
        <w:gridCol w:w="1648"/>
        <w:gridCol w:w="1648"/>
        <w:gridCol w:w="1282"/>
        <w:gridCol w:w="1525"/>
      </w:tblGrid>
      <w:tr>
        <w:trPr>
          <w:tblHeader/>
        </w:trPr>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28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5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2 645,2 ± 392,1</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3 235,1 ± 536,4</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 1,5 %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0,9782 ± 0,0087</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3 652,9 ± 1 356,4</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4 273,2 ± 1 235,1</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 2,8 %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0,9613 ± 0,0229</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2 899,1 ± 484,8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3 578,4 ± 505,2</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 1,4 %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0,9728 ± 0,0109</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3 734,4 ± 1 338,3</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4 870,1 ± 1 782,4</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 1,5 %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0,9495 ± 0,0301</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4 364,1 ± 2 533,1</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5 481,2 ± 2 852,1</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 4,7 %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0,9428 ± 0,0511</w:t>
            </w:r>
          </w:p>
        </w:tc>
      </w:tr>
    </w:tbl>
    <w:p>
      <w:pPr>
        <w:spacing w:after="120" w:before="80"/>
        <w:jc w:val="center"/>
      </w:pPr>
      <w:r>
        <w:rPr>
          <w:rFonts w:ascii="Times New Roman" w:cs="Times New Roman" w:eastAsia="Times New Roman" w:hAnsi="Times New Roman"/>
          <w:i/>
          <w:iCs/>
          <w:color w:val="595959"/>
          <w:sz w:val="20"/>
          <w:szCs w:val="20"/>
        </w:rPr>
        <w:t xml:space="preserve">Tableau A.1 : Performances détaillées à l'horizon 7 jours (Moyenne ± Écart-type)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15 jours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63"/>
        <w:gridCol w:w="1648"/>
        <w:gridCol w:w="1648"/>
        <w:gridCol w:w="1282"/>
        <w:gridCol w:w="1525"/>
      </w:tblGrid>
      <w:tr>
        <w:trPr>
          <w:tblHeader/>
        </w:trPr>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28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5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2 538,2 ± 262,8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3 296,1 ± 349,2</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 0,8 %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0,9766 ± 0,0060</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3 350,4 ± 1 241,3</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3 944,2 ± 995,1</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 1,5 %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0,9637 ± 0,0135</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2 913,0 ± 319,8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3 706,3 ± 389,1</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7,0 ± 1,6 %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0,9697 ± 0,0106</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4 413,4 ± 877,9</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5 900,2 ± 1 253,3</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9,1 ± 1,3 %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0,9277 ± 0,0183</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5 247,4 ± 3 087,0</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5 972,1 ± 3 293,4</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 ± 6,0 %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0,9105 ± 0,0839</w:t>
            </w:r>
          </w:p>
        </w:tc>
      </w:tr>
    </w:tbl>
    <w:p>
      <w:pPr>
        <w:spacing w:after="120" w:before="80"/>
        <w:jc w:val="center"/>
      </w:pPr>
      <w:r>
        <w:rPr>
          <w:rFonts w:ascii="Times New Roman" w:cs="Times New Roman" w:eastAsia="Times New Roman" w:hAnsi="Times New Roman"/>
          <w:i/>
          <w:iCs/>
          <w:color w:val="595959"/>
          <w:sz w:val="20"/>
          <w:szCs w:val="20"/>
        </w:rPr>
        <w:t xml:space="preserve">Tableau A.2 : Performances détaillées à l'horizon 15 jours (Moyenne ± Écart-type)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30 jours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63"/>
        <w:gridCol w:w="1648"/>
        <w:gridCol w:w="1648"/>
        <w:gridCol w:w="1282"/>
        <w:gridCol w:w="1525"/>
      </w:tblGrid>
      <w:tr>
        <w:trPr>
          <w:tblHeader/>
        </w:trPr>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28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5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2 467,4 ± 206,8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3 195,9 ± 266,8</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 0,6 %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0,9798 ± 0,0037</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2 982,4 ± 768,8</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3 897,3 ± 1 029,1</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 1,0 %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0,9707 ± 0,0097</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2 797,9 ± 236,1</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3 581,5 ± 285,7</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 1,3 %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0,9743 ± 0,0063</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4 678,9 ± 936,1</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6 097,5 ± 1 226,2</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 1,3 %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0,9271 ± 0,0231</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5 320,8 ± 2 785,2</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6 147,9 ± 2 870,3</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 5,6 %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0,9082 ± 0,0821</w:t>
            </w:r>
          </w:p>
        </w:tc>
      </w:tr>
    </w:tbl>
    <w:p>
      <w:pPr>
        <w:spacing w:after="120" w:before="80"/>
        <w:jc w:val="center"/>
      </w:pPr>
      <w:r>
        <w:rPr>
          <w:rFonts w:ascii="Times New Roman" w:cs="Times New Roman" w:eastAsia="Times New Roman" w:hAnsi="Times New Roman"/>
          <w:i/>
          <w:iCs/>
          <w:color w:val="595959"/>
          <w:sz w:val="20"/>
          <w:szCs w:val="20"/>
        </w:rPr>
        <w:t xml:space="preserve">Tableau A.3 : Performances détaillées à l'horizon 30 jours (Moyenne ± Écart-type)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A.3 Test formel de Diebold-Mariano avec variance HAC</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test statistique de Diebold-Mariano (avec correction de Harvey-Leybourne-Newbold pour petits échantillons) évalue l'hypothèse nulle d'égalité des performances prédictives entre Random Forest et Prophet. Le chevauchement partiel des fenêtres d'évaluation glissante introduit une autocorrélation entre erreurs de prévision consécutives. La variance du différentiel de perte est donc corrigée par un estimateur HAC (</w:t>
      </w:r>
      <w:r>
        <w:rPr>
          <w:rFonts w:ascii="Times New Roman" w:cs="Times New Roman" w:eastAsia="Times New Roman" w:hAnsi="Times New Roman"/>
          <w:b w:val="false"/>
          <w:bCs w:val="false"/>
          <w:i/>
          <w:iCs/>
          <w:color w:val="1A1A1A"/>
          <w:sz w:val="24"/>
          <w:szCs w:val="24"/>
        </w:rPr>
        <w:t xml:space="preserve">Heteroskedasticity and Autocorrelation Consistent</w:t>
      </w:r>
      <w:r>
        <w:rPr>
          <w:rFonts w:ascii="Times New Roman" w:cs="Times New Roman" w:eastAsia="Times New Roman" w:hAnsi="Times New Roman"/>
          <w:b w:val="false"/>
          <w:bCs w:val="false"/>
          <w:i w:val="false"/>
          <w:iCs w:val="false"/>
          <w:color w:val="1A1A1A"/>
          <w:sz w:val="24"/>
          <w:szCs w:val="24"/>
        </w:rPr>
        <w:t xml:space="preserve">) utilisant un noyau de Bartlett jusqu'au retard $h-1$ (Tableau A.4)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18"/>
        <w:gridCol w:w="1513"/>
        <w:gridCol w:w="1324"/>
        <w:gridCol w:w="1040"/>
        <w:gridCol w:w="1418"/>
        <w:gridCol w:w="1953"/>
      </w:tblGrid>
      <w:tr>
        <w:trPr>
          <w:tblHeader/>
        </w:trPr>
        <w:tc>
          <w:tcPr>
            <w:tcW w:type="dxa" w:w="14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51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Différence moyenne MAE (RF - Prophet)</w:t>
            </w:r>
          </w:p>
        </w:tc>
        <w:tc>
          <w:tcPr>
            <w:tcW w:type="dxa" w:w="132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Statistique DM HAC (HLN)</w:t>
            </w:r>
          </w:p>
        </w:tc>
        <w:tc>
          <w:tcPr>
            <w:tcW w:type="dxa" w:w="104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p-value HAC</w:t>
            </w:r>
          </w:p>
        </w:tc>
        <w:tc>
          <w:tcPr>
            <w:tcW w:type="dxa" w:w="14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 t apparié (df = 5)</w:t>
            </w:r>
          </w:p>
        </w:tc>
        <w:tc>
          <w:tcPr>
            <w:tcW w:type="dxa" w:w="195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Conclusion (seuil α = 5 %)</w:t>
            </w:r>
          </w:p>
        </w:tc>
      </w:tr>
      <w:tr>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-1 007,7 pièces/jour</w:t>
            </w:r>
          </w:p>
        </w:tc>
        <w:tc>
          <w:tcPr>
            <w:tcW w:type="dxa" w:w="132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-1,461</w:t>
            </w:r>
          </w:p>
        </w:tc>
        <w:tc>
          <w:tcPr>
            <w:tcW w:type="dxa" w:w="10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0,1517</w:t>
            </w:r>
          </w:p>
        </w:tc>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-1,657 (p = 0,1583)</w:t>
            </w:r>
          </w:p>
        </w:tc>
        <w:tc>
          <w:tcPr>
            <w:tcW w:type="dxa" w:w="195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statistiquement significative</w:t>
            </w:r>
          </w:p>
        </w:tc>
      </w:tr>
      <w:tr>
        <w:tc>
          <w:tcPr>
            <w:tcW w:type="dxa" w:w="14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51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-812,2 pièces/jour</w:t>
            </w:r>
          </w:p>
        </w:tc>
        <w:tc>
          <w:tcPr>
            <w:tcW w:type="dxa" w:w="13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-1,586</w:t>
            </w:r>
          </w:p>
        </w:tc>
        <w:tc>
          <w:tcPr>
            <w:tcW w:type="dxa" w:w="104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0,1163</w:t>
            </w:r>
          </w:p>
        </w:tc>
        <w:tc>
          <w:tcPr>
            <w:tcW w:type="dxa" w:w="14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-1,727 (p = 0,1447)</w:t>
            </w:r>
          </w:p>
        </w:tc>
        <w:tc>
          <w:tcPr>
            <w:tcW w:type="dxa" w:w="195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statistiquement significative</w:t>
            </w:r>
          </w:p>
        </w:tc>
      </w:tr>
      <w:tr>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-515,0 pièces/jour</w:t>
            </w:r>
          </w:p>
        </w:tc>
        <w:tc>
          <w:tcPr>
            <w:tcW w:type="dxa" w:w="132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-1,318</w:t>
            </w:r>
          </w:p>
        </w:tc>
        <w:tc>
          <w:tcPr>
            <w:tcW w:type="dxa" w:w="10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0,1891</w:t>
            </w:r>
          </w:p>
        </w:tc>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-1,783 (p = 0,1347)</w:t>
            </w:r>
          </w:p>
        </w:tc>
        <w:tc>
          <w:tcPr>
            <w:tcW w:type="dxa" w:w="195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statistiquement significative</w:t>
            </w:r>
          </w:p>
        </w:tc>
      </w:tr>
    </w:tbl>
    <w:p>
      <w:pPr>
        <w:spacing w:after="120" w:before="80"/>
        <w:jc w:val="center"/>
      </w:pPr>
      <w:r>
        <w:rPr>
          <w:rFonts w:ascii="Times New Roman" w:cs="Times New Roman" w:eastAsia="Times New Roman" w:hAnsi="Times New Roman"/>
          <w:i/>
          <w:iCs/>
          <w:color w:val="595959"/>
          <w:sz w:val="20"/>
          <w:szCs w:val="20"/>
        </w:rPr>
        <w:t xml:space="preserve">Tableau A.4 : Tests de significativité statistique de Diebold-Mariano avec variance HAC</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Aux trois horizons, les p-values sont supérieures à 0,05. L'écart ponctuel observé entre Random Forest et Prophet ne permet donc pas de rejeter l'hypothèse d'équivalence statistique.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A.4 Analyse des intervalles d'incertitude : Prophet et Prédiction Conforme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quantifier l'incertitude des prévisions, deux méthodologies ont été comparées : les intervalles paramétriques natifs de Prophet et les intervalles non paramétriques issus de la prédiction conforme (</w:t>
      </w:r>
      <w:r>
        <w:rPr>
          <w:rFonts w:ascii="Times New Roman" w:cs="Times New Roman" w:eastAsia="Times New Roman" w:hAnsi="Times New Roman"/>
          <w:b w:val="false"/>
          <w:bCs w:val="false"/>
          <w:i/>
          <w:iCs/>
          <w:color w:val="1A1A1A"/>
          <w:sz w:val="24"/>
          <w:szCs w:val="24"/>
        </w:rPr>
        <w:t xml:space="preserve">Conformal Prediction</w:t>
      </w:r>
      <w:r>
        <w:rPr>
          <w:rFonts w:ascii="Times New Roman" w:cs="Times New Roman" w:eastAsia="Times New Roman" w:hAnsi="Times New Roman"/>
          <w:b w:val="false"/>
          <w:bCs w:val="false"/>
          <w:i w:val="false"/>
          <w:iCs w:val="false"/>
          <w:color w:val="1A1A1A"/>
          <w:sz w:val="24"/>
          <w:szCs w:val="24"/>
        </w:rPr>
        <w:t xml:space="preserve">) [27] appliquée à Random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marge conforme au niveau de confiance nominal de 95 % est calibrée sur les résidus absolus de la partition de validation 2025 selon la formule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q_0.95 = Quantile_0.95 (|y_vrai - y_pred|)</w:t>
      </w:r>
      <w:r>
        <w:rPr>
          <w:rFonts w:ascii="Times New Roman" w:cs="Times New Roman" w:eastAsia="Times New Roman" w:hAnsi="Times New Roman"/>
          <w:b w:val="false"/>
          <w:bCs w:val="false"/>
          <w:i/>
          <w:iCs/>
          <w:color w:val="1A1A1A"/>
          <w:sz w:val="24"/>
          <w:szCs w:val="24"/>
        </w:rPr>
        <w:t xml:space="preserve"> = ± 7 540 pièces/jour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A.5 compare côte à côte la couverture empirique réelle et la largeur moyenne du fuseau obtenu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13"/>
        <w:gridCol w:w="1891"/>
        <w:gridCol w:w="1702"/>
        <w:gridCol w:w="1891"/>
        <w:gridCol w:w="1670"/>
      </w:tblGrid>
      <w:tr>
        <w:trPr>
          <w:tblHeader/>
        </w:trPr>
        <w:tc>
          <w:tcPr>
            <w:tcW w:type="dxa" w:w="151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89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 Couverture empirique (Nominal 95 %)</w:t>
            </w:r>
          </w:p>
        </w:tc>
        <w:tc>
          <w:tcPr>
            <w:tcW w:type="dxa" w:w="170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 Largeur moyenne du fuseau</w:t>
            </w:r>
          </w:p>
        </w:tc>
        <w:tc>
          <w:tcPr>
            <w:tcW w:type="dxa" w:w="189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RF + Conformal : Couverture empirique (Nominal 95 %)</w:t>
            </w:r>
          </w:p>
        </w:tc>
        <w:tc>
          <w:tcPr>
            <w:tcW w:type="dxa" w:w="16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RF + Conformal : Largeur moyenne du fuseau</w:t>
            </w:r>
          </w:p>
        </w:tc>
      </w:tr>
      <w:tr>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39 996 pièces/jour</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97,6 % (calibré)</w:t>
            </w:r>
          </w:p>
        </w:tc>
        <w:tc>
          <w:tcPr>
            <w:tcW w:type="dxa" w:w="16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15 080 pièces/jour</w:t>
            </w:r>
          </w:p>
        </w:tc>
      </w:tr>
      <w:tr>
        <w:tc>
          <w:tcPr>
            <w:tcW w:type="dxa" w:w="151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89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40 853 pièces/jour</w:t>
            </w:r>
          </w:p>
        </w:tc>
        <w:tc>
          <w:tcPr>
            <w:tcW w:type="dxa" w:w="189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96,7 % (calibré)</w:t>
            </w:r>
          </w:p>
        </w:tc>
        <w:tc>
          <w:tcPr>
            <w:tcW w:type="dxa" w:w="16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15 080 pièces/jour</w:t>
            </w:r>
          </w:p>
        </w:tc>
      </w:tr>
      <w:tr>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42 122 pièces/jour</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97,8 % (calibré)</w:t>
            </w:r>
          </w:p>
        </w:tc>
        <w:tc>
          <w:tcPr>
            <w:tcW w:type="dxa" w:w="16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15 080 pièces/jour</w:t>
            </w:r>
          </w:p>
        </w:tc>
      </w:tr>
    </w:tbl>
    <w:p>
      <w:pPr>
        <w:spacing w:after="120" w:before="80"/>
        <w:jc w:val="center"/>
      </w:pPr>
      <w:r>
        <w:rPr>
          <w:rFonts w:ascii="Times New Roman" w:cs="Times New Roman" w:eastAsia="Times New Roman" w:hAnsi="Times New Roman"/>
          <w:i/>
          <w:iCs/>
          <w:color w:val="595959"/>
          <w:sz w:val="20"/>
          <w:szCs w:val="20"/>
        </w:rPr>
        <w:t xml:space="preserve">Tableau A.5 : Comparaison de la qualité des intervalles d'incertitude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comparaison montre que la prédiction conforme génère des fuseaux plus informatifs (environ 2,8 fois plus resserrés) tout en respectant la couverture cible de 95 %. Ce résultat confirme que le choix de Prophet pour le déploiement en production ne repose pas sur une supériorité de ses intervalles, mais sur sa structure explicative et sa facilité de mise en œuvre.</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w0fzc1qnranxzycpau-tn" Type="http://schemas.openxmlformats.org/officeDocument/2006/relationships/hyperlink" Target="https://scrumguides.org" TargetMode="External"/><Relationship Id="rIddehr5ndtee5mfiugsxpqj" Type="http://schemas.openxmlformats.org/officeDocument/2006/relationships/hyperlink" Target="https://otexts.com/fpp3/" TargetMode="External"/><Relationship Id="rIdcvqj3bre05r0bd8ul-b8g" Type="http://schemas.openxmlformats.org/officeDocument/2006/relationships/hyperlink" Target="https://scikit-learn.org" TargetMode="External"/><Relationship Id="rIdwyjjstzm7mildarjhuwse" Type="http://schemas.openxmlformats.org/officeDocument/2006/relationships/hyperlink" Target="https://peerj.com/preprints/3190/" TargetMode="External"/><Relationship Id="rIdq-r4mb_v4ny3-hcoswswl" Type="http://schemas.openxmlformats.org/officeDocument/2006/relationships/hyperlink" Target="https://learn.microsoft.com/sql/sql-server/" TargetMode="External"/><Relationship Id="rIdsa8gs4gtp1kaazbfrfyx9" Type="http://schemas.openxmlformats.org/officeDocument/2006/relationships/hyperlink" Target="https://spring.io/projects/spring-boot" TargetMode="External"/><Relationship Id="rId5os48gu3eko7xxbxooejb" Type="http://schemas.openxmlformats.org/officeDocument/2006/relationships/hyperlink" Target="https://docs.python.org/3/" TargetMode="External"/><Relationship Id="rId2-2resipbdnltipdw5yz8" Type="http://schemas.openxmlformats.org/officeDocument/2006/relationships/hyperlink" Target="https://pandas.pydata.org" TargetMode="External"/><Relationship Id="rIdywhkmekjskebi2n9odiog" Type="http://schemas.openxmlformats.org/officeDocument/2006/relationships/hyperlink" Target="https://fastapi.tiangolo.com" TargetMode="External"/><Relationship Id="rIdpk8j0_ax7eshedxhmcvh2" Type="http://schemas.openxmlformats.org/officeDocument/2006/relationships/hyperlink" Target="https://react.dev" TargetMode="External"/><Relationship Id="rId12" Type="http://schemas.openxmlformats.org/officeDocument/2006/relationships/image" Target="media/b289f7d2d4f5f6249107ab663b8b78463ef567e9.undefined"/><Relationship Id="rId13" Type="http://schemas.openxmlformats.org/officeDocument/2006/relationships/image" Target="media/a9b6ab7ec699fbf18963012655e4c70807d1d15b.undefined"/><Relationship Id="rId14" Type="http://schemas.openxmlformats.org/officeDocument/2006/relationships/image" Target="media/fe65776b946ee3e30970a2bc3cb6200c43a2998d.undefined"/><Relationship Id="rId15" Type="http://schemas.openxmlformats.org/officeDocument/2006/relationships/image" Target="media/0449bf9882443a38f9bc2eee45ad0d3847bb4ed6.undefined"/><Relationship Id="rId16" Type="http://schemas.openxmlformats.org/officeDocument/2006/relationships/image" Target="media/9dd5e9a114f13b358237690766cdee9a567c75b1.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9b496e11d3e4f3dc9c436666137e1c1202a4b326.undefined"/><Relationship Id="rId22" Type="http://schemas.openxmlformats.org/officeDocument/2006/relationships/image" Target="media/29eab15b508796fda56310ab1fd4247ec2f9abfc.undefined"/><Relationship Id="rId23" Type="http://schemas.openxmlformats.org/officeDocument/2006/relationships/image" Target="media/7dcac106dd0380f6fdddd705c97214d084435c4f.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0f9b90691e1da56860c340484bfe6914998710b7.undefined"/><Relationship Id="rId27" Type="http://schemas.openxmlformats.org/officeDocument/2006/relationships/image" Target="media/41df4d92b252b4bce3b5b62ac18dbf31d45d179a.undefined"/><Relationship Id="rId28" Type="http://schemas.openxmlformats.org/officeDocument/2006/relationships/image" Target="media/1bda744f00ceec9883ada0d8de1f5d14ed61980b.undefined"/><Relationship Id="rId29" Type="http://schemas.openxmlformats.org/officeDocument/2006/relationships/image" Target="media/b641cd8f12a5c67fc8f2f31e8a7d67dfb8abc697.undefined"/><Relationship Id="rId30" Type="http://schemas.openxmlformats.org/officeDocument/2006/relationships/image" Target="media/428a79ecf1a0a34e6ecffb25eb9842d41908ed02.undefined"/><Relationship Id="rId31" Type="http://schemas.openxmlformats.org/officeDocument/2006/relationships/image" Target="media/8c708147d14e9ec5b2be76716f78f333281e56b0.undefined"/><Relationship Id="rId32" Type="http://schemas.openxmlformats.org/officeDocument/2006/relationships/image" Target="media/cba26c094fbe5b08ef4d221b1fae292cd61a09a4.undefined"/><Relationship Id="rId33" Type="http://schemas.openxmlformats.org/officeDocument/2006/relationships/image" Target="media/bb726fb00b88dbd789eb9d2095f5e1a5a7bb4a17.undefined"/><Relationship Id="rId34" Type="http://schemas.openxmlformats.org/officeDocument/2006/relationships/image" Target="media/1f6b12816366a554e68e0178d422a85b2fba1d52.undefined"/><Relationship Id="rId35" Type="http://schemas.openxmlformats.org/officeDocument/2006/relationships/image" Target="media/d2bf30fde46232fea397ab878acb4d0c6813c315.undefined"/><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2026-10-04T00:19:37.262Z</dcterms:created>
  <dcterms:modified xsi:type="dcterms:W3CDTF">2026-10-04T00:19:37.266Z</dcterms:modified>
</cp:coreProperties>
</file>

<file path=docProps/custom.xml><?xml version="1.0" encoding="utf-8"?>
<Properties xmlns="http://schemas.openxmlformats.org/officeDocument/2006/custom-properties" xmlns:vt="http://schemas.openxmlformats.org/officeDocument/2006/docPropsVTypes"/>
</file>