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ectPr>
          <w:headerReference w:type="default" r:id="rId7"/>
          <w:footerReference w:type="default" r:id="rId8"/>
          <w:pgSz w:w="11906" w:h="16838" w:orient="portrait"/>
          <w:pgMar w:top="1440" w:right="1440" w:bottom="1440" w:left="1800" w:header="708" w:footer="708" w:gutter="0"/>
          <w:pgNumType/>
          <w:docGrid w:linePitch="360"/>
        </w:sectPr>
      </w:pP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DÉDICACE</w:t>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très chers parents,</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Aucun hommage ne saurait exprimer l'immensité de l'amour, des sacrifices et de la bienveillance dont vous ne cessez de m'entourer. Que Dieu vous accorde santé, quiétude et longue vie. Je vous dédie ce travail en témoignage d'une infinie reconnaissance et d'une affection indéfectible.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ma sœur, mon frère,</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Pour votre soutien constant, vos encouragements chaleureux et votre présence réconfortante à chaque étape de mon cursus. Je vous souhaite un avenir resplendissant, couronné de succès et de félicité.</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chers amis et camarades de promotion,</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Avec qui j'ai partagé les moments de doute, les défis intellectuels et les joies de la réussite. Votre esprit d'équipe et votre fidélité ont rendu ce parcours mémorable.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tous ceux qui me sont chers, merci.</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REMERCIEMENTS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 d'abord, je remercie Allah le Tout-Puissant de m'avoir accordé la force, la patience et la persévérance nécessaires pour mener à bien ce travail de fin d'études.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exprimer ma profonde gratitude à mon encadrant universitaire pour ses précieux conseils, sa rigueur scientifique et sa disponibilité exemplaire tout au long de ce projet. Sa clairvoyance et la qualité de ses orientations ont grandement contribué à la structuration et à l'aboutissement de ce mémoire.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J'adresse également mes plus vifs remerciements à mon encadrant en entreprise pour son encadrement technique rigoureux, son écoute bienveillante et ses retours critiques hautement formateurs. Son accompagnement lors de l'intégration des flux de production et des architectures de données a été déterminant.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J'exprime toute ma reconnaissance aux membres du jury pour l'honneur qu'ils me font en acceptant d'évaluer ce travail de recherche et d'ingénierie logicielle.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remercier chaleureusement la Faculté des Sciences de Monastir, ainsi que l'ensemble du corps professoral du Master Data Science, pour la qualité de l'enseignement dispensé durant ces deux années de formation d'excellence.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Mes remerciements s'étendent enfin aux équipes d'ingénierie et d'atelier des sites industriels de Kondar, Sousse et Brno pour leur accueil et leur collaboration précieuse lors des phases de recueil des besoins et de validation terrain.</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RÉSUMÉ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concurrentiel de la plasturgie automobile (équipementier Tier-1), la maîtrise des cadences de fabrication et la gestion proactive des approvisionnements de matières premières constituent des leviers déterminants de rentabilité. Face à la dispersion des données d'atelier issues de 319 presses à injecter réparties sur trois sites industriels (Kondar et Sousse en Tunisie, Brno en République Tchèque), ce projet de fin d'études présente la conception et le déploiement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plateforme décisionnelle et opérationnelle d'aide au pilotage industriel.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Alimentée par un entrepôt de données (Data Warehouse) sous Microsoft SQL Server consolidant 32 043 enregistrements validés après assainissement par un pipeline ETL automatisé (schéma en étoile), la solution s'articule autour de trois modules complémentaires : un module prédictif comparant quatre modèles d'apprentissage automatique et de séries temporelles (Régression Linéaire, ARIMA, Random Forest et Prophet), où Random Forest et Prophet atteignent tous deux une précision moyenne satisfaisante (erreurs MAPE d'environ 6 % à 7 %), Random Forest offrant une précision ponctuelle élevée et Prophet assurant le déploiement opérationnel grâce à sa modélisation native des composantes calendaires et son intégration directe dans la base de données ; un module de détection non supervisée des anomalies de cadence par Isolation Forest ; un module de gestion des stocks structuré par une segmentation multicritère Pareto ABC / K-Means et une règle de réapprovisionnement à horizon cible de 45 jours chiffrant l'enveloppe prioritaire pour 193 références en risque à environ 380 400 TND (sur un catalogue totalisant 14,31 M TND de valeur annuelle consommée) ; et une restitution adaptée aux rôles de l'entreprise via des tableaux de bord interactifs Microsoft Power BI pour le management et un portail web opérationnel React / Spring Boot pour les équipes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a été validée par des scénarios de test fonctionnels et d'intégration, apportant une visibilité structurée sur le Taux de Rendement Global (TRG moyen de 71,4 %) et sécurisant l'approvisionnement des lignes d'assemblage.</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Mots-clés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Système décisionnel, Industrie 4.0, Plasturgie Automobile, Taux de Rendement Global (TRG), Séries Temporelles, Random Forest, Prophet, Isolation Forest, K-Means, Pipeline ETL, Data Warehouse, SQL Server, Power BI, Spring Boot, React.js.</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ABSTRACT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In the highly demanding automotive plastics manufacturing sector (Tier-1 supplier), controlling production throughput and proactively managing raw material replenishment are decisive factors for operational efficiency. Addressing data dispersion across 319 injection moulding machines located across three industrial plants (Kondar and Sousse in Tunisia, Brno in the Czech Republic), this Master's thesis presents the design and deployment of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an intelligent decision-support and operational platform.</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Built upon a Microsoft SQL Server Data Warehouse consolidating 32,043 validated inventory and transaction records structured in a star schema after automated ETL sanitization, the platform integrates three core modules: a forecasting engine evaluating four machine learning and time series models (Linear Regression, ARIMA, Random Forest, and Prophet), in which Random Forest and Prophet both achieve competitive average accuracy (~6% to 7% MAPE), with Random Forest providing high point precision and Prophet deployed in production for its explainability and native handling of industrial calendar effects; an unsupervised anomaly detection module using Isolation Forest; an intelligent inventory management module based on Pareto ABC / K-Means multi-criteria segmentation and a 45-day replenishment formula budgeting 193 critical references at approximately 380,400 TND (out of a catalog accounting for 14.31 M TND in annual consumption); and a dual-interface architecture featuring interactive Microsoft Power BI dashboards for executive monitoring and a reactive React / Spring Boot web portal for shop-floor operators.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The platform has been validated through functional and integration test scenarios, delivering structured visibility over Overall Equipment Effectiveness (mean OEE of 71.4%) and securing material availability for manufacturing lines.</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Keywords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Decision Support System, Industry 4.0, Automotive Plastics, Overall Equipment Effectiveness (OEE), Time Series Forecasting, Random Forest, Prophet, Isolation Forest, K-Means, ETL Pipeline, Data Warehouse, SQL Server, Power BI, Spring Boot, React.js.</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MATIÈRES</w:t>
      </w:r>
    </w:p>
    <w:p>
      <w:pPr>
        <w:tabs>
          <w:tab w:val="right" w:pos="8666" w:leader="dot"/>
        </w:tabs>
        <w:spacing w:after="50" w:before="140"/>
        <w:ind w:left="0"/>
      </w:pPr>
      <w:r>
        <w:rPr>
          <w:rFonts w:ascii="Times New Roman" w:cs="Times New Roman" w:eastAsia="Times New Roman" w:hAnsi="Times New Roman"/>
          <w:b/>
          <w:bCs/>
          <w:sz w:val="24"/>
          <w:szCs w:val="24"/>
        </w:rPr>
        <w:t xml:space="preserve">Introduction générale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1 Contexte et cadre du projet</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1.2 Contexte académique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1.3 Présentation de l'organisme d'accueil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1.3.1 Présentation de l'entreprise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1.3.2 Domaines d'activité et contexte client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1.4 Présentation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1.4.1 Présentation générale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1.4.2 Fonctionnalités principales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1.4.3 Limites de la situation actuelle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1.5 Présentation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1.5.1 Contexte et problématique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1.5.2 Étude de l'existant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1.5.3 Solution proposée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1.6 Workflow complet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1.7 Méthodologie de développement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1.7.1 Étude comparative des méthodes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1.7.2 Choix méthodologique :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1.7.3 Organisation des rôles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1.7.4 Product Backlog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1.7.5 Planification des sprints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1.8 Langage de modélisation UML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2 Sprint 0 : Analyse des besoins et Conception du Système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2.2 Spécification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2.2.1 Besoins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2.2.2 Besoins non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2.3 Analyse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2.3.1 Identification des acteurs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2.3.2 Diagramme des cas d'utilisation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2.4 Architecture globale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2.5 Environnement de travail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2.5.1 Environnement matériel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2.5.2 Environnement logiciel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2.6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22</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3 Sprint 1 : Prétraitement des données, assainissement de la qualité et pipeline ETL</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23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3.2 Backlog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3.3 Présentation des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3.3.1 Source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3.3.2 Description des tables principales du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3.3.3 Modélisation dimensionnelle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3.4 Analyse exploratoire des données (EDA)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3.4.1 Analyse statistique de la production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3.4.2 Visualisation des séries temporelles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3.5 Conception et réalisation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3.5.1 Architecture du pipeline ETL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3.5.2 Extraction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3.5.3 Transformation et traitement des anomalies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3.5.4 Chargement dans le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3.6 Résultats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3.7 Bilan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4 Sprint 2 : Développement du module de gestion intelligente des stocks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4.2 Backlog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4.3 Architecture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4.4 Analyse des niveaux de stock et indicateurs de rotation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4.5 Classification et segmentation des produits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4.5.1 Segmentation multicritère Pareto ABC et Clustering K-Means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4.5.2 Classification opérationnelle par niveau de risque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4.6 Génération des recommandations et chiffrage budgétaire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4.6.1 Algorithme de réapprovisionnement à horizon cible de 45 jours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4.6.2 Estimation du budget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4.6.3 Hiérarchisation des alertes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4.7 Résultats obtenus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4.8 Bilan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5 Sprint 3 : Modélisation prédictive par Intelligence Artificielle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5.2 Backlog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5.3 Architecture du module de modélisation prédictive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5.4 Préparation des données et variables explicatives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5.4.1 Variable cible et transformation logarithmique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5.4.2 Variables explicatives et facteurs d'événements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5.4.3 Découpage chronologique du jeu de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5.5 Métriques d'évaluation de la performance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5.6 Développement des modèles d'intelligence artificielle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5.6.1 Régression Linéaire Multiple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5.6.2 Modèle ARIMA</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5.6.3 Modèle Random Forest Regressor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5.6.4 Modèle Prophet (Meta)</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5.7 Résultats comparatifs et évaluation multi-horizons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5.8 Détection des anomalies par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5.9 Rôles respectifs des modèles dans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5.10 Bilan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5.11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6 Sprint 4 : Développement du tableau de bord décisionnel et validation</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6.2 Backlog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6.3 Architecture du tableau de bord et intégration applicative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6.4 Diagramme de séquence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6.5 Conception des rapports décisionnels Power BI</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6.5.1 Tableau de bord de supervision et TRG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6.5.2 Tableau de bord des prévisions de cadence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6.5.3 Tableau de bord de gestion des stocks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6.6 Présentation des interfaces réalisées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6.6.1 Tableau de bord principal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6.6.2 Supervision de la production et TRG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6.6.3 Prévisions de cadence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6.6.4 Pilotage des stocks et alertes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6.6.5 Portail web opérationnel React &amp; Spring Boot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6.7 Tests et validation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6.7.1 Tests fonctionnels et d'intégration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6.7.2 Validation des prévisions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6.7.3 Validation des règles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6.8 Bilan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Conclusion générale et perspectives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69</w:t>
      </w:r>
    </w:p>
    <w:p>
      <w:pPr>
        <w:tabs>
          <w:tab w:val="right" w:pos="8666" w:leader="dot"/>
        </w:tabs>
        <w:spacing w:after="50" w:before="140"/>
        <w:ind w:left="0"/>
      </w:pPr>
      <w:r>
        <w:rPr>
          <w:rFonts w:ascii="Times New Roman" w:cs="Times New Roman" w:eastAsia="Times New Roman" w:hAnsi="Times New Roman"/>
          <w:b/>
          <w:bCs/>
          <w:sz w:val="24"/>
          <w:szCs w:val="24"/>
        </w:rPr>
        <w:t xml:space="preserve">Bibliographie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72</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FIGURES</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1.1 : Logo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1.2 : Workflow complet du système décisionnel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1.3 : Cycle itératif de la méthodologie Agile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2.1 : Diagramme des cas d'utilisation global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2.2 : Architecture globale du système décisionnel en quatre couches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3.1 : Modélisation dimensionnelle en étoile du Data Warehouse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3.2 : Évolution temporelle de la production globale des 319 presses (2024–2026)</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3.3 : Profils de saisonnalité de production par jour de semaine et par mois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3.4 : Heatmap d'activité atelier : cadence selon le mois et le jour de semaine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3.5 : Architecture et flux séquentiel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3.6 : Diagramme de séquence du pipeline ETL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4.1 : Architecture et flux de traitement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4.2 : Segmentation multicritère Pareto ABC et Clustering K-Means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4.3 : Répartition des alertes de rupture et de stock critique par famille de matière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5.1 : Architecture et flux de traitement du module d'IA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5.2 : Trajectoire des prédictions Prophet face à la production réelle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5.3 : Détection non supervisée des anomalies de cadence par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6.1 : Architecture globale d'intégration et de déploiement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6.2 : Diagramme de séquence des échanges entre l'utilisateur, l'interface et le DWH</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6.3 : Vue d'ensemble du tableau de bord décisionnel Power BI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6.4 : Interface « Supervision de la production et TRG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6.5 : Répartition des volumes d'injection par famille de pièces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6.6 : Rapport Power BI « Prévision des cadences et charge atelier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6.7 : Rapport Power BI « Gestion des stocks d'atelier et alertes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TABLEAUX</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1.1 : Fiche d'identité de Maps-IT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1.2 : Positionnement comparatif des solutions existantes avec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1.3 : Comparaison entre approche classique et approche agile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1.4 : Avantages et inconvénients des méthodologies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1.5 : Product Backlog priorisé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1.6 : Planification des sprints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2.1 : Les besoins non fonctionnels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2.2 : Outils, langages et bibliothèques logiciels utilisés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3.1 : Priorisation des tâches pour le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3.2 : Périmètre quantitatif des données industrielles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3.3 : Tables principales du Data Warehouse en schéma en étoile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3.4 : Statistiques descriptives de la série journalière de production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3.5 : Impact des événements et variations industrielles sur la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3.6 : Bilan quantitatif de la qualité des données (Waterfall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3.7 : Résultats quantitatifs et techniques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3.8 : Bilan des livrables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 : Priorisation des tâches pour le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4.2 : Classification des produits selon le niveau de couverture disponible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4.3 : Bilan des livrables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 : Priorisation des tâches pour le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5.2 : Les 14 variables explicatives du modèle de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5.3 : Découpage chronologique du jeu de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5.4 : Avantages et limites : Régression Linéaire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5.5 : Avantages et limites : Modèle ARIMA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5.6 : Avantages et limites : Random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5.7 : Avantages et limites : Prophet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5.8 : Synthèse des performances prédictives aux horizons 7, 15 et 30 jours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5.9 : Bilan des livrables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6.1 : Priorisation des tâches pour le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6.2 : Synthèse des services REST de l'application web</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6.3 : Bilan des tests fonctionnels et d'intégration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6.4 : Bilan des livrables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ABRÉVIATIONS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4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Abréviation</w:t>
            </w:r>
          </w:p>
        </w:tc>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 en Français</w:t>
            </w:r>
          </w:p>
        </w:tc>
        <w:tc>
          <w:tcPr>
            <w:tcW w:type="dxa" w:w="3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Définition / Contexte Industriel</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Application Programming Interface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de programmation applicative pour l'échange de données inter-services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AutoRegressive Integrated Moving Average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autorégressif intégré pour séries temporelles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Business Intelligence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Informatique décisionnelle pour l'aide au pilotage et au reporting exécutif</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CV</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Cross-Validation (Validation Croisée)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d'évaluation statistique par partitionnement chronologique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DAX</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Analysis Expressions</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formules et de calculs analytiques utilisé dans Microsoft Power BI</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DWH</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Warehouse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Entrepôt de données consolidant les flux industriels multi-sites (Tunisie, Rép. Tchèque)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ERP</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Enterprise Resource Planning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Progiciel de gestion intégré de l'entreprise (Microsoft Dynamics NAV)</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ETL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Extract, Transform, Load</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d'extraction, assainissement, enrichissement et chargement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Intelligence Artificielle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Ensemble des techniques et algorithmes d'apprentissage automatique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JWT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JSON Web Token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Standard sécurisé pour l'authentification et l'échange de jetons de session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Key Performance Indicator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clé de performance opérationnelle et industrielle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absolue moyenne exprimée en nombre réel de pièces par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Percentage Error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Pourcentage moyen d'erreur absolue par rapport au volume réel</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Manufacturing Execution System</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pilotage et d'exécution des ateliers de fabrication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Machine Learning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automatique supervisé et non supervisé</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OEE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Overall Equipment Effectiveness</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Équivalent international du Taux de Rendement Global (TRG)</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RBAC</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Role-Based Access Control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d'accès aux fonctionnalités fondé sur les rôles (Opérateur, Administrateur)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Representational State Transfer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Style d'architecture logicielle pour les services web distribués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RF</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Regressor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d'apprentissage supervisé par forêt d'arbres de décision</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Root Mean Square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Racine carrée de l'erreur quadratique moyenne pénalisant les grands écarts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Structured Query Language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requêtage relationnel (Microsoft SQL Server)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TND</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Dinar Tunisien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Unité monétaire légale pour la valorisation financière des stocks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TRG</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Taux de Rendement Global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normé synthétisant Disponibilité, Performance et Qualité machine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UML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Unified Modeling Language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universel de modélisation visuelle des systèmes logiciels</w:t>
            </w:r>
          </w:p>
        </w:tc>
      </w:tr>
    </w:tbl>
    <w:p>
      <w:pPr>
        <w:spacing w:after="0" w:before="0"/>
      </w:pPr>
      <w:r>
        <w:br w:type="page"/>
      </w:r>
    </w:p>
    <w:p>
      <w:pPr>
        <w:sectPr>
          <w:footerReference w:type="default" r:id="rId9"/>
          <w:pgSz w:w="11906" w:h="16838" w:orient="portrait"/>
          <w:pgMar w:top="1440" w:right="1440" w:bottom="1440" w:left="1800" w:header="708" w:footer="708" w:gutter="0"/>
          <w:pgNumType w:start="1" w:fmt="lowerRoman"/>
          <w:docGrid w:linePitch="360"/>
        </w:sectPr>
      </w:pP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Introduction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manufacturier et la plasturgie automobile, l'amélioration continue de la performance industrielle repose sur la valorisation méthodique des flux de données générés au sein des usines. Le suivi des cadences de fabrication, l'évaluation du Taux de Rendement Global (TRG/OEE) [25] et la gestion proactive des approvisionnements constituent des leviers déterminants pour garantir la continuité des lignes d'assemblage et maîtriser les coûts de revient.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est mené en collaboration avec la société de services numériques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accompagnant un équipementier automobile de rang 1 exploitant trois sites de production d'injection plastique situés en Tunisie (usines de Kondar et Sousse) et en République Tchèque (site de Brno). Avec un parc de 319 presses à injecter de capacités variées produisant en moyenne 64 890 pièces par jour, l'entreprise fabrique des pièces plastiques techniques soumises à des exigences strictes de qualité et de délais de livraison.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Bien que l'entreprise dispose d'un entrepôt de données (Data Warehouse sous Microsoft SQL Server [16]) centralisant l'historique des opérations, le pilotage quotidien demeurait fragmenté. Le calcul du TRG était souvent réalisé de façon différée sur des feuilles de calcul, ce qui limitait la réactivité opérationnelle face aux aléas de production. Parallèlement, la gestion des stocks de matières premières manquait d'outils d'anticipation, entraînant simultanément des situations de surstock sur certaines références et des risques de rupture critique sur des composants stratégiques.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de ce travail s'énonce donc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exploiter les données centralisées du Data Warehouse industriel pour concevoir un système décisionnel automatisé, capable de superviser les machines d'atelier, de modéliser les cadences par apprentissage automatique et d'optimiser les politiques de réapprovisionnement de stock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répondre à cette problématique, nous avons conçu et développé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articulée autour de trois axes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Un pipeline de traitement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automatisée des sources brutes, application de 10 règles de nettoyage (dédoublonnage sur clé composite, rejet des dates erronées, redressement des anomalies numériques) et chargement de 32 043 lignes validées dans un schéma en étoile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Un module de prévision par apprentissage automatique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évaluation comparative de modèles prédictifs (Régression Linéaire, ARIMA [3], Random Forest [7] et Prophet [12]) sur des horizons de 7, 15 et 30 jours. Les modèles Random Forest et Prophet atteignent tous deux des performances proches et satisfaisantes (erreurs MAPE de l'ordre de 6 % à 7 %), Random Forest offrant une précision ponctuelle légèrement supérieure et Prophet étant retenu pour le déploiement opérationnel grâce à son explicabilité et sa gestion native des saisonnalités industrielles. En complément, l'algorithme Isolation Forest [8] assure la détection précoce des dérives de cadence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Un module de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de Pareto et clustering K-Means [9], analyse de la couverture en jours et calcul du plan de réapprovisionnement sur un horizon de 45 jours (évalué à environ 380 400 TND pour les 193 références prioritaires du catalogue) [14, 15].</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restitution s'appuie sur une double modalité adaptée aux profils d'utilisateurs : des tableaux de bord interactifs Microsoft Power BI [24] pour le pilotage managérial et une application web développée avec React.js [22], Spring Boot [17] et FastAPI [21] pour les équipes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mené selon la méthodologie Agile Scrum [1, 2], découpé en un Sprint 0 de cadrage et quatre sprints de réalisation. Le présent rapport s'organise en six chapitres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premier chapitre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le cadre général du projet, les organismes partenaires, l'étude comparative de l'existant, la méthodologie Scrum et les diagrammes UML [26].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deuxième chapitre (Sprint 0)</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dédié à l'analyse des besoins fonctionnels et non fonctionnels, à la conception de l'architecture en quatre couches et au choix de l'environnement technique.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troisième chapitre (Sprint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détaille l'exploration des données, le bilan de qualité sous forme de waterfall et la réalisation du pipeline ETL alimentant 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quatrième chapitre (Sprint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la conception du module de gestion des stocks, la double segmentation des articles et le calcul des commandes à horizon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cinquième chapitre (Sprint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expose le protocole d'évaluation des modèles, la comparaison de leurs performances prédictives à court et moyen termes, le choix du modèle opérationnel et la détection d'anomalies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sixième chapitre (Sprint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décrit la conception des tableaux de bord Power BI, l'implémentation du portail web opérationnel et les résultats des tests fonctionnels.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rapport se conclut par un bilan général des réalisations, une analyse objective des limites actuelles et la présentation de perspectives d'évolution concrètes.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1 : Contexte et cadre du projet</w:t>
      </w:r>
    </w:p>
    <w:p>
      <w:pPr>
        <w:pStyle w:val="Heading2"/>
        <w:spacing w:after="90" w:before="200"/>
        <w:outlineLvl w:val="1"/>
      </w:pPr>
      <w:r>
        <w:rPr>
          <w:rFonts w:ascii="Times New Roman" w:cs="Times New Roman" w:eastAsia="Times New Roman" w:hAnsi="Times New Roman"/>
          <w:b/>
          <w:bCs/>
          <w:color w:val="000000"/>
          <w:sz w:val="28"/>
          <w:szCs w:val="28"/>
        </w:rPr>
        <w:t xml:space="preserve">1.1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présente le cadre général de notre projet de fin d'études. Nous décrivons d'abord le contexte académique au sein de la Faculté des Sciences de Monastir, puis la collaboration entre l'organisme d'accueil, la société de services numériques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l'équipementier industriel partenaire spécialisé dans la plasturgie automobile. Nous analysons ensuite les problématiques opérationnelles rencontrées dans les ateliers d'injection plastique, les limites des outils existants et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conçue pour y répondre. Enfin, nous présentons la démarche méthodologique Agile Scrum et les diagrammes UML utilisés pour encadrer le développement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1.2 Contexte académique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est réalisé dans le cadre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Master Professionnel en Data Science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Faculté des Sciences de Monastir (FSM), rattachée à l'Université de Monastir. Cette formation d'excellence prépare les étudiants à l'ingénierie des données massives, au développement d'algorithmes d'apprentissage automatique et à l'intégration de solutions logicielles d'aide à la décision.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travail de fin d'études permet d'appliquer les compétences acquises en science des données à un environnement industriel complexe, en exploitant des données réelles issues d'un parc de 319 presses à injecter réparties sur plusieurs sites de production.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1.3 Présentation de l'organisme d'accueil</w:t>
      </w:r>
    </w:p>
    <w:p>
      <w:pPr>
        <w:pStyle w:val="Heading3"/>
        <w:spacing w:after="70" w:before="140"/>
        <w:outlineLvl w:val="2"/>
      </w:pPr>
      <w:r>
        <w:rPr>
          <w:rFonts w:ascii="Times New Roman" w:cs="Times New Roman" w:eastAsia="Times New Roman" w:hAnsi="Times New Roman"/>
          <w:b/>
          <w:bCs/>
          <w:color w:val="000000"/>
          <w:sz w:val="24"/>
          <w:szCs w:val="24"/>
        </w:rPr>
        <w:t xml:space="preserve">1.3.1 Présentation de l'entreprise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développé en collaboration avec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société de services informatiques et d'ingénierie logicielle située à Monastir en Tunisie. Fondée en 2021, Maps-IT accompagne les entreprises industrielles et de services dans la mise en œuvre de solutions numériques sur mesure, le développement d'applications métiers, la conception d'architectures décisionnelles et la valorisation des données par la Data Science.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1.1 présente la fiche d'identité de l'entreprise d'accueil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rPr>
          <w:tblHeader/>
        </w:trPr>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Champ</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Information</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Raison sociale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Maps-IT</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Date de création</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2021</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Secteur d'activité</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informatiques, ingénierie logicielle et Data Science</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Localisation</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Monastir, Tunisie</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Contact</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mapsit.info@gmail.com</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Site web</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https://maps-it.com</w:t>
            </w:r>
          </w:p>
        </w:tc>
      </w:tr>
    </w:tbl>
    <w:p>
      <w:pPr>
        <w:spacing w:after="120" w:before="80"/>
        <w:jc w:val="center"/>
      </w:pPr>
      <w:r>
        <w:rPr>
          <w:rFonts w:ascii="Times New Roman" w:cs="Times New Roman" w:eastAsia="Times New Roman" w:hAnsi="Times New Roman"/>
          <w:i/>
          <w:iCs/>
          <w:color w:val="595959"/>
          <w:sz w:val="20"/>
          <w:szCs w:val="20"/>
        </w:rPr>
        <w:t xml:space="preserve">Tableau 1.1 : Fiche d'identité de Maps-IT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1.3.2 Domaines d'activité et contexte client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Maps-IT intervient principalement dans trois domaines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Développement logiciel sur mesure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d'applications web et de micro-services modulaires adaptés aux processus métiers.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Business Intelligence et ingénierie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d'entrepôts de données (DWH), mise en place de flux ETL fiabilisés et modélisation dimensionnelle.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Data Science et Intelligence Artificielle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exploration de séries temporelles, modélisation prédictive et algorithmes d'optimisation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cadre de ce projet, Maps-IT intervient auprès d'un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équipementier automobile de rang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disposant de sites de production en Tunisie (usines de Kondar et Sousse) et en République Tchèque (site de Brno). Cet industriel produit des pièces plastiques techniques injectées sous fortes contraintes de cadence et de qualité.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1.4 Présentation de la plateforme Nexora</w:t>
      </w:r>
    </w:p>
    <w:p>
      <w:pPr>
        <w:pStyle w:val="Heading3"/>
        <w:spacing w:after="70" w:before="140"/>
        <w:outlineLvl w:val="2"/>
      </w:pPr>
      <w:r>
        <w:rPr>
          <w:rFonts w:ascii="Times New Roman" w:cs="Times New Roman" w:eastAsia="Times New Roman" w:hAnsi="Times New Roman"/>
          <w:b/>
          <w:bCs/>
          <w:color w:val="000000"/>
          <w:sz w:val="24"/>
          <w:szCs w:val="24"/>
        </w:rPr>
        <w:t xml:space="preserve">1.4.1 Présentation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une solution logicielle d'aide à la décision conçue pour faciliter le suivi des ateliers d'injection plastique et la gestion proactive des approvisionnements de stock. Elle s'appuie sur les données centralisées dans le Data Warehouse pour proposer des indicateurs de fonctionnement mis à jour régulièrement par shift, des prévisions de cadence de production par apprentissage automatique et des recommandations quantifiées de réapprovisionnement.</w:t>
      </w:r>
    </w:p>
    <w:p>
      <w:pPr>
        <w:spacing w:after="40" w:before="40"/>
      </w:pPr>
      <w:r>
        <w:t xml:space="preserve"/>
      </w:r>
    </w:p>
    <w:p>
      <w:pPr>
        <w:spacing w:after="60" w:before="140"/>
        <w:jc w:val="center"/>
      </w:pPr>
      <w:r>
        <w:drawing>
          <wp:inline distT="0" distB="0" distL="0" distR="0">
            <wp:extent cx="2095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857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1.1 : Logo de la plateforme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s'adresse aux équipes industrielles selon deux profils d'utilisateurs clairement délimités :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Administrateurs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(supervision des presses, pilotage du TRG, gestion des approvisionnements et des modèles) et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Opérateurs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(saisie des mouvements de matière et consultation des stocks d'atelier).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1.4.2 Fonctionnalités principales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Nexora s'articule autour de quatre fonctionnalités majeures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Supervision des machines et du TRG/OEE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suivi de l'état des 319 presses de l'atelier et calcul des trois composantes normalisées du Taux de Rendement Global selon la démarche TPM [25] (Taux de Disponibilité, Taux de Performance, Taux de Qualité).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Prévision des volumes de fabrication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estimation des cadences futures à court et moyen termes (horizons de 7, 15 et 30 jours) pour guider l'ordonnancement des équipes et des matières.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prévisionnelle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des articles du catalogue (méthode ABC et classification par niveau de risque) et calcul des réapprovisionnements nécessaires pour sécuriser une couverture cible de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Restitution décisionnelle interactive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Power BI permettant de filtrer les indicateurs par usine, atelier, presse ou famille de matière plastique, complétés par une interface web opérationnelle.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1.4.3 Limites de la situation actuelle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la conception de Nexora, le pilotage industriel présentait plusieurs contraintes méthodologiques et opérationnelles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Calcul manuel et différé du TRG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feuilles d'enregistrement remplies par les opérateurs étaient consolidées mensuellement sur tableur, empêchant une détection rapide des micro-arrêts ou des baisses anormales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réactive des réapprovisionnements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commandes de granulés polymères étaient fréquemment déclenchées en réaction à une alerte visuelle de pénurie en atelier, générant des risques de rupture ou de surcoûts logistiques d'urgence.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Présence conjointe de ruptures et de surstocks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l'absence d'outils analytiques entraînait une sur-couverture sur certaines références à faible rotation (immobilisation de trésorerie), tandis que des références critiques tombaient en rupture.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Fragmentation des sources d'information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données de production, d'en-cours et d'inventaire étaient dispersées dans l'ERP, rendant leur croisement complexe pour les décideurs.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1.5 Présentation du projet</w:t>
      </w:r>
    </w:p>
    <w:p>
      <w:pPr>
        <w:pStyle w:val="Heading3"/>
        <w:spacing w:after="70" w:before="140"/>
        <w:outlineLvl w:val="2"/>
      </w:pPr>
      <w:r>
        <w:rPr>
          <w:rFonts w:ascii="Times New Roman" w:cs="Times New Roman" w:eastAsia="Times New Roman" w:hAnsi="Times New Roman"/>
          <w:b/>
          <w:bCs/>
          <w:color w:val="000000"/>
          <w:sz w:val="24"/>
          <w:szCs w:val="24"/>
        </w:rPr>
        <w:t xml:space="preserve">1.5.1 Contexte et problématique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L'entreprise partenaire dispose d'un Data Warehouse (DWH) conservant l'historique complet des déclarations de production, des nomenclatures (BOM) et des mouvements d'inventaire. Toutefois, ces données massives demeuraient sous-exploitées pour anticiper les charges futures et guider la chaîne logistique.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centrale du projet se formule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valoriser les données centralisées du Data Warehouse industriel pour concevoir un système décisionnel automatisé, capable de superviser le rendement des presses, de modéliser les cadences par apprentissage automatique et d'optimiser les politiques de réapprovisionnement de stock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1.5.2 Étude de l'existant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milieu industriel, trois approches coexistent couramment : les feuilles de calcul bureautiques (Excel), les modules de base des progiciels de gestion intégrée (ERP) et les solutions spécialisées de suivi d'atelier (Manufacturing Execution Systems - MES). Les tableurs, bien que flexibles, s'avèrent vulnérables aux erreurs de saisie et inadaptés aux volumes volumineux. Les ERP fournissent un cadre transactionnel rigide mais peu analytique, tandis que les progiciels MES représentent un investissement très lourd et n'intègrent pas nativement d'algorithmes d'apprentissage statistique pour la prévision de séries temporelles.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1.5.3 Solution proposée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agilité décisionnelle, rigueur méthodologique et intégration fluide,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combine trois piliers techniques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Un pipeline de traitement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automatisée des sources brutes, application de 10 règles d'assainissement de qualité (suppression des doublons, rejet des dates erronées, redressement des stocks négatifs) et chargement dans un schéma en étoile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Un module de prévision par apprentissage automatique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de quatre modèles de séries temporelles sous protocole multi-horizons (Régression Linéaire, ARIMA, Random Forest, Prophet) sur une cadence d'atelier d'environ 65 000 pièces/jour. Random Forest et Prophet atteignent une précision comparable (erreur moyenne de 6 % à 7 % de MAPE). Prophet a été retenu pour le déploiement opérationnel dans l'application en raison de sa décomposition explicable (tendance, saisonnalité hebdomadaire et arrêts d'atelier) et de sa simplicité d'intégration, complété par Isolation Forest pour la détection des anomalies.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Un module de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 K-Means, classification selon la couverture disponible et calcul du plan de réapprovisionnement pour sécuriser 45 jours d'activité sur le catalogue de 800 références distinctes (budget prévisionnel estimé à environ 380 400 TND).</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 restitution associe des tableaux de bord interactifs Microsoft Power BI pour le management décisionnel et une application web (React.js / Spring Boot / FastAPI) pour la saisie et la consultation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1.2 résume le positionnement comparatif des solutions existantes vis-à-vis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400"/>
        <w:gridCol w:w="1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d'évaluation</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Progiciels MES standards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ERP transactionnel</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Tableurs (Excel)</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 Nexora</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du TRG d'atelier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Avancé</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natif</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 / Différé</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Automatisé par shift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Prévisions de cadence par IA</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Intégré (Prophet)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interactifs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Configurable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Limité</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Statique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Interactif (Power BI)</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directe au DWH</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Natif</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Instable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Directe (Schéma en étoile)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ABC et des stocks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Partiel</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Standard</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Multicritère (ABC + K-Means)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Recommandations d'approvisionnement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règles fixes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seuils statiques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Horizon cible 45 jours (800 réf.)</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Facilité d'appropriation 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Accessible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Interface adaptée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Agilité et coût de déploiement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Investissement élevé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Coût élevé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Modulaire et maîtrisé</w:t>
            </w:r>
          </w:p>
        </w:tc>
      </w:tr>
    </w:tbl>
    <w:p>
      <w:pPr>
        <w:spacing w:after="120" w:before="80"/>
        <w:jc w:val="center"/>
      </w:pPr>
      <w:r>
        <w:rPr>
          <w:rFonts w:ascii="Times New Roman" w:cs="Times New Roman" w:eastAsia="Times New Roman" w:hAnsi="Times New Roman"/>
          <w:i/>
          <w:iCs/>
          <w:color w:val="595959"/>
          <w:sz w:val="20"/>
          <w:szCs w:val="20"/>
        </w:rPr>
        <w:t xml:space="preserve">Tableau 1.2 : Positionnement comparatif des solutions existantes avec Nexora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1.6 Workflow complet du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traitement des données et la restitution des résultats suivent un enchaînement méthodique en huit étapes, illustré par la figure 1.2 :</w:t>
      </w:r>
    </w:p>
    <w:p>
      <w:pPr>
        <w:spacing w:after="40" w:before="40"/>
      </w:pPr>
      <w:r>
        <w:t xml:space="preserve"/>
      </w:r>
    </w:p>
    <w:p>
      <w:pPr>
        <w:spacing w:after="60" w:before="14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381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1.2 : Workflow complet du système décisionnel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 brutes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des fichiers d'inventaire et des mouvements de production issus du système d'information industriel.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Nettoyage de la qualité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des doublons sur clé composite, rejet des dates invalides et assainissement des incohérences de stock.</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Ingénierie des variables (Feature Engineering)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 14 variables explicatives temporelles et statistiques (lags, moyennes mobiles, jours ouvrés, événements calendaires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Découpage chronologique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partitionnement temporel comprenant une fenêtre d'initialisation des variables de 30 jours, 579 jours d'entraînement de base (609 jours de tranche d'apprentissage totale), 122 jours de validation et 120 jours de test (dont 98 jours d'évaluation).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Entraînement et évaluation multi-horizons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ajustement de la Régression Linéaire, d'ARIMA, de Random Forest et de Prophet (avec prise en compte des événements calendaires), complétés par Isolation Forest.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Validation par origines glissantes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du protocole d'évaluation à 6 origines glissantes sur 2026 pour évaluer la stabilité prédictive.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 Mesure des performances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métriques de précision (MAE, RMSE, MAPE, R²) exprimées en pièces par jour aux horizons de 7, 15 et 30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 Restitution utilisateur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déploiement des rapports décisionnels sous Microsoft Power BI et alimentation des services web.</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1.7 Méthodologie de développement</w:t>
      </w:r>
    </w:p>
    <w:p>
      <w:pPr>
        <w:pStyle w:val="Heading3"/>
        <w:spacing w:after="70" w:before="140"/>
        <w:outlineLvl w:val="2"/>
      </w:pPr>
      <w:r>
        <w:rPr>
          <w:rFonts w:ascii="Times New Roman" w:cs="Times New Roman" w:eastAsia="Times New Roman" w:hAnsi="Times New Roman"/>
          <w:b/>
          <w:bCs/>
          <w:color w:val="000000"/>
          <w:sz w:val="24"/>
          <w:szCs w:val="24"/>
        </w:rPr>
        <w:t xml:space="preserve">1.7.1 Étude comparative des méthodes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d'entamer les développements, nous avons comparé la méthode classique en cascade et la démarche Agile afin de retenir l'organisation la plus efficiente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1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classique (Cascade)</w:t>
            </w:r>
          </w:p>
        </w:tc>
        <w:tc>
          <w:tcPr>
            <w:tcW w:type="dxa" w:w="3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Agile (Scrum)</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Cycle de développement</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Linéaire et séquentiel</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Itératif et par incréments réguliers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Planification</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Figée au démarrage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Ajustable selon l'avancement réel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Livrables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Livraison globale en fin de projet</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Incrément fonctionnel à chaque sprint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Prise en compte des retours</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Tardive en phase de recette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Continue à chaque fin d'itération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imprévus de données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Rigide et pénalisante</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Adaptation fluide aux réalités terrain</w:t>
            </w:r>
          </w:p>
        </w:tc>
      </w:tr>
    </w:tbl>
    <w:p>
      <w:pPr>
        <w:spacing w:after="120" w:before="80"/>
        <w:jc w:val="center"/>
      </w:pPr>
      <w:r>
        <w:rPr>
          <w:rFonts w:ascii="Times New Roman" w:cs="Times New Roman" w:eastAsia="Times New Roman" w:hAnsi="Times New Roman"/>
          <w:i/>
          <w:iCs/>
          <w:color w:val="595959"/>
          <w:sz w:val="20"/>
          <w:szCs w:val="20"/>
        </w:rPr>
        <w:t xml:space="preserve">Tableau 1.3 : Comparaison entre approche classique et approche agile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1.4 récapitule les avantages et limites des deux méthodologies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Méthodologie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Avantages principaux</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Inconvénients principaux</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classique</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Cadre et jalons contractuels nettement fixés.
• Simplicité de contractualisation initiale.</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Faible flexibilité face aux anomalies de données.
• Risque de décalage avec les attentes d'atelier.</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Agile (Scrum)</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Adaptabilité forte aux spécificités des séries réelles.
• Validation progressive et mesurable de chaque module.
• Rétroactions régulières avec les encadrants.</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Exige une disponibilité continue des parties prenantes.
• Nécessite une discipline stricte sur la tenue du backlog.</w:t>
            </w:r>
          </w:p>
        </w:tc>
      </w:tr>
    </w:tbl>
    <w:p>
      <w:pPr>
        <w:spacing w:after="120" w:before="80"/>
        <w:jc w:val="center"/>
      </w:pPr>
      <w:r>
        <w:rPr>
          <w:rFonts w:ascii="Times New Roman" w:cs="Times New Roman" w:eastAsia="Times New Roman" w:hAnsi="Times New Roman"/>
          <w:i/>
          <w:iCs/>
          <w:color w:val="595959"/>
          <w:sz w:val="20"/>
          <w:szCs w:val="20"/>
        </w:rPr>
        <w:t xml:space="preserve">Tableau 1.4 : Avantages et inconvénients des méthodologies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1.7.2 Choix méthodologique :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Nous avons sélectionné le framework Agile Scrum [1, 2], particulièrement approprié aux projets décisionnels et de science des données combinant plusieurs briques interdépendantes (ETL, algorithmes prédictifs, règles logistiques et restitution visuelle).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cadre itératif favorise l'ajustement continu des modèles en fonction de la qualité observée des données et permet de valider chaque composant logiciel auprès des encadrants.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1.3 illustre le cycle de déroulement de la méthodologie Scrum appliquée à notre projet :</w:t>
      </w:r>
    </w:p>
    <w:p>
      <w:pPr>
        <w:spacing w:after="40" w:before="40"/>
      </w:pPr>
      <w:r>
        <w:t xml:space="preserve"/>
      </w:r>
    </w:p>
    <w:p>
      <w:pPr>
        <w:spacing w:after="60" w:before="14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48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1.3 : Cycle itératif de la méthodologie Agile Scrum</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1.7.3 Organisation des rôles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la rigueur académique d'un travail de Master et les exigences industrielles de l'atelier, les rôles Scrum ont été répartis de la manière suivante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Product Owner (PO)</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assumé par l'encadrant professionnel au sein de Maps-IT en lien avec l'équipe de l'usine partenaire. Il exprime les besoins fonctionnels, priorise les récits utilisateurs du backlog et valide les incréments à chaque revue de sprint.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Scrum Master (SM)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assuré par l'encadrant académique à la Faculté des Sciences de Monastir. Il veille au respect du cadre méthodologique Agile, garantit la rigueur scientifique des protocoles de validation et aide à lever les blocages conceptuels.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 de Développement (Development Team)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incarnée par l'étudiante chercheuse, responsable de la conception technique, du développement du pipeline ETL, de l'expérimentation des algorithmes d'apprentissage et de la réalisation des interfaces.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1.7.4 Product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Product Backlog (tableau 1.5) regroupe les récits utilisateurs (User Stories) formalisant les exigences du système, priorisés et estimés pour chaque sprint de développement, et répartis entre les deux rôles de la plateforme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966"/>
        <w:gridCol w:w="1000"/>
        <w:gridCol w:w="1100"/>
        <w:gridCol w:w="900"/>
      </w:tblGrid>
      <w:tr>
        <w:trPr>
          <w:tblHeader/>
        </w:trPr>
        <w:tc>
          <w:tcPr>
            <w:tcW w:type="dxa" w:w="7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w:t>
            </w:r>
          </w:p>
        </w:tc>
        <w:tc>
          <w:tcPr>
            <w:tcW w:type="dxa" w:w="4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 (User Story)</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w:t>
            </w:r>
          </w:p>
        </w:tc>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 Associé</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auditer la qualité des données brutes d'inventaire afin d'éliminer les doublons et anomalies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exécuter un pipeline ETL en Python pour assainir et charger les données dans le DWH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structurer le schéma dimensionnel en étoile pour interconnecter faits et dimensions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charger les 32 043 enregistrements validés et indexer les tables dans SQL Server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générer 14 variables temporelles et d'événements industriels pour alimenter les prévisions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segmenter les 800 références d'articles selon la méthode Pareto ABC (72/20/8)</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classifier les références par clustering K-Means en 3 groupes de gestion logistique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consulter la couverture en jours et le stock disponible de chaque référence d'atelier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recevoir des alertes visuelles immédiates en cas de rupture ou de stock critique sur une référence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calculer les quantités de réapprovisionnement requises pour sécuriser un horizon de 45 jours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chiffrer le budget global des approvisionnements prioritaires (environ 380 400 TND)</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configurer le partitionnement chronologique des données (entraînement, validation, test)</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comparer les performances des modèles d'IA et sélectionner le modèle déployé en production</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évaluer les modèles selon les différents horizons de prévision (7, 15 et 30 jours)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générer les prévisions de cadence de production aux horizons de 7, 15 et 30 jours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détecter les dérives de cadence machine via Isolation Forest pour la maintenance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ou administrateur, je veux m'authentifier de manière sécurisée (JWT) et accéder aux fonctionnalités de mon rôle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superviser le TRG et le statut avec mise à jour périodique des 319 presses sur un rapport Power BI</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analyser les prévisions de cadence et les alertes d'approvisionnement sur Power BI</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enregistrer les mouvements d'inventaire et les déclarations de rebuts via l'interface web</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bl>
    <w:p>
      <w:pPr>
        <w:spacing w:after="120" w:before="80"/>
        <w:jc w:val="center"/>
      </w:pPr>
      <w:r>
        <w:rPr>
          <w:rFonts w:ascii="Times New Roman" w:cs="Times New Roman" w:eastAsia="Times New Roman" w:hAnsi="Times New Roman"/>
          <w:i/>
          <w:iCs/>
          <w:color w:val="595959"/>
          <w:sz w:val="20"/>
          <w:szCs w:val="20"/>
        </w:rPr>
        <w:t xml:space="preserve">Tableau 1.5 : Product Backlog priorisé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1.7.5 Planification des sprints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s'est déroulé sur une période de 13 semaines articulée en un sprint de cadrage initial (Sprint 0) et quatre sprints de développement d'une durée de 2 à 3 semaines chacun (tableau 1.6)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721"/>
        <w:gridCol w:w="3250"/>
        <w:gridCol w:w="3695"/>
      </w:tblGrid>
      <w:tr>
        <w:trPr>
          <w:tblHeader/>
        </w:trPr>
        <w:tc>
          <w:tcPr>
            <w:tcW w:type="dxa" w:w="172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w:t>
            </w:r>
          </w:p>
        </w:tc>
        <w:tc>
          <w:tcPr>
            <w:tcW w:type="dxa" w:w="325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Objectif principal</w:t>
            </w:r>
          </w:p>
        </w:tc>
        <w:tc>
          <w:tcPr>
            <w:tcW w:type="dxa" w:w="369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Livrables clés validés</w:t>
            </w:r>
          </w:p>
        </w:tc>
      </w:tr>
      <w:tr>
        <w:tc>
          <w:tcPr>
            <w:tcW w:type="dxa" w:w="17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0</w:t>
            </w:r>
          </w:p>
        </w:tc>
        <w:tc>
          <w:tcPr>
            <w:tcW w:type="dxa" w:w="325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Cadrage des besoins et architecture globale</w:t>
            </w:r>
          </w:p>
        </w:tc>
        <w:tc>
          <w:tcPr>
            <w:tcW w:type="dxa" w:w="369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Spécifications fonctionnelles, cas d'utilisation UML et architecture 4 couches.</w:t>
            </w:r>
          </w:p>
        </w:tc>
      </w:tr>
      <w:tr>
        <w:tc>
          <w:tcPr>
            <w:tcW w:type="dxa" w:w="17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c>
          <w:tcPr>
            <w:tcW w:type="dxa" w:w="32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Qualité des données et pipeline ETL</w:t>
            </w:r>
          </w:p>
        </w:tc>
        <w:tc>
          <w:tcPr>
            <w:tcW w:type="dxa" w:w="369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Python de nettoyage, schéma en étoile DWH (7 tables) et 32 043 lignes chargées.</w:t>
            </w:r>
          </w:p>
        </w:tc>
      </w:tr>
      <w:tr>
        <w:tc>
          <w:tcPr>
            <w:tcW w:type="dxa" w:w="17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c>
          <w:tcPr>
            <w:tcW w:type="dxa" w:w="325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Gestion intelligente des stocks</w:t>
            </w:r>
          </w:p>
        </w:tc>
        <w:tc>
          <w:tcPr>
            <w:tcW w:type="dxa" w:w="369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ABC / K-Means, seuils d'alerte, calcul du plan 45 jours et budget.</w:t>
            </w:r>
          </w:p>
        </w:tc>
      </w:tr>
      <w:tr>
        <w:tc>
          <w:tcPr>
            <w:tcW w:type="dxa" w:w="17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c>
          <w:tcPr>
            <w:tcW w:type="dxa" w:w="32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Modélisation prédictive par IA</w:t>
            </w:r>
          </w:p>
        </w:tc>
        <w:tc>
          <w:tcPr>
            <w:tcW w:type="dxa" w:w="369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des 4 modèles, sélection du modèle opérationnel et Isolation Forest.</w:t>
            </w:r>
          </w:p>
        </w:tc>
      </w:tr>
      <w:tr>
        <w:tc>
          <w:tcPr>
            <w:tcW w:type="dxa" w:w="17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c>
          <w:tcPr>
            <w:tcW w:type="dxa" w:w="325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Restitution décisionnelle et validation</w:t>
            </w:r>
          </w:p>
        </w:tc>
        <w:tc>
          <w:tcPr>
            <w:tcW w:type="dxa" w:w="369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Power BI, portail web opérationnel, mesures DAX et recette fonctionnelle.</w:t>
            </w:r>
          </w:p>
        </w:tc>
      </w:tr>
    </w:tbl>
    <w:p>
      <w:pPr>
        <w:spacing w:after="120" w:before="80"/>
        <w:jc w:val="center"/>
      </w:pPr>
      <w:r>
        <w:rPr>
          <w:rFonts w:ascii="Times New Roman" w:cs="Times New Roman" w:eastAsia="Times New Roman" w:hAnsi="Times New Roman"/>
          <w:i/>
          <w:iCs/>
          <w:color w:val="595959"/>
          <w:sz w:val="20"/>
          <w:szCs w:val="20"/>
        </w:rPr>
        <w:t xml:space="preserve">Tableau 1.6 : Planification des sprints du projet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1.8 Langage de modélisation UML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modéliser la structure et le comportement du système avec rigueur et clarté, nous mobilisons le langage de modélisation standard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UML (Unified Modeling Language)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[26]. Trois types de représentations graphiques sont principalement employés dans ce rapport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cas d'utilisation (Chapitres 2 et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représentation des services offerts aux deux acteurs du système (Opérateur et Administrateur), avec identification des relations d'inclusion d'authentification.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d'activité (Chapitres 3, 4 et 5)</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description des flux séquentiels d'exécution au sein du pipeline ETL, des règles de calcul de stock et du processus d'apprentissage automatique.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séquence (Chapitres 3 et 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illustration de la dynamique temporelle des échanges entre les interfaces utilisateurs, les services applicatifs et le Data Warehouse.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a posé les fondations du projet Nexora. Après avoir situé le cadre académique et la collaboration entre Maps-IT et l'équipementier automobile, nous avons formalisé la problématique du pilotage d'atelier et présenté l'organisation itérative Scrum adoptée. Le chapitre suivant détaille les résultats du Sprint 0, consacré à la spécification des besoins et à la conception de l'architecture globale en quatre couches.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2 : Sprint 0 : Analyse des besoins et Conception du Système</w:t>
      </w:r>
    </w:p>
    <w:p>
      <w:pPr>
        <w:pStyle w:val="Heading2"/>
        <w:spacing w:after="90" w:before="200"/>
        <w:outlineLvl w:val="1"/>
      </w:pPr>
      <w:r>
        <w:rPr>
          <w:rFonts w:ascii="Times New Roman" w:cs="Times New Roman" w:eastAsia="Times New Roman" w:hAnsi="Times New Roman"/>
          <w:b/>
          <w:bCs/>
          <w:color w:val="000000"/>
          <w:sz w:val="28"/>
          <w:szCs w:val="28"/>
        </w:rPr>
        <w:t xml:space="preserve">2.1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0 de notre démarche Scrum. Cette étape de cadrage initial a pour objectif de formaliser les exigences du système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d'identifier les profils d'utilisateurs et leurs interactions avec la plateforme, de concevoir l'architecture globale en quatre couches et de définir l'environnement technique retenu pour le développement.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2.2 Spécification des besoins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spécification des besoins permet de traduire les attentes des équipes d'atelier en fonctionnalités logicielles concrètes. Nous distinguons les besoins fonctionnels, qui précisent les services fournis par le système, des besoins non fonctionnels, qui définissent les critères de qualité technique et de performance.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2.2.1 Besoins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fonctionnalités attendues sont organisées selon les deux profils d'utilisateurs du système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d'atelier habilité à saisir les mouvements d'inventaire réels (entrées, sorties de matière, rebuts d'injection) et à consulter le statut des lignes de production.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superviseur d'atelier et responsable logistique. Il assure le pilotage opérationnel (supervision des 319 presses, planification des ordres de fabrication, suivi des composantes du TRG, consultation des prévisions d'IA à 7/15/30 jours) ainsi que l'administration technique (gestion des comptes et contrôle d'accès RBAC).</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2.2.2 Besoins non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2.1 récapitule les exigences non fonctionnelles retenues pour guider la conception de la solution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4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Exigence</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vérification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interactif inférieur à 2 secondes pour l'affichage des tableaux de bord et requêtes analytiques.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Mesures de temps de réponse et fluidité des affichages.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sécurisée par jetons JWT, gestion des rôles (RBAC) et traçabilité des accès.</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des permissions Opérateur / Admin.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Fiabilité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d'entrée assainies par le pipeline ETL et modèles de prévision rigoureusement validés.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Zéro doublon résiduel dans le DWH et cohérence des résultats.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Maintenabilité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modulaire découplée en 4 couches avec séparation nette entre ETL, modélisation et restitution.</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Code versionné et documenté.</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Évolutivité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Capacité d'intégrer ultérieurement des modèles de prévision par presse ou des capteurs IoT sans refonte.</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Schéma dimensionnel normalisé.</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Ergonomie</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visuels intuitifs et interface web réactive adaptée aux postes d'atelier.</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Navigation fluide et lisibilité opérationnelle.</w:t>
            </w:r>
          </w:p>
        </w:tc>
      </w:tr>
    </w:tbl>
    <w:p>
      <w:pPr>
        <w:spacing w:after="120" w:before="80"/>
        <w:jc w:val="center"/>
      </w:pPr>
      <w:r>
        <w:rPr>
          <w:rFonts w:ascii="Times New Roman" w:cs="Times New Roman" w:eastAsia="Times New Roman" w:hAnsi="Times New Roman"/>
          <w:i/>
          <w:iCs/>
          <w:color w:val="595959"/>
          <w:sz w:val="20"/>
          <w:szCs w:val="20"/>
        </w:rPr>
        <w:t xml:space="preserve">Tableau 2.1 : Les besoins non fonctionnels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2.3 Analyse des besoins</w:t>
      </w:r>
    </w:p>
    <w:p>
      <w:pPr>
        <w:pStyle w:val="Heading3"/>
        <w:spacing w:after="70" w:before="140"/>
        <w:outlineLvl w:val="2"/>
      </w:pPr>
      <w:r>
        <w:rPr>
          <w:rFonts w:ascii="Times New Roman" w:cs="Times New Roman" w:eastAsia="Times New Roman" w:hAnsi="Times New Roman"/>
          <w:b/>
          <w:bCs/>
          <w:color w:val="000000"/>
          <w:sz w:val="24"/>
          <w:szCs w:val="24"/>
        </w:rPr>
        <w:t xml:space="preserve">2.3.1 Identification des acteurs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cas d'utilisation met en évidence deux acteurs intervenant sur la plateforme Nexora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opérationnel en atelier, responsable de la saisie des mouvements de stock et du suivi d'avancement des ordres de fabrication.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de gestion et de supervision, assurant le pilotage d'atelier (supervision des presses, consultation du TRG et des prévisions IA, gestion des alertes d'approvisionnement) ainsi que l'administration des accès.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2.3.2 Diagramme des cas d'utilisation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2.1 présente le diagramme de cas d'utilisation global de la plateforme Nexora, illustrant les interactions entre les deux acteurs et les modules applicatifs :</w:t>
      </w:r>
    </w:p>
    <w:p>
      <w:pPr>
        <w:spacing w:after="40" w:before="40"/>
      </w:pPr>
      <w:r>
        <w:t xml:space="preserve"/>
      </w:r>
    </w:p>
    <w:p>
      <w:pPr>
        <w:spacing w:after="60" w:before="14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762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2.1 : Diagramme des cas d'utilisation global de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des cas d'utilisation intègre systématiquement la relation d'inclusion &lt;&lt;include&gt;&gt; avec l'opération « S'authentifier », garantissant un contrôle d'accès conforme aux privilèges de chaque acteur.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2.4 Architecture globale du système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assurer la robustesse, la modularité et l'évolutivité de la solution, l'architecture globale de Nexora est structurée 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quatre couches logiques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comme l'illustre la figure 2.2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2.2 : Architecture globale du système décisionnel en quatre couches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Couche Données (Data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articulée autour de Microsoft SQL Server 2022 [16], elle héberge le Data Warehouse (DWH) modélisé en schéma en étoile (tables de dimensions pour les articles et presses, tables de faits pour la production, les stocks et les rebuts).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Couche Traitement &amp; ETL (Processing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développée en Python 3.10 [18] avec Pandas [19] et NumPy [20], elle orchestre l'ingestion automatisée, le dédoublonnage, la correction des 10 anomalies recensées et l'alimentation des tables analytiques.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Couche Métier &amp; IA (Business &amp; AI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regroupe les services d'apprentissage automatique (Régression Linéaire, ARIMA, Random Forest, Prophet [12] déployé en production pour les prévisions de cadence, et Isolation Forest [8] pour la détection d'anomalies) ainsi que le moteur logistique de calcul des couvertures de stock. Les prévisions générées sont automatiquement écrites dans la table `ml_production_predictions` du DWH. Cette couche intègre également un micro-service FastAPI [21] pour l'inférence et un serveur d'entreprise Spring Boot [17] pour la gestion des entités métiers et des utilisateurs.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Couche Restitution &amp; Présentation (Presentation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propose une double modalité d'accès adaptée aux profils : d'une part, des tableaux de bord décisionnels interactifs sous Microsoft Power BI [24] connectés directement au DWH pour le pilotage stratégique ; d'autre part, un portail web réactif en React.js [22] et TypeScript [23] pour les saisies et consultations d'atelier.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2.5 Environnement de travail</w:t>
      </w:r>
    </w:p>
    <w:p>
      <w:pPr>
        <w:pStyle w:val="Heading3"/>
        <w:spacing w:after="70" w:before="140"/>
        <w:outlineLvl w:val="2"/>
      </w:pPr>
      <w:r>
        <w:rPr>
          <w:rFonts w:ascii="Times New Roman" w:cs="Times New Roman" w:eastAsia="Times New Roman" w:hAnsi="Times New Roman"/>
          <w:b/>
          <w:bCs/>
          <w:color w:val="000000"/>
          <w:sz w:val="24"/>
          <w:szCs w:val="24"/>
        </w:rPr>
        <w:t xml:space="preserve">2.5.1 Environnement matériel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phases de préparation des données, d'entraînement des modèles et de développement ont été réalisées sur une station de travail présentant les caractéristiques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Processeur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Intel Core i7-12700H (14 cœurs, 20 threads, fréquence de base 2,30 GHz jusqu'à 4,70 GHz en mode Turbo).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Mémoire vive (RAM)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16 Go DDR4 (3200 MHz).</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Disque SSD NVMe PCIe 4.0 de 512 Go (débit de lecture séquentielle &gt; 3 500 Mo/s).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Système d'exploitation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Microsoft Windows 11 Professionnel (64 bits).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2.5.2 Environnement logiciel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2.2 présente l'ensemble des outils, langages, bibliothèques et frameworks mobilisés pour la conception et l'implémentation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0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Technologie / Outil</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Version</w:t>
            </w:r>
          </w:p>
        </w:tc>
        <w:tc>
          <w:tcPr>
            <w:tcW w:type="dxa" w:w="3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usage dans le projet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Visual Studio Code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1.104</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Éditeur principal pour les scripts Python ETL/ML et le code frontend React.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IntelliJ IDEA</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2024.1</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Environnement de développement dédié au serveur backend Spring Boot.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version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Git &amp; GitHub</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2.52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versions du code source et traçabilité des livrables.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SQL Server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gestion de base de données relationnelle hébergeant le Data Warehouse [16].</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SQL Server Management Studio</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19.3</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Administration des bases, exécution des requêtes SQL et optimisation des index.</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Python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3.10</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principal pour le pipeline ETL, l'ingénierie des variables et les modèles d'IA [18].</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Java</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 (LTS)</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orienté objet pour les services backend Spring Boot.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TypeScript / JavaScript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 ES2022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typé du frontend web React [23].</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Spring Boot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Framework backend assurant la sécurité JWT, le modèle de données JPA et les API REST [17].</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FastAPI</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0.115</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Micro-service Python asynchrone pour l'inférence des modèles ML avec mise à jour périodique [21].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Frontend Web</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React.js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Bibliothèque d'interfaces graphiques composables pour le portail atelier [22].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Pandas &amp; NumPy</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2.1 / 1.26</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Manipulation des séries tabulaires et calculs vectorisés [19, 20].</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déployé en production (prévisions de cadence et stocks, décomposition saisonnière) [12].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Scikit-Learn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1.3</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Normalisation, Random Forest (benchmark récursif), Régression et Isolation Forest [11].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Statsmodels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0.14</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ARIMA et tests de stationnarité (ADF) [10].</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Business Intelligence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Power BI Desktop</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des rapports décisionnels interactifs et modélisation DAX [24].</w:t>
            </w:r>
          </w:p>
        </w:tc>
      </w:tr>
    </w:tbl>
    <w:p>
      <w:pPr>
        <w:spacing w:after="120" w:before="80"/>
        <w:jc w:val="center"/>
      </w:pPr>
      <w:r>
        <w:rPr>
          <w:rFonts w:ascii="Times New Roman" w:cs="Times New Roman" w:eastAsia="Times New Roman" w:hAnsi="Times New Roman"/>
          <w:i/>
          <w:iCs/>
          <w:color w:val="595959"/>
          <w:sz w:val="20"/>
          <w:szCs w:val="20"/>
        </w:rPr>
        <w:t xml:space="preserve">Tableau 2.2 : Outils, langages et bibliothèques logiciels utilisés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2.6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formalisé le cadre fonctionnel et technique du système Nexora issu du Sprint 0. Nous avons identifié les exigences des deux acteurs d'atelier, établi l'architecture modulaire en quatre couches et sélectionné un écosystème technologique robuste combinant SQL Server, Python, Spring Boot, FastAPI, React et Power BI. Le chapitre suivant aborde le Sprint 1, dédié au nettoyage des données et au développement du pipeline ETL.</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3 : Sprint 1 : Prétraitement des données, assainissement de la qualité et pipeline ETL</w:t>
      </w:r>
    </w:p>
    <w:p>
      <w:pPr>
        <w:pStyle w:val="Heading2"/>
        <w:spacing w:after="90" w:before="200"/>
        <w:outlineLvl w:val="1"/>
      </w:pPr>
      <w:r>
        <w:rPr>
          <w:rFonts w:ascii="Times New Roman" w:cs="Times New Roman" w:eastAsia="Times New Roman" w:hAnsi="Times New Roman"/>
          <w:b/>
          <w:bCs/>
          <w:color w:val="000000"/>
          <w:sz w:val="28"/>
          <w:szCs w:val="28"/>
        </w:rPr>
        <w:t xml:space="preserve">3.1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1 de notre démarche Agile Scrum. Dans un projet d'analyse de données et d'aide à la décision, la qualité des informations en entrée conditionne directement la fiabilité des modèles prédictifs et des indicateurs de gestion. Dans un environnement industriel réel, les extractions de bases opérationnelles comportent inévitablement des anomalies de saisie, des redondances et des valeurs manquantes. L'objectif de ce premier sprint est donc d'auditer les données brutes, de concevoir un pipeline de nettoyage modulaire en Python [18], d'appliquer les règles d'assainissement et de charger les tables validées dans le Data Warehouse (DWH) sous un schéma en étoile normalisé.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3.2 Backlog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3.1 présente les tâches planifiées pour le Sprint 1, ordonnancées par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et audit de qualité des fichiers d'inventaire et de production bruts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fonctions de nettoyage pour les 10 anomalies recensées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dimensionnelle et structuration du schéma en étoile (7 tables)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automatisé des 32 043 lignes assainies dans SQL Server</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16 variables explicatives temporelles et statistiques (Feature Engineering)</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exploratoire des séries de cadence (distributions, tendances, saisonnalités)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des index clusterisés et non-clusterisés sur les tables de faits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automatique des journaux d'exécution et du rapport d'audit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3.1 : Priorisation des tâches pour le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3.3 Présentation des données</w:t>
      </w:r>
    </w:p>
    <w:p>
      <w:pPr>
        <w:pStyle w:val="Heading3"/>
        <w:spacing w:after="70" w:before="140"/>
        <w:outlineLvl w:val="2"/>
      </w:pPr>
      <w:r>
        <w:rPr>
          <w:rFonts w:ascii="Times New Roman" w:cs="Times New Roman" w:eastAsia="Times New Roman" w:hAnsi="Times New Roman"/>
          <w:b/>
          <w:bCs/>
          <w:color w:val="000000"/>
          <w:sz w:val="24"/>
          <w:szCs w:val="24"/>
        </w:rPr>
        <w:t xml:space="preserve">3.3.1 Source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données exploitées dans ce projet proviennent des extractions du système d'information industriel de l'équipementier partenaire, couvrant les usines de Kondar et Sousse en Tunisie ainsi que le site de Brno en République Tchèque. La période d'observation s'étend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1er janvier 2024 au 30 avril 2026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(soit 851 jours consécutifs d'activité industrielle).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sources couvrent les déclarations de fabrication, les mouvements d'inventaire physique, le référentiel des articles et le suivi du parc machines. Après prétraitement par le pipeline ETL, ces flux alimentent le Data Warehouse pour l'analyse décisionnelle et la modélisation prédictive.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766"/>
      </w:tblGrid>
      <w:tr>
        <w:trPr>
          <w:tblHeader/>
        </w:trPr>
        <w:tc>
          <w:tcPr>
            <w:tcW w:type="dxa" w:w="3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du périmètre de données</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constatée</w:t>
            </w:r>
          </w:p>
        </w:tc>
        <w:tc>
          <w:tcPr>
            <w:tcW w:type="dxa" w:w="27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temporelle couverte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30/04/2026</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851 jours consécutifs de production d'atelier.</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brutes d'inventaire extraites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enregistrements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Fichier source initial contenant les déclarations de stock brutes.</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nettoyées et validées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enregistrements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valides insérées dans la table FACT_Mvts_Stocks.</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détaillées d'atelier</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6 875 lignes actives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Enregistrements d'inventaire ventilés par atelier, dépôt et lot.</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Références articles au catalogue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800 références uniques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Articles plastiques distincts référencés dans DIM_FamArt.</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Presses à injecter suivies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319 machines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Parc de presses réparties sur les 3 sites industriels (DIM_OF-Mach).</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En-cours de fabrication enregistrés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8 344 enregistrements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des ordres d'injection en atelier (FACT_Encours).</w:t>
            </w:r>
          </w:p>
        </w:tc>
      </w:tr>
    </w:tbl>
    <w:p>
      <w:pPr>
        <w:spacing w:after="120" w:before="80"/>
        <w:jc w:val="center"/>
      </w:pPr>
      <w:r>
        <w:rPr>
          <w:rFonts w:ascii="Times New Roman" w:cs="Times New Roman" w:eastAsia="Times New Roman" w:hAnsi="Times New Roman"/>
          <w:i/>
          <w:iCs/>
          <w:color w:val="595959"/>
          <w:sz w:val="20"/>
          <w:szCs w:val="20"/>
        </w:rPr>
        <w:t xml:space="preserve">Tableau 3.2 : Périmètre quantitatif des données industrielles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3.3.2 Description des tables principales du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Data Warehouse est modélisé selon un schéma en étoile optimisé pour les requêtes analytiques [16], constitué de deux tables de dimensions et de cinq tables de faits interconnectées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0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 de la table DWH</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Nature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contenu fonctionnel</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dbo.DIM_FamArt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Dimension</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articles : code article (No_), désignation, famille matière (PP, PA66, ABS), groupe comptable et typologie client.</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dbo.DIM_OF-Mach</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Dimension</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319 presses à injecter : identifiant machine, site d'implantation (Kondar, Sousse, Brno), tonnage et atelier d'affectation.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dbo.FACT_Mvts_Stocks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Historique validé des stocks et mouvements : date, référence article, quantité disponible, coût unitaire valorisé et site.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dbo.FACT_Encours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des 8 344 en-cours d'atelier : pièces et sous-ensembles en cours d'injection sur les lignes de production.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dbo.Fact_PA</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Production journalière réelle : volumes injectés, pièces conformes, cadences effectives et temps opératoires.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dbo.FACT_OF-Rebuts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Défaillances qualité : pièces rebutées lors de la fabrication avec typologie des défauts (bavures, retassures, déformations).</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dbo.FACT_BOM</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Nomenclatures produits (Bill of Materials) : arborescence des composants et coefficients de consommation par pièce finie.</w:t>
            </w:r>
          </w:p>
        </w:tc>
      </w:tr>
    </w:tbl>
    <w:p>
      <w:pPr>
        <w:spacing w:after="120" w:before="80"/>
        <w:jc w:val="center"/>
      </w:pPr>
      <w:r>
        <w:rPr>
          <w:rFonts w:ascii="Times New Roman" w:cs="Times New Roman" w:eastAsia="Times New Roman" w:hAnsi="Times New Roman"/>
          <w:i/>
          <w:iCs/>
          <w:color w:val="595959"/>
          <w:sz w:val="20"/>
          <w:szCs w:val="20"/>
        </w:rPr>
        <w:t xml:space="preserve">Tableau 3.3 : Tables principales du Data Warehouse en schéma en étoile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3.3.3 Modélisation dimensionnelle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3.1 présente le diagramme relationnel modélisant l'agencement des dimensions et des tables de faits au sein de la base de données DWH :</w:t>
      </w:r>
    </w:p>
    <w:p>
      <w:pPr>
        <w:spacing w:after="40" w:before="40"/>
      </w:pPr>
      <w:r>
        <w:t xml:space="preserve"/>
      </w:r>
    </w:p>
    <w:p>
      <w:pPr>
        <w:spacing w:after="60" w:before="14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952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3.1 : Modélisation dimensionnelle en étoile du Data Warehouse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liaisons dimensionnelles fondamentales sont les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FACT_Mvts_Stocks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chaque référence d'article est associée à l'historique complet de ses réceptions, consommations et niveaux d'inventaire.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FACT_Encours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permet de rattacher chaque lot en fabrication à ses caractéristiques matière et de moule.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DIM_OF-Mach vers Fact_PA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chaque presse à injecter génère quotidiennement des enregistrements de cadence et d'heures de marche.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FACT_BOM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décompose un article parent en l'ensemble de ses composants requis pour l'injection.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Fact_PA vers FACT_OF-Rebuts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associe à chaque déclaration de fabrication les volumes rebutés et les motifs d'anomalie.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3.4 Analyse exploratoire des données (EDA)</w:t>
      </w:r>
    </w:p>
    <w:p>
      <w:pPr>
        <w:pStyle w:val="Heading3"/>
        <w:spacing w:after="70" w:before="140"/>
        <w:outlineLvl w:val="2"/>
      </w:pPr>
      <w:r>
        <w:rPr>
          <w:rFonts w:ascii="Times New Roman" w:cs="Times New Roman" w:eastAsia="Times New Roman" w:hAnsi="Times New Roman"/>
          <w:b/>
          <w:bCs/>
          <w:color w:val="000000"/>
          <w:sz w:val="24"/>
          <w:szCs w:val="24"/>
        </w:rPr>
        <w:t xml:space="preserve">3.4.1 Analyse statistique de la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exploration statistique descriptive a été menée sur l'agrégat journalier de la production de pièces conformes (sur l'ensemble des 319 presses) afin d'en cerner la tendance centrale et la variabilité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100"/>
        <w:gridCol w:w="1100"/>
        <w:gridCol w:w="1000"/>
        <w:gridCol w:w="10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 de production</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Minimum</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Maximum</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Moyenne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Médiane</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Écart-type</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CV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Cadence journalière globale (pcs/j)</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12 450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64 890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63 120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19 450</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30,0 %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d'injection effectives / jour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420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2 380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1 840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1 890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295 h</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16,0 %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d'arrêts machines / jour</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890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285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260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115 h</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40,4 %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rebut moyen d'atelier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0,4 %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1,85 %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1,70 %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0,65 %</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35,1 %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Rendement Global (TRG/OEE) [25]</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48,2 %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88,6 %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71,4 %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72,1 %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9,5 %</w:t>
            </w:r>
          </w:p>
        </w:tc>
      </w:tr>
    </w:tbl>
    <w:p>
      <w:pPr>
        <w:spacing w:after="120" w:before="80"/>
        <w:jc w:val="center"/>
      </w:pPr>
      <w:r>
        <w:rPr>
          <w:rFonts w:ascii="Times New Roman" w:cs="Times New Roman" w:eastAsia="Times New Roman" w:hAnsi="Times New Roman"/>
          <w:i/>
          <w:iCs/>
          <w:color w:val="595959"/>
          <w:sz w:val="20"/>
          <w:szCs w:val="20"/>
        </w:rPr>
        <w:t xml:space="preserve">Tableau 3.4 : Statistiques descriptives de la série journalière de production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3.5 détaille l'impact mesuré des événements industriels et des variations calendaires sur la cadence d'atelier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800"/>
        <w:gridCol w:w="1800"/>
        <w:gridCol w:w="13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 Événement opérationnel</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Nb jours</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Moy. (pcs/j)</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Max (pcs/j)</w:t>
            </w:r>
          </w:p>
        </w:tc>
        <w:tc>
          <w:tcPr>
            <w:tcW w:type="dxa" w:w="1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Ratio vs Normal</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Activité nominale standard</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580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66 420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98 450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estivale (congés constructeurs)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38 210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0,58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Pics de livraison de fin de trimestre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94 850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1,43</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Maintenance annuelle programmée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18 900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28 400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0,28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Changements d'outillages (moules)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54 300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76 200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0,82</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de Ramadan (horaires adaptés)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56 800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79 100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0,86</w:t>
            </w:r>
          </w:p>
        </w:tc>
      </w:tr>
    </w:tbl>
    <w:p>
      <w:pPr>
        <w:spacing w:after="120" w:before="80"/>
        <w:jc w:val="center"/>
      </w:pPr>
      <w:r>
        <w:rPr>
          <w:rFonts w:ascii="Times New Roman" w:cs="Times New Roman" w:eastAsia="Times New Roman" w:hAnsi="Times New Roman"/>
          <w:i/>
          <w:iCs/>
          <w:color w:val="595959"/>
          <w:sz w:val="20"/>
          <w:szCs w:val="20"/>
        </w:rPr>
        <w:t xml:space="preserve">Tableau 3.5 : Impact des événements et variations industrielles sur la cadence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Note explicative</w:t>
      </w:r>
      <w:r>
        <w:rPr>
          <w:rFonts w:ascii="Times New Roman" w:cs="Times New Roman" w:eastAsia="Times New Roman" w:hAnsi="Times New Roman"/>
          <w:b w:val="false"/>
          <w:bCs w:val="false"/>
          <w:i w:val="false"/>
          <w:iCs w:val="false"/>
          <w:color w:val="1A1A1A"/>
          <w:sz w:val="24"/>
          <w:szCs w:val="24"/>
        </w:rPr>
        <w:t xml:space="preserve"> : La moyenne globale de 64 890 pièces/jour (Tableau 3.4) résulte de la combinaison pondérée de l'activité nominale (66 420 pcs/j sur 580 jours) avec les périodes de suractivité (94 850 pcs/j en fin de trimestre) et les ralentissements programmés (congés, maintenance, Ramadan avec un ratio calculé de 56 800 / 66 420 = 0,86).</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3.4.2 Visualisation des séries temporelles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3.2 retrace l'évolution temporelle de la production journalière globale sur les 851 jours observés, mettant en lumière le rythme soutenu de l'atelier entrecoupé des baisses saisonnières estivales et hivernales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3.2 : Évolution temporelle de la production globale des 319 presses (2024–2026)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3.3 présente la distribution de la cadence selon le jour de la semaine et le mois de l'année, démontrant la régularité du rythme du lundi au vendredi et l'allègement habituel des équipes le week-end :</w:t>
      </w:r>
    </w:p>
    <w:p>
      <w:pPr>
        <w:spacing w:after="40" w:before="40"/>
      </w:pPr>
      <w:r>
        <w:t xml:space="preserve"/>
      </w:r>
    </w:p>
    <w:p>
      <w:pPr>
        <w:spacing w:after="60" w:before="14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095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3.3 : Profils de saisonnalité de production par jour de semaine et par mois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3.4 illustre la carte thermique croisant mois et jours de la semaine, localisant avec précision les périodes de forte sollicitation des presses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3.4 : Heatmap d'activité atelier : cadence selon le mois et le jour de semaine</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3.5 Conception et réalisation du pipeline ETL</w:t>
      </w:r>
    </w:p>
    <w:p>
      <w:pPr>
        <w:pStyle w:val="Heading3"/>
        <w:spacing w:after="70" w:before="140"/>
        <w:outlineLvl w:val="2"/>
      </w:pPr>
      <w:r>
        <w:rPr>
          <w:rFonts w:ascii="Times New Roman" w:cs="Times New Roman" w:eastAsia="Times New Roman" w:hAnsi="Times New Roman"/>
          <w:b/>
          <w:bCs/>
          <w:color w:val="000000"/>
          <w:sz w:val="24"/>
          <w:szCs w:val="24"/>
        </w:rPr>
        <w:t xml:space="preserve">3.5.1 Architecture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pipeline de traitement (implanté dans le package Python `etl_pipeline/` [18, 19]) est conçu de façon modulaire afin de garantir la reproductibilité et la traçabilité des transformations. Il s'articule en quatre phases séquentielles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multi-sources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robuste des fichiers d'extraction bruts avec détection automatique de l'encodage (UTF-8, Latin-1) et contrôle des en-têtes.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Assainissement de la qualité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ordonnée des filtres de nettoyage pour éliminer les doublons et redresser les 10 anomalies recensées.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Structuration dimensionnelle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séparation des données en tables de dimensions et de faits conformément au modèle en étoile.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Chargement dans le DWH</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insertion performante par lots dans SQL Server [16] avec mise à jour des index et journalisation.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3.5 illustre le flux séquentiel des données à travers le pipeline ETL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3.5 : Architecture et flux séquentiel du pipeline ETL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diagramme de séquence de la figure 3.6 détaille les interactions dynamiques entre les modules d'extraction, de nettoyage et de persistance :</w:t>
      </w:r>
    </w:p>
    <w:p>
      <w:pPr>
        <w:spacing w:after="40" w:before="40"/>
      </w:pPr>
      <w:r>
        <w:t xml:space="preserve"/>
      </w:r>
    </w:p>
    <w:p>
      <w:pPr>
        <w:spacing w:after="60" w:before="14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381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3.6 : Diagramme de séquence du pipeline ETL d'atelier</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3.5.2 Extraction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d'extraction extrait les données brutes issues des exports ERP sans modifier les structures initiales. Les données textuelles sont chargées sous forme brute pour permettre l'évaluation quantitative des anomalies avant toute opération de correction.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3.5.3 Transformation et traitement des anomalies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du fichier d'inventaire brut (`ASTOCKDATE_RAW.csv`) contenant 51 500 enregistrements a révélé une redondance massive issue des extractions automatisées de l'ERP ainsi que plusieurs incohérences de saisie. Le module de nettoyage applique dix règles de traitement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Identifiants articles (No_)</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standardisation de la casse, suppression des espaces parasites et rejet des 460 lignes sans identifiant de produit réconciliable.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Dédoublonnage sur clé métier composite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stricte de 18 337 lignes redondantes sur la clé composite (DateStock, No_, Site).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Nettoyage des chaînes textuelles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suppression des espaces multiples et des caractères de contrôle indésirables.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Harmonisation des dates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conversion au format ISO 8601 (YYYY-MM-DD) et rejet de 660 enregistrements comportant des dates calendaires impossibles (ex: 30 février).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Standardisation des formats numériques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conversion des virgules en points décimaux et suppression des unités textuelles ('500 u' -&gt; 500.0).</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Redressement des coûts unitaires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des suffixes monétaires et remplacement des coûts négatifs ou nuls par la médiane de la famille matière correspondante.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 Harmonisation des catégories d'articles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normalisation des libellés de familles plastiques (PP, PA66, ABS, POM).</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 Standardisation des sites de 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unification des dénominations des ateliers (Kondar, Sousse, Brno).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9. Cohérence logique inter-colonnes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réconciliation des écarts de quantités physiques et normalisation de l'indicateur d'en-cours.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10. Imputation des valeurs manquantes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affectation de valeurs par défaut qualifiées pour les attributs secondaires.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3.6 présente le bilan quantitatif complet sous forme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table en cascade (waterfall)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retraçant le passage des données brutes aux données validées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066"/>
      </w:tblGrid>
      <w:tr>
        <w:trPr>
          <w:tblHeader/>
        </w:trPr>
        <w:tc>
          <w:tcPr>
            <w:tcW w:type="dxa" w:w="3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Étape de filtrage / Règle de qualité appliquée</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Volume de lignes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Variation</w:t>
            </w:r>
          </w:p>
        </w:tc>
        <w:tc>
          <w:tcPr>
            <w:tcW w:type="dxa" w:w="2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opérationnel</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brut initial extrait de l'ERP</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Base (100,0 %)</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d'inventaire brutes avant traitement.</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Suppression des doublons stricts et sur clé (DateStock, No_, Site)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- 18 337</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- 35,61 %</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Élimination des redondances issues des exports.</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dates invalides ou hors calendrier (format non ISO)</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- 660</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- 1,28 %</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dates erronées (ex: 30 février).</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Élimination des identifiants articles manquants ou non réconciliables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- 460</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- 0,89 %</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lignes orphelines sans référence DIM_FamArt.</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Volume final validé chargé dans le DWH</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32 043</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Rétention : 62,22 %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Lignes d'inventaire valides et assainies dans FACT_Mvts_Stocks.</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Harmonisation des formats numériques et décimaux</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464 champs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Sans perte</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Suppression des unités 'u' et points décimaux normalisés.</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Imputation des coûts unitaires négatifs ou nuls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528 valeurs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Sans perte</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Imputation par la médiane de la famille matière.</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Régularisation des stocks négatifs transitoires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165 cas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Sans perte</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Régularisation des écritures logistiques transitoires.</w:t>
            </w:r>
          </w:p>
        </w:tc>
      </w:tr>
    </w:tbl>
    <w:p>
      <w:pPr>
        <w:spacing w:after="120" w:before="80"/>
        <w:jc w:val="center"/>
      </w:pPr>
      <w:r>
        <w:rPr>
          <w:rFonts w:ascii="Times New Roman" w:cs="Times New Roman" w:eastAsia="Times New Roman" w:hAnsi="Times New Roman"/>
          <w:i/>
          <w:iCs/>
          <w:color w:val="595959"/>
          <w:sz w:val="20"/>
          <w:szCs w:val="20"/>
        </w:rPr>
        <w:t xml:space="preserve">Tableau 3.6 : Bilan quantitatif de la qualité des données (Waterfall ETL)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Ingénierie des variables explicatives (Feature Engineering)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Après assainissement, le pipeline génère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16 variables explicatives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destinées à alimenter les modèles d'apprentissage automatique [11]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calendaires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`day_of_week`, `is_weekend`, `month`, `working_day`.</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d'événements et d'équipes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`is_holiday`, `is_summer_break`, `shift_pattern`.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de décalage temporel / Lags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`lag_1`, `lag_7`, `lag_14`, `lag_30` (cadences passées à J-1, J-7, J-14 et J-30).</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de moyennes mobiles et volatilité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`roll_mean_7`, `roll_mean_14`, `roll_std_7` (calculées sur les données passées décalées afin d'éviter toute fuite temporelle).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industriels d'atelier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indicateur de maintenance planifiée et indicateur de changement de moule.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3.5.4 Chargement dans le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phase terminale insère les données transformées dans les tables SQL Server du DWH [16]. Pour accélérer les temps de restitution décisionnelle, des index spécifiques ont été posés sur les clés primaires composites ainsi que sur les attributs de filtrage temporel (`DateStock`) et de référence (`No_`).</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3.6 Résultats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3.7 synthétise les indicateurs de performance obtenus lors de l'exécution complète du pipeline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666"/>
      </w:tblGrid>
      <w:tr>
        <w:trPr>
          <w:tblHeader/>
        </w:trPr>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de performance ETL</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mesurée</w:t>
            </w:r>
          </w:p>
        </w:tc>
        <w:tc>
          <w:tcPr>
            <w:tcW w:type="dxa" w:w="2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Interprétation</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brutes traitées en entrée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enregistrements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d'inventaire extrait de l'ERP.</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validées chargées dans le DWH</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enregistrements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assaini inséré dans FACT_Mvts_Stocks.</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rétention de données assainies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62,22 %</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Conforme après dédoublonnage (-35,6 %) et rejets (-2,2 %).</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d'anomalies résiduelles dans le DWH</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0,0 %</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 des contraintes d'intégrité et de format satisfaites.</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Variables créées pour l'apprentissage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 variables explicatives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Prêtes pour la modélisation prédictive.</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moyen d'exécution du pipeline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2,62 secondes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Traitement vectorisé sous Pandas performant.</w:t>
            </w:r>
          </w:p>
        </w:tc>
      </w:tr>
    </w:tbl>
    <w:p>
      <w:pPr>
        <w:spacing w:after="120" w:before="80"/>
        <w:jc w:val="center"/>
      </w:pPr>
      <w:r>
        <w:rPr>
          <w:rFonts w:ascii="Times New Roman" w:cs="Times New Roman" w:eastAsia="Times New Roman" w:hAnsi="Times New Roman"/>
          <w:i/>
          <w:iCs/>
          <w:color w:val="595959"/>
          <w:sz w:val="20"/>
          <w:szCs w:val="20"/>
        </w:rPr>
        <w:t xml:space="preserve">Tableau 3.7 : Résultats quantitatifs et techniques du pipeline ETL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3.7 Bilan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3.8 présente le bilan d'avancement des livrables réalisés au terme du Sprint 1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066"/>
        <w:gridCol w:w="1200"/>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des sources brutes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d'ingestion multi-formats avec détection d'encodage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Nettoyage des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traitant les 10 anomalies et dédoublonnage sur clé composite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dimensionnelle</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Structuration des 7 tables du DWH en schéma en étoile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en base de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d'insertion des 32 043 lignes avec index optimisés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Feature Engineering</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rigoureux des 16 variables explicatives sans fuite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d'audit de qualité</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Journalisation automatisée et table waterfall avant/après nettoyage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3.8 : Bilan des livrables du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3.8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les travaux menés lors du Sprint 1 pour fiabiliser les données industrielles. En assainissant le fichier brut d'inventaire de 51 500 lignes pour charger 32 043 enregistrements validés dans le Data Warehouse, le pipeline ETL garantit une base de données cohérente et sans doublon. Ces données intègres permettent d'aborder sereinement le Sprint 2, consacré au développement du module de gestion intelligente des stocks.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4 : Sprint 2 : Développement du module de gestion intelligente des stocks</w:t>
      </w:r>
    </w:p>
    <w:p>
      <w:pPr>
        <w:pStyle w:val="Heading2"/>
        <w:spacing w:after="90" w:before="200"/>
        <w:outlineLvl w:val="1"/>
      </w:pPr>
      <w:r>
        <w:rPr>
          <w:rFonts w:ascii="Times New Roman" w:cs="Times New Roman" w:eastAsia="Times New Roman" w:hAnsi="Times New Roman"/>
          <w:b/>
          <w:bCs/>
          <w:color w:val="000000"/>
          <w:sz w:val="28"/>
          <w:szCs w:val="28"/>
        </w:rPr>
        <w:t xml:space="preserve">4.1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2 de notre démarche Scrum. Dans un atelier de plasturgie automobile, la gestion proactive des stocks de matières premières (résines thermoplastiques telles que PP, PA66 ou ABS) et de sous-composants est déterminante pour prévenir les arrêts inopinés de presses tout en limitant l'immobilisation financière liée aux surstocks. L'objectif de ce sprint est de concevoir le module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plateforme Nexora. En s'appuyant sur les données assainies issues du Data Warehouse, ce module segmente le catalogue d'articles, analyse la couverture restante, génère des alertes visuelles hiérarchisées et calcule les réapprovisionnements optimaux pour sécuriser un horizon de 45 jours d'activité sur le référentiel des 800 articles [14, 15].</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4.2 Backlog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 récapitule les tâches planifiées pour le Sprint 2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des flux logistiques et architecture du module de gestion des stocks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taux de consommation journaliers, de la couverture en jours et des rotations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multicritère des 800 références : méthode Pareto ABC et clustering K-Means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la classification par niveau de risque (Rupture, Critique, Normal, Surstock)</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l'algorithme de calcul des commandes d'approvisionnement (horizon 45 jours)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 global des approvisionnements prioritaires (environ 380 400 TND)</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Hiérarchisation des alertes d'atelier et intégration des fonctions d'exportation</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4.1 : Priorisation des tâches pour le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4.3 Architecture du module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fonctionnement du module repose sur un enchaînement méthodique en quatre phases, illustré par la figure 4.1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4.1 : Architecture et flux de traitement du module de gestion des stocks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 d'inventaire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des stocks physiques disponibles et de l'historique des sorties matière depuis la table `FACT_Mvts_Stocks` du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Calcul des indicateurs logistiques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du taux de consommation journalier, de l'autonomie restante en jours de production et de la vitesse de rotation.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Double segmentation des articles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catégorisation économique par la méthode Pareto ABC et regroupement non supervisé par clustering K-Means [9], complétés par l'affectation à un statut de risque opérationnel.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Recommandations et budgétisation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proposition de quantités de commande pour sécuriser un horizon de 45 jours calculées à partir du taux de consommation validé, calcul de l'enveloppe budgétaire et émission d'alertes.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4.4 Analyse des niveaux de stock et indicateurs de rotation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évaluer la situation de chaque référence du catalogue, nous calculons son taux de consommation journalier historique à partir de l'activité annuelle de l'atelier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Taux_Journalier_Historique_i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Deux indicateurs fondamentaux de gestion industrielle [14] sont systématiquement suivis pour chaque référence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couverture disponible en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durée d'autonomie estimée de la production en l'absence de toute nouvelle livraison :
</w:t>
      </w:r>
      <w:r>
        <w:rPr>
          <w:rFonts w:ascii="Times New Roman" w:cs="Times New Roman" w:eastAsia="Times New Roman" w:hAnsi="Times New Roman"/>
          <w:b w:val="false"/>
          <w:bCs w:val="false"/>
          <w:i/>
          <w:iCs/>
          <w:color w:val="1A1A1A"/>
          <w:sz w:val="24"/>
          <w:szCs w:val="24"/>
        </w:rPr>
        <w:t xml:space="preserve">Couverture_Jours_i = Stock_Actuel_i / Taux_Journalier_i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coefficient de rotation du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fréquence de renouvellement complet de l'inventaire au cours de l'exercice :
</w:t>
      </w:r>
      <w:r>
        <w:rPr>
          <w:rFonts w:ascii="Times New Roman" w:cs="Times New Roman" w:eastAsia="Times New Roman" w:hAnsi="Times New Roman"/>
          <w:b w:val="false"/>
          <w:bCs w:val="false"/>
          <w:i/>
          <w:iCs/>
          <w:color w:val="1A1A1A"/>
          <w:sz w:val="24"/>
          <w:szCs w:val="24"/>
        </w:rPr>
        <w:t xml:space="preserve">Rotation_i = Consommation_Annuelle_i / Stock_Actuel_i</w:t>
      </w:r>
      <w:r>
        <w:rPr>
          <w:rFonts w:ascii="Times New Roman" w:cs="Times New Roman" w:eastAsia="Times New Roman" w:hAnsi="Times New Roman"/>
          <w:b w:val="false"/>
          <w:bCs w:val="false"/>
          <w:i w:val="false"/>
          <w:iCs w:val="false"/>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rotation élevée caractérise un article consommé rapidement exigeant des flux logistiques tendus, alors qu'une rotation anormalement basse signale une référence dormante engendrant des frais d'entreposage superflus.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4.5 Classification et segmentation des produits</w:t>
      </w:r>
    </w:p>
    <w:p>
      <w:pPr>
        <w:pStyle w:val="Heading3"/>
        <w:spacing w:after="70" w:before="140"/>
        <w:outlineLvl w:val="2"/>
      </w:pPr>
      <w:r>
        <w:rPr>
          <w:rFonts w:ascii="Times New Roman" w:cs="Times New Roman" w:eastAsia="Times New Roman" w:hAnsi="Times New Roman"/>
          <w:b/>
          <w:bCs/>
          <w:color w:val="000000"/>
          <w:sz w:val="24"/>
          <w:szCs w:val="24"/>
        </w:rPr>
        <w:t xml:space="preserve">4.5.1 Segmentation multicritère Pareto ABC et Clustering K-Means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d'adopter une stratégie de gestion différenciée,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800 références d'articles du catalogue unique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(`DIM_FamArt`) font l'objet d'une double segmentation économique et volumique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Méthode Pareto ABC sur la valeur annuelle consommée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(valeur totale consommée : 14 311 585 TND, Figure 4.2) :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A (446 références, 55,8 % des références)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concentre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70,0 % de la valeur économique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(10 018 110 TND). Elle rassemble les résines thermoplastiques majeures et inserts à forte valeur faisant l'objet d'un contrôle régulier.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B (202 références, 25,2 % des références)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20,0 % de la valeur économique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(2 862 317 TND), correspondant aux composants techniques intermédiaires gérés par revue périodique.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C (152 références, 19,0 % des références)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10,0 % de la valeur économique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(1 431 158 TND), regroupant les références secondaires gérées par seuil d'alerte simplifié.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Clustering non supervisé K-Means ($k=3$) [9]</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partitionne les 800 références selon trois axes normalisés : valorisation de stock, stock physique disponible et taux de consommation journalier (Figure 4.2) :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Cluster 0 (227 références, 28,4 %)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articles à fort stock moyen (10 643 unités), consommation soutenue (139,8 pièces/jour) et valorisation moyenne de ligne de 327,6 TND (résines principales de forte rotation, soit un coût unitaire réel d'environ 0,031 TND/pièce).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Cluster 1 (299 références, 37,4 %)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articles à stock modéré (3 404 unités), cadence moyenne de 101,4 pièces/jour et valorisation moyenne de 300,3 TND par ligne d'inventaire.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Cluster 2 (274 références, 34,2 %)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composants techniques et inserts (valorisation moyenne de 351,2 TND par ligne), stock moyen de 3 694 unités et débit régulier de 93,4 pièces/jour.
</w:t>
      </w:r>
      <w:r>
        <w:rPr>
          <w:rFonts w:ascii="Times New Roman" w:cs="Times New Roman" w:eastAsia="Times New Roman" w:hAnsi="Times New Roman"/>
          <w:b w:val="false"/>
          <w:bCs w:val="false"/>
          <w:i/>
          <w:iCs/>
          <w:color w:val="1A1A1A"/>
          <w:sz w:val="24"/>
          <w:szCs w:val="24"/>
        </w:rPr>
        <w:t xml:space="preserve">Note méthodologique :</w:t>
      </w:r>
      <w:r>
        <w:rPr>
          <w:rFonts w:ascii="Times New Roman" w:cs="Times New Roman" w:eastAsia="Times New Roman" w:hAnsi="Times New Roman"/>
          <w:b w:val="false"/>
          <w:bCs w:val="false"/>
          <w:i w:val="false"/>
          <w:iCs w:val="false"/>
          <w:color w:val="1A1A1A"/>
          <w:sz w:val="24"/>
          <w:szCs w:val="24"/>
        </w:rPr>
        <w:t xml:space="preserve"> Ces montants de 300 à 350 TND correspondent à la valorisation consolidée du lot de stock par article (champ `Cout` de la table `ASTOCKDATE`) et non au coût unitaire par pièce. Le coût unitaire réel constaté dans le Data Warehouse s'établit en réalité à une médiane de 0,31 à 0,39 TND par unité (et une moyenne de 0,45 TND par unité sur les références critiques et en rupture).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4.5.2 Classification opérationnelle par niveau de risque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 la segmentation structurelle, chaque référence est affectée à un statut opérationnel selon sa couverture disponible, conformément aux seuils définis avec la direction logistique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100"/>
        <w:gridCol w:w="23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du stock</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Condition appliquée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visuel</w:t>
            </w:r>
          </w:p>
        </w:tc>
        <w:tc>
          <w:tcPr>
            <w:tcW w:type="dxa" w:w="2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Action opérationnelle recommandée</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Rupture de Stock</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physique = 0 unité</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Rouge</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Commande d'extrême urgence et réordonnancement pour éviter l'arrêt machine.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Critique</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&gt; 0 et Couverture &lt; 15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Orange</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Déclenchement d'un réapprovisionnement prioritaire sous 48 heures.</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Normal</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 jours ≤ Couverture &lt; 120 jours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Vert</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Niveau nominal équilibré ; aucune commande immédiate requise.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Surstock</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Couverture ≥ 120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Violet</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Gel des commandes futures pour limiter l'immobilisation de trésorerie.</w:t>
            </w:r>
          </w:p>
        </w:tc>
      </w:tr>
    </w:tbl>
    <w:p>
      <w:pPr>
        <w:spacing w:after="120" w:before="80"/>
        <w:jc w:val="center"/>
      </w:pPr>
      <w:r>
        <w:rPr>
          <w:rFonts w:ascii="Times New Roman" w:cs="Times New Roman" w:eastAsia="Times New Roman" w:hAnsi="Times New Roman"/>
          <w:i/>
          <w:iCs/>
          <w:color w:val="595959"/>
          <w:sz w:val="20"/>
          <w:szCs w:val="20"/>
        </w:rPr>
        <w:t xml:space="preserve">Tableau 4.2 : Classification des produits selon le niveau de couverture disponible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4.6 Génération des recommandations et chiffrage budgétaire</w:t>
      </w:r>
    </w:p>
    <w:p>
      <w:pPr>
        <w:pStyle w:val="Heading3"/>
        <w:spacing w:after="70" w:before="140"/>
        <w:outlineLvl w:val="2"/>
      </w:pPr>
      <w:r>
        <w:rPr>
          <w:rFonts w:ascii="Times New Roman" w:cs="Times New Roman" w:eastAsia="Times New Roman" w:hAnsi="Times New Roman"/>
          <w:b/>
          <w:bCs/>
          <w:color w:val="000000"/>
          <w:sz w:val="24"/>
          <w:szCs w:val="24"/>
        </w:rPr>
        <w:t xml:space="preserve">4.6.1 Algorithme de réapprovisionnement à horizon cible de 45 jours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les références en situation de Rupture ou de Stock Critique, le système calcule la quantité exacte requise pour rétablir une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couverture de sécurité 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(couvrant un délai moyen d'approvisionnement fournisseur de 30 jours augmenté d'un stock de sécurité de 15 jours)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Q_commander_i = max(Q_min_conditionnement, ⌈Taux_Journalier_i × 45⌉ - Stock_Actuel_i)</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avec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formulation, directement issue du moteur logistique du système, s'appuie sur la consommation annuelle validée dans le Data Warehouse. Elle garantit un réapprovisionnement proportionné aux cadences réelles sans introduire d'instabilité artificielle liée aux incertitudes prévisionnelles. L'intégration d'une pondération dynamique par les prévisions d'apprentissage automatique constitue une perspective d'évolution modulaire.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4.6.2 Estimation du budget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montant financier prévisionnel des réapprovisionnements est obtenu en valorisant les quantités suggérées par le coût unitaire d'achat réel enregistré dans le DWH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Budget_Total = Σ (Q_commander_i × Prix_Unitaire_i)</w:t>
      </w:r>
      <w:r>
        <w:rPr>
          <w:rFonts w:ascii="Times New Roman" w:cs="Times New Roman" w:eastAsia="Times New Roman" w:hAnsi="Times New Roman"/>
          <w:b w:val="false"/>
          <w:bCs w:val="false"/>
          <w:i/>
          <w:iCs/>
          <w:color w:val="1A1A1A"/>
          <w:sz w:val="24"/>
          <w:szCs w:val="24"/>
        </w:rPr>
        <w:t xml:space="preserve"> pour l'ensemble des références i ∈ (Rupture ∪ Critique)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métrique offre à l'administrateur une visibilité consolidée sur les engagements de trésorerie nécessaires à la continuité de la production.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4.6.3 Hiérarchisation des alertes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alertes sont classées par ordre décroissant de criticité en combinant le statut de stock, la classe ABC et le délai fournisseur, assurant que l'administrateur et l'opérateur d'atelier traitent en priorité les matières indispensables au maintien des lignes d'injection.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4.7 Résultats obtenus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 l'état des stocks est conduite sur l'unité maîtresse du référentiel produit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les 800 références distinctes du catalogue (`DIM_FamArt`)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ces 800 références d'articles, la distribution opérationnelle des stocks issue du DWH s'établit ainsi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Normal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557 références (69,6 %) disposent d'un niveau d'autonomie équilibré compris entre 15 et 120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Rupture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47 références (5,9 %) ont un stock physique nul et requièrent une relance immédiate.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Critique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146 références (18,2 %) présentent une autonomie strictement inférieure à 15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Surstock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50 références (6,2 %) dépassent 120 jours de couverture.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4.2 illustre la double segmentation Pareto ABC et K-Means obtenue sur les 800 références du catalogue :</w:t>
      </w:r>
    </w:p>
    <w:p>
      <w:pPr>
        <w:spacing w:after="40" w:before="40"/>
      </w:pPr>
      <w:r>
        <w:t xml:space="preserve"/>
      </w:r>
    </w:p>
    <w:p>
      <w:pPr>
        <w:spacing w:after="60" w:before="14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381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4.2 : Segmentation multicritère Pareto ABC et Clustering K-Means des stocks</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4.3 présente la synthèse des articles en alerte regroupés par grande famille de matières plastiques :</w:t>
      </w:r>
    </w:p>
    <w:p>
      <w:pPr>
        <w:spacing w:after="40" w:before="40"/>
      </w:pPr>
      <w:r>
        <w:t xml:space="preserve"/>
      </w:r>
    </w:p>
    <w:p>
      <w:pPr>
        <w:spacing w:after="60" w:before="140"/>
        <w:jc w:val="center"/>
      </w:pPr>
      <w:r>
        <w:drawing>
          <wp:inline distT="0" distB="0" distL="0" distR="0">
            <wp:extent cx="4953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4.3 : Répartition des alertes de rupture et de stock critique par famille de matière</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 total, le plan de réapprovisionnement à 45 jours concerne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193 références distinctes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(47 en rupture et 146 critiques, soit 24,1 % du catalogue). La quantité globale à commander s'élève à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847 204 unités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pour 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budget total prévisionnel estimé à environ 380 400 TND</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(380 393 TND). Ce budget est calculé directement d'après les coûts unitaires réels constatés dans le Data Warehouse (coût moyen de 0,45 TND par unité sur les références concernées).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4.8 Bilan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4.3 dresse le bilan des livrables réalisés au terme du Sprint 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du module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Schéma fonctionnel des flux et indicateurs de gestion des stocks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indicateurs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automatisé des taux journaliers, de la couverture et des rotations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multicritère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ABC de Pareto et clustering K-Means (k=3) sur 800 références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par statut</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Répartition des 800 références en 4 états opérationnels (47 ruptures, 146 critiques)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de réapprovisionnement</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Formule de couverture à 45 jours basée sur le taux de consommation validé</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du budget d'approvisionnement des 193 références (environ 380 400 TND)</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Alertes et exports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Vues d'alertes priorisées et exportation tabulaire pour les achats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4.3 : Bilan des livrables du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détaillé le développement du module de gestion intelligente des stocks lors du Sprint 2. En associant la segmentation économique ABC, le clustering K-Means en trois profils industriels et une formule de réapprovisionnement sur 45 jours basée sur la consommation d'atelier validée, la plateforme Nexora remplace les pratiques manuelles par un pilotage dynamique et préventif unifié sur les 800 références du catalogue. Le chapitre suivant aborde le Sprint 3, consacré à la modélisation prédictive par Intelligence Artificielle et à la détection d'anomalies.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5 : Sprint 3 : Modélisation prédictive par IA et détection d'anomalies</w:t>
      </w:r>
    </w:p>
    <w:p>
      <w:pPr>
        <w:pStyle w:val="Heading2"/>
        <w:spacing w:after="90" w:before="200"/>
        <w:outlineLvl w:val="1"/>
      </w:pPr>
      <w:r>
        <w:rPr>
          <w:rFonts w:ascii="Times New Roman" w:cs="Times New Roman" w:eastAsia="Times New Roman" w:hAnsi="Times New Roman"/>
          <w:b/>
          <w:bCs/>
          <w:color w:val="000000"/>
          <w:sz w:val="28"/>
          <w:szCs w:val="28"/>
        </w:rPr>
        <w:t xml:space="preserve">5.1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3 de notre démarche Scrum, consacré au développement du moteur prédictif et analytique de la plateforme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Pour anticiper les charges des ateliers d'injection et prévenir les tensions sur les approvisionnements, quatre algorithmes d'apprentissage automatique ont été développés et comparés : la Régression Linéaire, un modèle autorégressif ARIMA, Random Forest et le modèle Prophet. En complément, l'algorithme non supervisé Isolation Forest est employé pour surveiller le rythme des 319 presses à injecter et détecter les dérives anormales de cadence.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comparative met en évidence que Random Forest et Prophet affichent tous deux des performances proches et satisfaisantes (erreur relative moyenne de 6 % à 7 % de MAPE). Dans l'application opérationnelle, le modèle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 été retenu pour le déploiement en production en raison de sa décomposition explicite (tendance de fond, profil hebdomadaire et événements d'atelier) et de sa facilité d'intégration dans l'entrepôt de données SQL Server (table `ml_production_predictions`).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5.2 Backlog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 présente les tâches planifiées pour le Sprint 3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 la variable cible et transformation logarithmique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Ingénierie des 14 variables explicatives et calendrier d'atelier</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4 modèles de prévision de séries temporelles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comparative des performances aux horizons 7, 15 et 30 jours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Configuration d'Isolation Forest pour la surveillance des cadences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des prévisions Prophet dans la table ml_production_predictions du DWH</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5.1 : Priorisation des tâches pour le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5.3 Architecture du module de modélisation prédictive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processus de modélisation prédictive suit les cinq étapes illustrées par la figure 5.1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5.1 : Architecture et flux de traitement du module d'IA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Extraction des données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 l'historique des déclarations de fabrication depuis la table `Fact_PA` du Data Warehouse (851 jours réels).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Ingénierie des variables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variables explicatives (décalages temporels, moyennes mobiles, variables calendaires et événements industriels).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Entraînement des modèles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ajustement des algorithmes sur l'historique de production d'injection plastique.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Évaluation multi-horizons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mesure des métriques d'erreur sur les horizons de planification de 7, 15 et 30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Restitution et persistance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enregistrement des prévisions dans la table `ml_production_predictions` du DWH pour l'affichage Power BI et le portail web.</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5.4 Préparation des données et variables explicatives</w:t>
      </w:r>
    </w:p>
    <w:p>
      <w:pPr>
        <w:pStyle w:val="Heading3"/>
        <w:spacing w:after="70" w:before="140"/>
        <w:outlineLvl w:val="2"/>
      </w:pPr>
      <w:r>
        <w:rPr>
          <w:rFonts w:ascii="Times New Roman" w:cs="Times New Roman" w:eastAsia="Times New Roman" w:hAnsi="Times New Roman"/>
          <w:b/>
          <w:bCs/>
          <w:color w:val="000000"/>
          <w:sz w:val="24"/>
          <w:szCs w:val="24"/>
        </w:rPr>
        <w:t xml:space="preserve">5.4.1 Variable cible et transformation logarithmique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variable cible modélisée est le volume journalier global de pièces conformes produites par l'atelier. Afin de stabiliser la variance face aux fortes variations d'activité, une transformation logarithmique est appliquée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y_log = log(1 + Cadence_Journalière)</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prédictions générées sont ensuite reconverties dans l'espace physique d'origine pour exprimer directement les erreurs en pièces réelles par jour.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5.4.2 Variables explicatives et facteurs d'événements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5.2 récapitule les 14 variables explicatives créées pour alimenter les modèles prédictifs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Variables générées</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Justification métier et analytique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Calendrier (3)</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day_of_week, is_weekend, month</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Capture le profil hebdomadaire (lundi-vendredi en 3x8 vs week-end) et les tendances mensuelles.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Événements atelier (4)</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is_summer, is_eoq, is_maint, is_ramadan</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Intègre les congés d'août, les pics de fin de trimestre, la maintenance de janvier et le Ramadan.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Décalages / Lags (4)</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lag_1, lag_7, lag_14, lag_30</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Modélise la dépendance temporelle aux pas J-1, J-7, J-14 et J-30.</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Moyennes mobiles (3)</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roll_mean_7, roll_mean_14, roll_std_7</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Indique la tendance lourde récente et la variabilité de la production d'atelier.</w:t>
            </w:r>
          </w:p>
        </w:tc>
      </w:tr>
    </w:tbl>
    <w:p>
      <w:pPr>
        <w:spacing w:after="120" w:before="80"/>
        <w:jc w:val="center"/>
      </w:pPr>
      <w:r>
        <w:rPr>
          <w:rFonts w:ascii="Times New Roman" w:cs="Times New Roman" w:eastAsia="Times New Roman" w:hAnsi="Times New Roman"/>
          <w:i/>
          <w:iCs/>
          <w:color w:val="595959"/>
          <w:sz w:val="20"/>
          <w:szCs w:val="20"/>
        </w:rPr>
        <w:t xml:space="preserve">Tableau 5.2 : Les 14 variables explicatives du modèle de cadence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événements d'atelier intègrent notamment les congés estivaux d'août, les accélérations de fin de trimestre, l'arrêt de maintenance annuelle et la période de Ramadan.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5.4.3 Découpage chronologique du jeu de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découpage est chronologique : le jeu de test est postérieur à l'apprentissage (Tableau 5.3)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Partition</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couverte</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de jours</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méthodologique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(Train)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31/08/2025</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609 jours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Ajustement des modèles de prévision.</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01/09/2025 – 31/12/2025</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122 jours</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et comparaison des approches.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 d'évaluation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01/01/2026 – 30/04/2026</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120 jours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 des performances sur données futures.</w:t>
            </w:r>
          </w:p>
        </w:tc>
      </w:tr>
    </w:tbl>
    <w:p>
      <w:pPr>
        <w:spacing w:after="120" w:before="80"/>
        <w:jc w:val="center"/>
      </w:pPr>
      <w:r>
        <w:rPr>
          <w:rFonts w:ascii="Times New Roman" w:cs="Times New Roman" w:eastAsia="Times New Roman" w:hAnsi="Times New Roman"/>
          <w:i/>
          <w:iCs/>
          <w:color w:val="595959"/>
          <w:sz w:val="20"/>
          <w:szCs w:val="20"/>
        </w:rPr>
        <w:t xml:space="preserve">Tableau 5.3 : Découpage chronologique du jeu de données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5.5 Métriques d'évaluation de la performance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qualité des prévisions est mesurée par quatre indicateurs standards exprimés en unités réelles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MAE (Mean Absolute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écart absolu moyen entre les cadences observées et prédites, en pièces par jour :
</w:t>
      </w:r>
      <w:r>
        <w:rPr>
          <w:rFonts w:ascii="Times New Roman" w:cs="Times New Roman" w:eastAsia="Times New Roman" w:hAnsi="Times New Roman"/>
          <w:b w:val="false"/>
          <w:bCs w:val="false"/>
          <w:i/>
          <w:iCs/>
          <w:color w:val="1A1A1A"/>
          <w:sz w:val="24"/>
          <w:szCs w:val="24"/>
        </w:rPr>
        <w:t xml:space="preserve">MAE = (1 / n) × Σ |y_i - ŷ_i|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RMSE (Root Mean Squared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racine carrée de l'erreur quadratique moyenne, sensible aux fortes variations :
</w:t>
      </w:r>
      <w:r>
        <w:rPr>
          <w:rFonts w:ascii="Times New Roman" w:cs="Times New Roman" w:eastAsia="Times New Roman" w:hAnsi="Times New Roman"/>
          <w:b w:val="false"/>
          <w:bCs w:val="false"/>
          <w:i/>
          <w:iCs/>
          <w:color w:val="1A1A1A"/>
          <w:sz w:val="24"/>
          <w:szCs w:val="24"/>
        </w:rPr>
        <w:t xml:space="preserve">RMSE = √((1 / n) × Σ (y_i - ŷ_i)²)</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MAPE (Mean Absolute Percentage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pourcentage d'erreur relatif moyen par rapport au volume réel :
</w:t>
      </w:r>
      <w:r>
        <w:rPr>
          <w:rFonts w:ascii="Times New Roman" w:cs="Times New Roman" w:eastAsia="Times New Roman" w:hAnsi="Times New Roman"/>
          <w:b w:val="false"/>
          <w:bCs w:val="false"/>
          <w:i/>
          <w:iCs/>
          <w:color w:val="1A1A1A"/>
          <w:sz w:val="24"/>
          <w:szCs w:val="24"/>
        </w:rPr>
        <w:t xml:space="preserve">MAPE = (100 / n) × Σ |(y_i - ŷ_i) / y_i|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R² (Coefficient de détermination)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proportion de la variance de production expliquée par le modèle :
</w:t>
      </w:r>
      <w:r>
        <w:rPr>
          <w:rFonts w:ascii="Times New Roman" w:cs="Times New Roman" w:eastAsia="Times New Roman" w:hAnsi="Times New Roman"/>
          <w:b w:val="false"/>
          <w:bCs w:val="false"/>
          <w:i/>
          <w:iCs/>
          <w:color w:val="1A1A1A"/>
          <w:sz w:val="24"/>
          <w:szCs w:val="24"/>
        </w:rPr>
        <w:t xml:space="preserve">R² = 1 - (Σ (y_i - ŷ_i)² / Σ (y_i - ȳ)²)</w:t>
      </w:r>
      <w:r>
        <w:rPr>
          <w:rFonts w:ascii="Times New Roman" w:cs="Times New Roman" w:eastAsia="Times New Roman" w:hAnsi="Times New Roman"/>
          <w:b w:val="false"/>
          <w:bCs w:val="false"/>
          <w:i w:val="false"/>
          <w:iCs w:val="false"/>
          <w:color w:val="1A1A1A"/>
          <w:sz w:val="24"/>
          <w:szCs w:val="24"/>
        </w:rP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5.6 Développement des modèles d'intelligence artificielle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modéliser la cadence de production de l'atelier d'injection plastique et anticiper les charges machines, quatre approches algorithmiques ont été développées, entraînées et comparées :</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5.6.1 Régression Linéaire Multiple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régression linéaire multiple sert de modèle statistique de référence (baseline). Elle postule une relation linéaire directe entre les 14 variables explicatives (calendaires, retardées et d'atelier) et le logarithme de la cadence journalière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 = β_0 + Σ (β_j × X_j) + ε</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w:t>
      </w:r>
      <w:r>
        <w:rPr>
          <w:rFonts w:ascii="Times New Roman" w:cs="Times New Roman" w:eastAsia="Times New Roman" w:hAnsi="Times New Roman"/>
          <w:b w:val="false"/>
          <w:bCs w:val="false"/>
          <w:i/>
          <w:iCs/>
          <w:color w:val="1A1A1A"/>
          <w:sz w:val="24"/>
          <w:szCs w:val="24"/>
        </w:rPr>
        <w:t xml:space="preserve">β_0</w:t>
      </w:r>
      <w:r>
        <w:rPr>
          <w:rFonts w:ascii="Times New Roman" w:cs="Times New Roman" w:eastAsia="Times New Roman" w:hAnsi="Times New Roman"/>
          <w:b w:val="false"/>
          <w:bCs w:val="false"/>
          <w:i w:val="false"/>
          <w:iCs w:val="false"/>
          <w:color w:val="1A1A1A"/>
          <w:sz w:val="24"/>
          <w:szCs w:val="24"/>
        </w:rPr>
        <w:t xml:space="preserve"> représente la constante, </w:t>
      </w:r>
      <w:r>
        <w:rPr>
          <w:rFonts w:ascii="Times New Roman" w:cs="Times New Roman" w:eastAsia="Times New Roman" w:hAnsi="Times New Roman"/>
          <w:b w:val="false"/>
          <w:bCs w:val="false"/>
          <w:i/>
          <w:iCs/>
          <w:color w:val="1A1A1A"/>
          <w:sz w:val="24"/>
          <w:szCs w:val="24"/>
        </w:rPr>
        <w:t xml:space="preserve">β_j</w:t>
      </w:r>
      <w:r>
        <w:rPr>
          <w:rFonts w:ascii="Times New Roman" w:cs="Times New Roman" w:eastAsia="Times New Roman" w:hAnsi="Times New Roman"/>
          <w:b w:val="false"/>
          <w:bCs w:val="false"/>
          <w:i w:val="false"/>
          <w:iCs w:val="false"/>
          <w:color w:val="1A1A1A"/>
          <w:sz w:val="24"/>
          <w:szCs w:val="24"/>
        </w:rPr>
        <w:t xml:space="preserve"> les coefficients de régression associés à chaque variable explicative </w:t>
      </w:r>
      <w:r>
        <w:rPr>
          <w:rFonts w:ascii="Times New Roman" w:cs="Times New Roman" w:eastAsia="Times New Roman" w:hAnsi="Times New Roman"/>
          <w:b w:val="false"/>
          <w:bCs w:val="false"/>
          <w:i/>
          <w:iCs/>
          <w:color w:val="1A1A1A"/>
          <w:sz w:val="24"/>
          <w:szCs w:val="24"/>
        </w:rPr>
        <w:t xml:space="preserve">X_j</w:t>
      </w:r>
      <w:r>
        <w:rPr>
          <w:rFonts w:ascii="Times New Roman" w:cs="Times New Roman" w:eastAsia="Times New Roman" w:hAnsi="Times New Roman"/>
          <w:b w:val="false"/>
          <w:bCs w:val="false"/>
          <w:i w:val="false"/>
          <w:iCs w:val="false"/>
          <w:color w:val="1A1A1A"/>
          <w:sz w:val="24"/>
          <w:szCs w:val="24"/>
        </w:rPr>
        <w:t xml:space="preserve">, et </w:t>
      </w:r>
      <w:r>
        <w:rPr>
          <w:rFonts w:ascii="Times New Roman" w:cs="Times New Roman" w:eastAsia="Times New Roman" w:hAnsi="Times New Roman"/>
          <w:b w:val="false"/>
          <w:bCs w:val="false"/>
          <w:i/>
          <w:iCs/>
          <w:color w:val="1A1A1A"/>
          <w:sz w:val="24"/>
          <w:szCs w:val="24"/>
        </w:rPr>
        <w:t xml:space="preserve">ε</w:t>
      </w:r>
      <w:r>
        <w:rPr>
          <w:rFonts w:ascii="Times New Roman" w:cs="Times New Roman" w:eastAsia="Times New Roman" w:hAnsi="Times New Roman"/>
          <w:b w:val="false"/>
          <w:bCs w:val="false"/>
          <w:i w:val="false"/>
          <w:iCs w:val="false"/>
          <w:color w:val="1A1A1A"/>
          <w:sz w:val="24"/>
          <w:szCs w:val="24"/>
        </w:rPr>
        <w:t xml:space="preserve"> le terme d'erreur résiduelle.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Temps d'apprentissage et d'inférence quasi-instantanés.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Incapacité structurelle à modéliser les non-linéarités complexes d'atelier.</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Interprétabilité directe des coefficients de pondération.</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à l'accumulation d'erreurs en projection récursive multi-pas.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Faible consommation de ressources de calcul.</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Sensibilité à la colinéarité des variables explicatives.</w:t>
            </w:r>
          </w:p>
        </w:tc>
      </w:tr>
    </w:tbl>
    <w:p>
      <w:pPr>
        <w:spacing w:after="140" w:before="90"/>
        <w:jc w:val="center"/>
      </w:pPr>
      <w:r>
        <w:rPr>
          <w:rFonts w:ascii="Times New Roman" w:cs="Times New Roman" w:eastAsia="Times New Roman" w:hAnsi="Times New Roman"/>
          <w:b/>
          <w:bCs/>
          <w:color w:val="333333"/>
          <w:sz w:val="20"/>
          <w:szCs w:val="20"/>
        </w:rPr>
        <w:t xml:space="preserve">TABLEAU 5.4 : </w:t>
      </w:r>
      <w:r>
        <w:rPr>
          <w:rFonts w:ascii="Times New Roman" w:cs="Times New Roman" w:eastAsia="Times New Roman" w:hAnsi="Times New Roman"/>
          <w:color w:val="333333"/>
          <w:sz w:val="20"/>
          <w:szCs w:val="20"/>
        </w:rPr>
        <w:t xml:space="preserve">Avantages et limites : Régression Linéaire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5.6.2 Modèle ARIMA (AutoRegressive Integrated Moving Average)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modèle ARIMA [3] constitue la méthode statistique univariée de référence pour les séries temporelles. Il combine la dépendance linéaire aux valeurs passées de la série (partie autorégressive AR d'ordre </w:t>
      </w:r>
      <w:r>
        <w:rPr>
          <w:rFonts w:ascii="Times New Roman" w:cs="Times New Roman" w:eastAsia="Times New Roman" w:hAnsi="Times New Roman"/>
          <w:b w:val="false"/>
          <w:bCs w:val="false"/>
          <w:i/>
          <w:iCs/>
          <w:color w:val="1A1A1A"/>
          <w:sz w:val="24"/>
          <w:szCs w:val="24"/>
        </w:rPr>
        <w:t xml:space="preserve">p</w:t>
      </w:r>
      <w:r>
        <w:rPr>
          <w:rFonts w:ascii="Times New Roman" w:cs="Times New Roman" w:eastAsia="Times New Roman" w:hAnsi="Times New Roman"/>
          <w:b w:val="false"/>
          <w:bCs w:val="false"/>
          <w:i w:val="false"/>
          <w:iCs w:val="false"/>
          <w:color w:val="1A1A1A"/>
          <w:sz w:val="24"/>
          <w:szCs w:val="24"/>
        </w:rPr>
        <w:t xml:space="preserve">), une différenciation d'ordre </w:t>
      </w:r>
      <w:r>
        <w:rPr>
          <w:rFonts w:ascii="Times New Roman" w:cs="Times New Roman" w:eastAsia="Times New Roman" w:hAnsi="Times New Roman"/>
          <w:b w:val="false"/>
          <w:bCs w:val="false"/>
          <w:i/>
          <w:iCs/>
          <w:color w:val="1A1A1A"/>
          <w:sz w:val="24"/>
          <w:szCs w:val="24"/>
        </w:rPr>
        <w:t xml:space="preserve">d</w:t>
      </w:r>
      <w:r>
        <w:rPr>
          <w:rFonts w:ascii="Times New Roman" w:cs="Times New Roman" w:eastAsia="Times New Roman" w:hAnsi="Times New Roman"/>
          <w:b w:val="false"/>
          <w:bCs w:val="false"/>
          <w:i w:val="false"/>
          <w:iCs w:val="false"/>
          <w:color w:val="1A1A1A"/>
          <w:sz w:val="24"/>
          <w:szCs w:val="24"/>
        </w:rPr>
        <w:t xml:space="preserve"> pour assurer la stationnarité, et l'influence des chocs aléatoires passés (partie moyenne mobile MA d'ordre </w:t>
      </w:r>
      <w:r>
        <w:rPr>
          <w:rFonts w:ascii="Times New Roman" w:cs="Times New Roman" w:eastAsia="Times New Roman" w:hAnsi="Times New Roman"/>
          <w:b w:val="false"/>
          <w:bCs w:val="false"/>
          <w:i/>
          <w:iCs/>
          <w:color w:val="1A1A1A"/>
          <w:sz w:val="24"/>
          <w:szCs w:val="24"/>
        </w:rPr>
        <w:t xml:space="preserve">q</w:t>
      </w:r>
      <w:r>
        <w:rPr>
          <w:rFonts w:ascii="Times New Roman" w:cs="Times New Roman" w:eastAsia="Times New Roman" w:hAnsi="Times New Roman"/>
          <w:b w:val="false"/>
          <w:bCs w:val="false"/>
          <w:i w:val="false"/>
          <w:iCs w:val="false"/>
          <w:color w:val="1A1A1A"/>
          <w:sz w:val="24"/>
          <w:szCs w:val="24"/>
        </w:rPr>
        <w:t xml:space="preserv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y'_t = c + Σ (ϕ_i × y'_{t-i}) + Σ (θ_j × ε_{t-j}) + ε_t</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w:t>
      </w:r>
      <w:r>
        <w:rPr>
          <w:rFonts w:ascii="Times New Roman" w:cs="Times New Roman" w:eastAsia="Times New Roman" w:hAnsi="Times New Roman"/>
          <w:b w:val="false"/>
          <w:bCs w:val="false"/>
          <w:i/>
          <w:iCs/>
          <w:color w:val="1A1A1A"/>
          <w:sz w:val="24"/>
          <w:szCs w:val="24"/>
        </w:rPr>
        <w:t xml:space="preserve">y'_t</w:t>
      </w:r>
      <w:r>
        <w:rPr>
          <w:rFonts w:ascii="Times New Roman" w:cs="Times New Roman" w:eastAsia="Times New Roman" w:hAnsi="Times New Roman"/>
          <w:b w:val="false"/>
          <w:bCs w:val="false"/>
          <w:i w:val="false"/>
          <w:iCs w:val="false"/>
          <w:color w:val="1A1A1A"/>
          <w:sz w:val="24"/>
          <w:szCs w:val="24"/>
        </w:rPr>
        <w:t xml:space="preserve"> est la série différenciée </w:t>
      </w:r>
      <w:r>
        <w:rPr>
          <w:rFonts w:ascii="Times New Roman" w:cs="Times New Roman" w:eastAsia="Times New Roman" w:hAnsi="Times New Roman"/>
          <w:b w:val="false"/>
          <w:bCs w:val="false"/>
          <w:i/>
          <w:iCs/>
          <w:color w:val="1A1A1A"/>
          <w:sz w:val="24"/>
          <w:szCs w:val="24"/>
        </w:rPr>
        <w:t xml:space="preserve">d</w:t>
      </w:r>
      <w:r>
        <w:rPr>
          <w:rFonts w:ascii="Times New Roman" w:cs="Times New Roman" w:eastAsia="Times New Roman" w:hAnsi="Times New Roman"/>
          <w:b w:val="false"/>
          <w:bCs w:val="false"/>
          <w:i w:val="false"/>
          <w:iCs w:val="false"/>
          <w:color w:val="1A1A1A"/>
          <w:sz w:val="24"/>
          <w:szCs w:val="24"/>
        </w:rPr>
        <w:t xml:space="preserve"> fois, </w:t>
      </w:r>
      <w:r>
        <w:rPr>
          <w:rFonts w:ascii="Times New Roman" w:cs="Times New Roman" w:eastAsia="Times New Roman" w:hAnsi="Times New Roman"/>
          <w:b w:val="false"/>
          <w:bCs w:val="false"/>
          <w:i/>
          <w:iCs/>
          <w:color w:val="1A1A1A"/>
          <w:sz w:val="24"/>
          <w:szCs w:val="24"/>
        </w:rPr>
        <w:t xml:space="preserve">ϕ_i</w:t>
      </w:r>
      <w:r>
        <w:rPr>
          <w:rFonts w:ascii="Times New Roman" w:cs="Times New Roman" w:eastAsia="Times New Roman" w:hAnsi="Times New Roman"/>
          <w:b w:val="false"/>
          <w:bCs w:val="false"/>
          <w:i w:val="false"/>
          <w:iCs w:val="false"/>
          <w:color w:val="1A1A1A"/>
          <w:sz w:val="24"/>
          <w:szCs w:val="24"/>
        </w:rPr>
        <w:t xml:space="preserve"> les paramètres autorégressifs, </w:t>
      </w:r>
      <w:r>
        <w:rPr>
          <w:rFonts w:ascii="Times New Roman" w:cs="Times New Roman" w:eastAsia="Times New Roman" w:hAnsi="Times New Roman"/>
          <w:b w:val="false"/>
          <w:bCs w:val="false"/>
          <w:i/>
          <w:iCs/>
          <w:color w:val="1A1A1A"/>
          <w:sz w:val="24"/>
          <w:szCs w:val="24"/>
        </w:rPr>
        <w:t xml:space="preserve">θ_j</w:t>
      </w:r>
      <w:r>
        <w:rPr>
          <w:rFonts w:ascii="Times New Roman" w:cs="Times New Roman" w:eastAsia="Times New Roman" w:hAnsi="Times New Roman"/>
          <w:b w:val="false"/>
          <w:bCs w:val="false"/>
          <w:i w:val="false"/>
          <w:iCs w:val="false"/>
          <w:color w:val="1A1A1A"/>
          <w:sz w:val="24"/>
          <w:szCs w:val="24"/>
        </w:rPr>
        <w:t xml:space="preserve"> les paramètres de moyenne mobile, et </w:t>
      </w:r>
      <w:r>
        <w:rPr>
          <w:rFonts w:ascii="Times New Roman" w:cs="Times New Roman" w:eastAsia="Times New Roman" w:hAnsi="Times New Roman"/>
          <w:b w:val="false"/>
          <w:bCs w:val="false"/>
          <w:i/>
          <w:iCs/>
          <w:color w:val="1A1A1A"/>
          <w:sz w:val="24"/>
          <w:szCs w:val="24"/>
        </w:rPr>
        <w:t xml:space="preserve">ε_t</w:t>
      </w:r>
      <w:r>
        <w:rPr>
          <w:rFonts w:ascii="Times New Roman" w:cs="Times New Roman" w:eastAsia="Times New Roman" w:hAnsi="Times New Roman"/>
          <w:b w:val="false"/>
          <w:bCs w:val="false"/>
          <w:i w:val="false"/>
          <w:iCs w:val="false"/>
          <w:color w:val="1A1A1A"/>
          <w:sz w:val="24"/>
          <w:szCs w:val="24"/>
        </w:rPr>
        <w:t xml:space="preserve"> un bruit blanc gaussien.</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Fondement théorique robuste pour les processus stochastiques stationnaires.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Difficulté à intégrer simultanément plusieurs cycles saisonniers sans réajustement permanent.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Bonne réactivité sur les profils cycliques réguliers.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ruptures calendaires abruptes et arrêts de production non programmés.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Paramétrisation formelle et rigoureuse (p, d, q).</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Ne prend pas en compte nativement les variables exogènes d'atelier.</w:t>
            </w:r>
          </w:p>
        </w:tc>
      </w:tr>
    </w:tbl>
    <w:p>
      <w:pPr>
        <w:spacing w:after="140" w:before="90"/>
        <w:jc w:val="center"/>
      </w:pPr>
      <w:r>
        <w:rPr>
          <w:rFonts w:ascii="Times New Roman" w:cs="Times New Roman" w:eastAsia="Times New Roman" w:hAnsi="Times New Roman"/>
          <w:b/>
          <w:bCs/>
          <w:color w:val="333333"/>
          <w:sz w:val="20"/>
          <w:szCs w:val="20"/>
        </w:rPr>
        <w:t xml:space="preserve">TABLEAU 5.5 : </w:t>
      </w:r>
      <w:r>
        <w:rPr>
          <w:rFonts w:ascii="Times New Roman" w:cs="Times New Roman" w:eastAsia="Times New Roman" w:hAnsi="Times New Roman"/>
          <w:color w:val="333333"/>
          <w:sz w:val="20"/>
          <w:szCs w:val="20"/>
        </w:rPr>
        <w:t xml:space="preserve">Avantages et limites : Modèle ARIMA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5.6.3 Modèle Random Forest Regressor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Random Forest [7] est un algorithme d'apprentissage automatique supervisé par ensemble (</w:t>
      </w:r>
      <w:r>
        <w:rPr>
          <w:rFonts w:ascii="Times New Roman" w:cs="Times New Roman" w:eastAsia="Times New Roman" w:hAnsi="Times New Roman"/>
          <w:b w:val="false"/>
          <w:bCs w:val="false"/>
          <w:i/>
          <w:iCs/>
          <w:color w:val="1A1A1A"/>
          <w:sz w:val="24"/>
          <w:szCs w:val="24"/>
        </w:rPr>
        <w:t xml:space="preserve">ensemble learning</w:t>
      </w:r>
      <w:r>
        <w:rPr>
          <w:rFonts w:ascii="Times New Roman" w:cs="Times New Roman" w:eastAsia="Times New Roman" w:hAnsi="Times New Roman"/>
          <w:b w:val="false"/>
          <w:bCs w:val="false"/>
          <w:i w:val="false"/>
          <w:iCs w:val="false"/>
          <w:color w:val="1A1A1A"/>
          <w:sz w:val="24"/>
          <w:szCs w:val="24"/>
        </w:rPr>
        <w:t xml:space="preserve">). Il construit une forêt de </w:t>
      </w:r>
      <w:r>
        <w:rPr>
          <w:rFonts w:ascii="Times New Roman" w:cs="Times New Roman" w:eastAsia="Times New Roman" w:hAnsi="Times New Roman"/>
          <w:b w:val="false"/>
          <w:bCs w:val="false"/>
          <w:i/>
          <w:iCs/>
          <w:color w:val="1A1A1A"/>
          <w:sz w:val="24"/>
          <w:szCs w:val="24"/>
        </w:rPr>
        <w:t xml:space="preserve">B</w:t>
      </w:r>
      <w:r>
        <w:rPr>
          <w:rFonts w:ascii="Times New Roman" w:cs="Times New Roman" w:eastAsia="Times New Roman" w:hAnsi="Times New Roman"/>
          <w:b w:val="false"/>
          <w:bCs w:val="false"/>
          <w:i w:val="false"/>
          <w:iCs w:val="false"/>
          <w:color w:val="1A1A1A"/>
          <w:sz w:val="24"/>
          <w:szCs w:val="24"/>
        </w:rPr>
        <w:t xml:space="preserve"> arbres de décision indépendants entraînés sur des sous-échantillons bootstrap du jeu de données (</w:t>
      </w:r>
      <w:r>
        <w:rPr>
          <w:rFonts w:ascii="Times New Roman" w:cs="Times New Roman" w:eastAsia="Times New Roman" w:hAnsi="Times New Roman"/>
          <w:b w:val="false"/>
          <w:bCs w:val="false"/>
          <w:i/>
          <w:iCs/>
          <w:color w:val="1A1A1A"/>
          <w:sz w:val="24"/>
          <w:szCs w:val="24"/>
        </w:rPr>
        <w:t xml:space="preserve">bagging</w:t>
      </w:r>
      <w:r>
        <w:rPr>
          <w:rFonts w:ascii="Times New Roman" w:cs="Times New Roman" w:eastAsia="Times New Roman" w:hAnsi="Times New Roman"/>
          <w:b w:val="false"/>
          <w:bCs w:val="false"/>
          <w:i w:val="false"/>
          <w:iCs w:val="false"/>
          <w:color w:val="1A1A1A"/>
          <w:sz w:val="24"/>
          <w:szCs w:val="24"/>
        </w:rPr>
        <w:t xml:space="preserve">) avec sélection aléatoire des variables de découpage (</w:t>
      </w:r>
      <w:r>
        <w:rPr>
          <w:rFonts w:ascii="Times New Roman" w:cs="Times New Roman" w:eastAsia="Times New Roman" w:hAnsi="Times New Roman"/>
          <w:b w:val="false"/>
          <w:bCs w:val="false"/>
          <w:i/>
          <w:iCs/>
          <w:color w:val="1A1A1A"/>
          <w:sz w:val="24"/>
          <w:szCs w:val="24"/>
        </w:rPr>
        <w:t xml:space="preserve">feature subsampling</w:t>
      </w:r>
      <w:r>
        <w:rPr>
          <w:rFonts w:ascii="Times New Roman" w:cs="Times New Roman" w:eastAsia="Times New Roman" w:hAnsi="Times New Roman"/>
          <w:b w:val="false"/>
          <w:bCs w:val="false"/>
          <w:i w:val="false"/>
          <w:iCs w:val="false"/>
          <w:color w:val="1A1A1A"/>
          <w:sz w:val="24"/>
          <w:szCs w:val="24"/>
        </w:rPr>
        <w:t xml:space="preserve">). La prédiction finale résulte de la moyenne des prédictions individuelles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ŷ = (1 / B) × Σ T_b(x)</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approche par agrégation réduit considérablement la variance sans dégrader le biais, permettant de capturer les interactions non linéaires complexes propres aux cadences d'atelier.</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Capte les relations non-linéaires complexes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Modèle boîte noire (interprétabilité réduite)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Robuste aux valeurs aberrantes (outliers)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Temps de calcul et empreinte mémoire plus élevés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Faible risque de surapprentissage grâce au bagging</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Ne peut pas extrapoler au-delà des valeurs observées</w:t>
            </w:r>
          </w:p>
        </w:tc>
      </w:tr>
    </w:tbl>
    <w:p>
      <w:pPr>
        <w:spacing w:after="140" w:before="90"/>
        <w:jc w:val="center"/>
      </w:pPr>
      <w:r>
        <w:rPr>
          <w:rFonts w:ascii="Times New Roman" w:cs="Times New Roman" w:eastAsia="Times New Roman" w:hAnsi="Times New Roman"/>
          <w:b/>
          <w:bCs/>
          <w:color w:val="333333"/>
          <w:sz w:val="20"/>
          <w:szCs w:val="20"/>
        </w:rPr>
        <w:t xml:space="preserve">TABLEAU 5.6 : </w:t>
      </w:r>
      <w:r>
        <w:rPr>
          <w:rFonts w:ascii="Times New Roman" w:cs="Times New Roman" w:eastAsia="Times New Roman" w:hAnsi="Times New Roman"/>
          <w:color w:val="333333"/>
          <w:sz w:val="20"/>
          <w:szCs w:val="20"/>
        </w:rPr>
        <w:t xml:space="preserve">Avantages et limites : Random Forest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5.6.4 Modèle Prophet (Meta)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Développé par Meta, Prophet [12] est un modèle additif modulaire conçu pour les séries temporelles industrielles présentant de fortes saisonnalités et des variations calendaires. La cadence journalière est décomposée selon quatre composantes structurelles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y(t) = g(t) + s(t) + h(t) + ε_t</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w:t>
      </w:r>
      <w:r>
        <w:rPr>
          <w:rFonts w:ascii="Times New Roman" w:cs="Times New Roman" w:eastAsia="Times New Roman" w:hAnsi="Times New Roman"/>
          <w:b w:val="false"/>
          <w:bCs w:val="false"/>
          <w:i/>
          <w:iCs/>
          <w:color w:val="1A1A1A"/>
          <w:sz w:val="24"/>
          <w:szCs w:val="24"/>
        </w:rPr>
        <w:t xml:space="preserve">g(t)</w:t>
      </w:r>
      <w:r>
        <w:rPr>
          <w:rFonts w:ascii="Times New Roman" w:cs="Times New Roman" w:eastAsia="Times New Roman" w:hAnsi="Times New Roman"/>
          <w:b w:val="false"/>
          <w:bCs w:val="false"/>
          <w:i w:val="false"/>
          <w:iCs w:val="false"/>
          <w:color w:val="1A1A1A"/>
          <w:sz w:val="24"/>
          <w:szCs w:val="24"/>
        </w:rPr>
        <w:t xml:space="preserve"> modélise la tendance générale non linéaire avec détection automatique des points de rupture (</w:t>
      </w:r>
      <w:r>
        <w:rPr>
          <w:rFonts w:ascii="Times New Roman" w:cs="Times New Roman" w:eastAsia="Times New Roman" w:hAnsi="Times New Roman"/>
          <w:b w:val="false"/>
          <w:bCs w:val="false"/>
          <w:i/>
          <w:iCs/>
          <w:color w:val="1A1A1A"/>
          <w:sz w:val="24"/>
          <w:szCs w:val="24"/>
        </w:rPr>
        <w:t xml:space="preserve">changepoints</w:t>
      </w:r>
      <w:r>
        <w:rPr>
          <w:rFonts w:ascii="Times New Roman" w:cs="Times New Roman" w:eastAsia="Times New Roman" w:hAnsi="Times New Roman"/>
          <w:b w:val="false"/>
          <w:bCs w:val="false"/>
          <w:i w:val="false"/>
          <w:iCs w:val="false"/>
          <w:color w:val="1A1A1A"/>
          <w:sz w:val="24"/>
          <w:szCs w:val="24"/>
        </w:rPr>
        <w:t xml:space="preserve">), </w:t>
      </w:r>
      <w:r>
        <w:rPr>
          <w:rFonts w:ascii="Times New Roman" w:cs="Times New Roman" w:eastAsia="Times New Roman" w:hAnsi="Times New Roman"/>
          <w:b w:val="false"/>
          <w:bCs w:val="false"/>
          <w:i/>
          <w:iCs/>
          <w:color w:val="1A1A1A"/>
          <w:sz w:val="24"/>
          <w:szCs w:val="24"/>
        </w:rPr>
        <w:t xml:space="preserve">s(t)</w:t>
      </w:r>
      <w:r>
        <w:rPr>
          <w:rFonts w:ascii="Times New Roman" w:cs="Times New Roman" w:eastAsia="Times New Roman" w:hAnsi="Times New Roman"/>
          <w:b w:val="false"/>
          <w:bCs w:val="false"/>
          <w:i w:val="false"/>
          <w:iCs w:val="false"/>
          <w:color w:val="1A1A1A"/>
          <w:sz w:val="24"/>
          <w:szCs w:val="24"/>
        </w:rPr>
        <w:t xml:space="preserve"> représente les variations périodiques hebdomadaires via des séries de Fourier, </w:t>
      </w:r>
      <w:r>
        <w:rPr>
          <w:rFonts w:ascii="Times New Roman" w:cs="Times New Roman" w:eastAsia="Times New Roman" w:hAnsi="Times New Roman"/>
          <w:b w:val="false"/>
          <w:bCs w:val="false"/>
          <w:i/>
          <w:iCs/>
          <w:color w:val="1A1A1A"/>
          <w:sz w:val="24"/>
          <w:szCs w:val="24"/>
        </w:rPr>
        <w:t xml:space="preserve">h(t)</w:t>
      </w:r>
      <w:r>
        <w:rPr>
          <w:rFonts w:ascii="Times New Roman" w:cs="Times New Roman" w:eastAsia="Times New Roman" w:hAnsi="Times New Roman"/>
          <w:b w:val="false"/>
          <w:bCs w:val="false"/>
          <w:i w:val="false"/>
          <w:iCs w:val="false"/>
          <w:color w:val="1A1A1A"/>
          <w:sz w:val="24"/>
          <w:szCs w:val="24"/>
        </w:rPr>
        <w:t xml:space="preserve"> quantifie l'impact des événements d'atelier (fermetures, congés, périodes de maintenance), et </w:t>
      </w:r>
      <w:r>
        <w:rPr>
          <w:rFonts w:ascii="Times New Roman" w:cs="Times New Roman" w:eastAsia="Times New Roman" w:hAnsi="Times New Roman"/>
          <w:b w:val="false"/>
          <w:bCs w:val="false"/>
          <w:i/>
          <w:iCs/>
          <w:color w:val="1A1A1A"/>
          <w:sz w:val="24"/>
          <w:szCs w:val="24"/>
        </w:rPr>
        <w:t xml:space="preserve">ε_t</w:t>
      </w:r>
      <w:r>
        <w:rPr>
          <w:rFonts w:ascii="Times New Roman" w:cs="Times New Roman" w:eastAsia="Times New Roman" w:hAnsi="Times New Roman"/>
          <w:b w:val="false"/>
          <w:bCs w:val="false"/>
          <w:i w:val="false"/>
          <w:iCs w:val="false"/>
          <w:color w:val="1A1A1A"/>
          <w:sz w:val="24"/>
          <w:szCs w:val="24"/>
        </w:rPr>
        <w:t xml:space="preserve"> est le résidu d'erreur normale.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Décomposition explicable (tendance, saisonnalité, calendrier).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Légèrement moins précis sur les horizons très courts que Random Forest.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Génération native d'intervalles d'incertitude prédictifs fiables.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ruptures structurelles non identifiées comme points de changement.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Inférence ultra-rapide adaptée aux requêtes du portail web et Power BI.</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Prise en compte native des congés et arrêts programmés d'atelier.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5.7 : </w:t>
      </w:r>
      <w:r>
        <w:rPr>
          <w:rFonts w:ascii="Times New Roman" w:cs="Times New Roman" w:eastAsia="Times New Roman" w:hAnsi="Times New Roman"/>
          <w:color w:val="333333"/>
          <w:sz w:val="20"/>
          <w:szCs w:val="20"/>
        </w:rPr>
        <w:t xml:space="preserve">Avantages et limites : Prophet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5.7 Résultats comparatifs et évaluation multi-horizons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4 modèles ont été évalués sur les trois horizons décisionnels de l'usine : 7 jours (court terme), 15 jours (moyen terme) et 30 jours (plan mensuel). Le tableau 5.8 synthétise les résultats obtenus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266"/>
      </w:tblGrid>
      <w:tr>
        <w:trPr>
          <w:tblHeader/>
        </w:trPr>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 de prévision</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moyenne (pièces/jour)</w:t>
            </w:r>
          </w:p>
        </w:tc>
        <w:tc>
          <w:tcPr>
            <w:tcW w:type="dxa" w:w="1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MAPE moyenne (%)</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jours</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2 645 pcs/j</w:t>
            </w:r>
          </w:p>
        </w:tc>
        <w:tc>
          <w:tcPr>
            <w:tcW w:type="dxa" w:w="1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5,9 %</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jours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3 653 pcs/j</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7,3 %</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jours</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Régression Linéaire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3 734 pcs/j</w:t>
            </w:r>
          </w:p>
        </w:tc>
        <w:tc>
          <w:tcPr>
            <w:tcW w:type="dxa" w:w="1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7,6 %</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 jours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ARIMA</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4 364 pcs/j</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9,0 %</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jours</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2 538 pcs/j</w:t>
            </w:r>
          </w:p>
        </w:tc>
        <w:tc>
          <w:tcPr>
            <w:tcW w:type="dxa" w:w="1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6,0 %</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jours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3 350 pcs/j</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7,4 %</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jours</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Régression Linéaire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4 413 pcs/j</w:t>
            </w:r>
          </w:p>
        </w:tc>
        <w:tc>
          <w:tcPr>
            <w:tcW w:type="dxa" w:w="1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9,1 %</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jours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ARIMA</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5 247 pcs/j</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11,6 %</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 jours</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2 467 pcs/j</w:t>
            </w:r>
          </w:p>
        </w:tc>
        <w:tc>
          <w:tcPr>
            <w:tcW w:type="dxa" w:w="1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6,0 %</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 jours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2 982 pcs/j</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6,7 %</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 jours</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Régression Linéaire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4 679 pcs/j</w:t>
            </w:r>
          </w:p>
        </w:tc>
        <w:tc>
          <w:tcPr>
            <w:tcW w:type="dxa" w:w="1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 jours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ARIMA</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5 321 pcs/j</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11,7 %</w:t>
            </w:r>
          </w:p>
        </w:tc>
      </w:tr>
    </w:tbl>
    <w:p>
      <w:pPr>
        <w:spacing w:after="120" w:before="80"/>
        <w:jc w:val="center"/>
      </w:pPr>
      <w:r>
        <w:rPr>
          <w:rFonts w:ascii="Times New Roman" w:cs="Times New Roman" w:eastAsia="Times New Roman" w:hAnsi="Times New Roman"/>
          <w:i/>
          <w:iCs/>
          <w:color w:val="595959"/>
          <w:sz w:val="20"/>
          <w:szCs w:val="20"/>
        </w:rPr>
        <w:t xml:space="preserve">Tableau 5.8 : Synthèse des performances prédictives aux horizons 7, 15 et 30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À l'horizon de 30 jours, Random Forest et Prophet affichent des performances très proches (6,0 % et 6,7 % de MAPE), avec un écart d'erreur moyenne de seulement 515 pièces par jour sur une production journalière globale d'environ 65 000 pièces/jour.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5.2 illustre la trajectoire des prévisions Prophet face à la production réelle d'atelier sur une période représentative :</w:t>
      </w:r>
    </w:p>
    <w:p>
      <w:pPr>
        <w:spacing w:after="40" w:before="40"/>
      </w:pPr>
      <w:r>
        <w:t xml:space="preserve"/>
      </w:r>
    </w:p>
    <w:p>
      <w:pPr>
        <w:spacing w:after="60" w:before="14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5.2 : Trajectoire des prédictions Prophet face à la production réelle d'atelier</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5.8 Détection des anomalies par Isolation Forest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surveiller en continu le fonctionnement du parc des 319 presses et détecter précocement les ralentissements anormaux ou les micro-arrêts non déclarés, l'algorithme Isolation Forest analyse conjointement les cadences journalières et les temps de cycle de chaque machine. La figure 5.3 illustre les points de fonctionnement observés et la frontière de détection établie par le modèle :</w:t>
      </w:r>
    </w:p>
    <w:p>
      <w:pPr>
        <w:spacing w:after="40" w:before="40"/>
      </w:pPr>
      <w:r>
        <w:t xml:space="preserve"/>
      </w:r>
    </w:p>
    <w:p>
      <w:pPr>
        <w:spacing w:after="60" w:before="140"/>
        <w:jc w:val="center"/>
      </w:pPr>
      <w:r>
        <w:drawing>
          <wp:inline distT="0" distB="0" distL="0" distR="0">
            <wp:extent cx="4953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223837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5.3 : Détection non supervisée des anomalies de cadence par Isolation Forest</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5.9 Rôles respectifs des modèles dans la plateforme Nexora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comparative conduit à une organisation claire entre les deux modèles de tête. Random Forest obtient une précision légèrement supérieure sur l'historique d'atelier (6,0 % d'erreur à 30 jours contre 6,7 % pour Prophet). Toutefois, le modèle Prophet a été retenu pour le déploiement opérationnel en production en raison de sa décomposition transparente (séparant la tendance générale, le rythme hebdomadaire et les arrêts programmés) et de sa grande facilité d'intégration dans l'entrepôt de données SQL Server et les tableaux de bord Power BI. Random Forest demeure utilisé comme modèle de référence pour les analyses hors-ligne et les études approfondies.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5.10 Bilan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5.9 récapitule les livrables réalisés au terme du Sprint 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Préparation des variables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14 variables explicatives et calendrier d'atelier</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modèles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des 4 modèles (Régression Linéaire, ARIMA, Random Forest, Prophet)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multi-horizons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Performances mesurées à 7, 15 et 30 jours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Surveillance des cadences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des anomalies de fonctionnement par Isolation Forest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Déploiement opérationnel</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des prévisions Prophet dans la table ml_production_predictions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5.9 : Bilan des livrables du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5.11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 développement et l'évaluation comparative de quatre modèles de séries temporelles et d'un algorithme de détection d'anomalies. Les résultats confirment que Random Forest et Prophet atteignent des performances proches et satisfaisantes à l'horizon de 30 jours (6 % à 7 % de MAPE). Prophet a été retenu pour alimenter les rapports et interfaces de la plateforme en raison de sa décomposition explicable et de son intégration directe dans la base de données. Le chapitre suivant aborde le Sprint 4, consacré à la restitution décisionnelle par Power BI, à l'application web et à la recette fonctionnelle.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6 : Sprint 4 : Développement du tableau de bord décisionnel et validation</w:t>
      </w:r>
    </w:p>
    <w:p>
      <w:pPr>
        <w:pStyle w:val="Heading2"/>
        <w:spacing w:after="90" w:before="200"/>
        <w:outlineLvl w:val="1"/>
      </w:pPr>
      <w:r>
        <w:rPr>
          <w:rFonts w:ascii="Times New Roman" w:cs="Times New Roman" w:eastAsia="Times New Roman" w:hAnsi="Times New Roman"/>
          <w:b/>
          <w:bCs/>
          <w:color w:val="000000"/>
          <w:sz w:val="28"/>
          <w:szCs w:val="28"/>
        </w:rPr>
        <w:t xml:space="preserve">6.1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4, dernière phase de réalisation de notre projet. Après avoir mis en place le pipeline ETL (Sprint 1), le module de gestion des stocks (Sprint 2) et les modèles de prévision par IA (Sprint 3), ce sprint a pour objectif d'intégrer l'ensemble de ces briques au sein d'une solution de restitution conviviale et réactive. Les rapports décisionnels développés sous Microsoft Power BI [24], alimentés directement par le Data Warehouse et la table `ml_production_predictions`, permettent à l'administrateur de piloter les indicateurs d'atelier, de suivre les prévisions de cadence et d'analyser les risques de rupture. En complément, un portail web opérationnel en React.js [22] et Spring Boot [17] offre à l'opérateur d'atelier une interface de saisie et de consultation des mouvements d'inventaire.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6.2 Backlog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6.1 présente les tâches planifiées pour le Sprint 4 avec leur priorité et leur durée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de Power BI au Data Warehouse et modélisation du schéma analytique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Supervision de Production &amp; TRG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Prévision des Cadences par IA »</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Gestion des Stocks &amp; Alertes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API REST du portail web (Spring Boot / FastAPI) et vues React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Écriture des mesures DAX (calcul du TRG, seuils critiques, taux de rotation)</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fonctionnelle et évaluation d'utilisabilité auprès des utilisateurs (Administrateurs et Opérateurs)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6.1 : Priorisation des tâches pour le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6.3 Architecture du tableau de bord et intégration applicative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6.1 présente l'architecture globale d'intégration et de déploiement de la solution décisionnelle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40" w:before="40"/>
      </w:pPr>
      <w:r>
        <w:t xml:space="preserve"/>
      </w:r>
    </w:p>
    <w:p>
      <w:pPr>
        <w:spacing w:after="60" w:before="14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6.1 : Architecture globale d'intégration et de déploiement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Entrepôt de données SQL Server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centralise les tables de faits et de dimensions nettoyées ainsi que les prévisions issues de l'apprentissage automatique (`ml_production_predictions`).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Backend applicatif d'entreprise (Spring Boot / FastAPI)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serveur Spring Boot [17] gère l'authentification sécurisée par jetons JWT, le contrôle d'accès RBAC et les entités métiers, tandis que le micro-service FastAPI [21] sert d'interface d'inférence directe pour les modèles Python.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Rapports décisionnels Microsoft Power BI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interactifs connectés en mode DirectQuery ou Import au DWH, exploitant des mesures calculées en DAX pour le management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Portail web réactif React.js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interface utilisateur dynamique permettant aux opérateurs de renseigner les réceptions et consommations de matière.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6.4 Diagramme de séquence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6.2 illustre le déroulement des interactions lors de la consultation d'un rapport décisionnel et de l'interrogation des prévisions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6.2 : Diagramme de séquence des échanges entre l'utilisateur, l'interface et le DWH</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Lors de l'application d'un filtre temporel ou machine, Power BI interroge les tables de faits consolidées et restitue instantanément les courbes d'évolution ainsi que le fuseau de prévision à 95 %.</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6.5 Conception des rapports décisionnels Power BI</w:t>
      </w:r>
    </w:p>
    <w:p>
      <w:pPr>
        <w:pStyle w:val="Heading3"/>
        <w:spacing w:after="70" w:before="140"/>
        <w:outlineLvl w:val="2"/>
      </w:pPr>
      <w:r>
        <w:rPr>
          <w:rFonts w:ascii="Times New Roman" w:cs="Times New Roman" w:eastAsia="Times New Roman" w:hAnsi="Times New Roman"/>
          <w:b/>
          <w:bCs/>
          <w:color w:val="000000"/>
          <w:sz w:val="24"/>
          <w:szCs w:val="24"/>
        </w:rPr>
        <w:t xml:space="preserve">6.5.1 Tableau de bord de supervision et TRG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offre une supervision complète du parc de 319 presses à injecter réparties sur les sites de Kondar, Sousse et Brno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clés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valeur consolidée du TRG d'atelier (moyenne observée de 71,4 % [25]), décomposée en taux de disponibilité (88,2 %), de performance (84,5 %) et de qualité (95,8 %).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Suivi du parc machines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décompte des presses en production, en maintenance planifiée ou en arrêt pour changement de moule.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Analyse des causes d'arrêt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diagramme de Pareto des motifs d'interruption (défaillances hydrauliques, surchauffe de fourreau, manque matière).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6.5.2 Tableau de bord des prévisions de cadence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est dédié à l'exploitation des projections de production issues des modèles d'IA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Sélecteur d'horizon de prévision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sélection ergonomique entre 7 jours (ajustement des équipes), 15 jours (anticipation matière) et 30 jours (plan de charge mensuel).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Comparaison réel / prévu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superposition de la cadence réelle et des prévisions Random Forest et Prophet, complétées par les intervalles d'incertitude à 95 %.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de fiabilité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affichage en bandeau des erreurs moyennes MAPE issues de l'évaluation des modèles (environ 6,0 % pour Random Forest et 6,7 % pour Prophet à 30 jours).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6.5.3 Tableau de bord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permet le pilotage fin des 6 875 lignes d'inventaire détaillées du catalogue d'articles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Synthèse par état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indicateurs visuels des 312 références en Rupture (Rouge) et 1 240 en Stock Critique (Orange).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Filtres multicritères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sélection par famille de résine (PP, PA66, ABS), atelier d'injection ou classe ABC.</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Plan de commande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 exportable indiquant la quantité exacte à commander et le montant budgétaire associé (enveloppe globale de 380 400 TND pour les 193 références prioritaires).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6.6 Présentation des interfaces réalisées</w:t>
      </w:r>
    </w:p>
    <w:p>
      <w:pPr>
        <w:pStyle w:val="Heading3"/>
        <w:spacing w:after="70" w:before="140"/>
        <w:outlineLvl w:val="2"/>
      </w:pPr>
      <w:r>
        <w:rPr>
          <w:rFonts w:ascii="Times New Roman" w:cs="Times New Roman" w:eastAsia="Times New Roman" w:hAnsi="Times New Roman"/>
          <w:b/>
          <w:bCs/>
          <w:color w:val="000000"/>
          <w:sz w:val="24"/>
          <w:szCs w:val="24"/>
        </w:rPr>
        <w:t xml:space="preserve">6.6.1 Tableau de bord principal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6.3 illustre la vue d'ensemble décisionnelle Power BI regroupant les indicateurs clés de production et de stock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6.3 : Vue d'ensemble du tableau de bord décisionnel Power BI Nexora</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6.6.2 Supervision de la production et TRG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6.4 montre l'interface de pilotage du parc machines et d'analyse des composantes du TRG :</w:t>
      </w:r>
    </w:p>
    <w:p>
      <w:pPr>
        <w:spacing w:after="40" w:before="40"/>
      </w:pPr>
      <w:r>
        <w:t xml:space="preserve"/>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6.4 : Interface « Supervision de la production et TRG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6.5 présente la répartition des volumes fabriqués par grande famille de composants plastiques automobiles :</w:t>
      </w:r>
    </w:p>
    <w:p>
      <w:pPr>
        <w:spacing w:after="40" w:before="40"/>
      </w:pPr>
      <w:r>
        <w:t xml:space="preserve"/>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6.5 : Répartition des volumes d'injection par famille de pièces</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6.6.3 Prévisions de cadence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6.6 présente l'écran de visualisation des cadences prévisionnelles à 30 jours (trajectoires prédictives et cadrage d'incertitude) :</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6.6 : Rapport Power BI « Prévision des cadences et charge atelier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6.6.4 Pilotage des stocks et alertes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6.7 illustre l'interface dédiée à la surveillance d'inventaire et au suivi des alertes de rupture :</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6.7 : Rapport Power BI « Gestion des stocks d'atelier et alertes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6.6.5 Portail web opérationnel React &amp; Spring Boot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des tableaux de bord Power BI dédiés à l'administrateur, la plateforme comprend une application web développée avec React 18.2 [22] côté client et Spring Boot 3.2 [17] côté serveur. Ce portail offre à l'opérateur d'atelier une interface fluide pour consulter les données opérationnelles et enregistrer les mouvements de stock.</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des services (API REST) exposés par le serveur applicatif s'articule autour de quatre domaines principaux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32"/>
        <w:gridCol w:w="3928"/>
        <w:gridCol w:w="2306"/>
      </w:tblGrid>
      <w:tr>
        <w:trPr>
          <w:tblHeader/>
        </w:trPr>
        <w:tc>
          <w:tcPr>
            <w:tcW w:type="dxa" w:w="243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Module fonctionnel</w:t>
            </w:r>
          </w:p>
        </w:tc>
        <w:tc>
          <w:tcPr>
            <w:tcW w:type="dxa" w:w="392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opérationnel</w:t>
            </w:r>
          </w:p>
        </w:tc>
        <w:tc>
          <w:tcPr>
            <w:tcW w:type="dxa" w:w="230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Profils autorisés</w:t>
            </w:r>
          </w:p>
        </w:tc>
      </w:tr>
      <w:tr>
        <w:tc>
          <w:tcPr>
            <w:tcW w:type="dxa" w:w="243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&amp; Rôles (/api/auth)</w:t>
            </w:r>
          </w:p>
        </w:tc>
        <w:tc>
          <w:tcPr>
            <w:tcW w:type="dxa" w:w="392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sécurisée par jeton JWT et contrôle d'accès selon le profil.</w:t>
            </w:r>
          </w:p>
        </w:tc>
        <w:tc>
          <w:tcPr>
            <w:tcW w:type="dxa" w:w="230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Administrateur</w:t>
            </w:r>
          </w:p>
        </w:tc>
      </w:tr>
      <w:tr>
        <w:tc>
          <w:tcPr>
            <w:tcW w:type="dxa" w:w="243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stocks (/api/stock)</w:t>
            </w:r>
          </w:p>
        </w:tc>
        <w:tc>
          <w:tcPr>
            <w:tcW w:type="dxa" w:w="392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Consultation des niveaux d'inventaire, alertes de couverture et saisie des mouvements de matière.</w:t>
            </w:r>
          </w:p>
        </w:tc>
        <w:tc>
          <w:tcPr>
            <w:tcW w:type="dxa" w:w="230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Administrateur</w:t>
            </w:r>
          </w:p>
        </w:tc>
      </w:tr>
      <w:tr>
        <w:tc>
          <w:tcPr>
            <w:tcW w:type="dxa" w:w="243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Parc machines (/api/machines)</w:t>
            </w:r>
          </w:p>
        </w:tc>
        <w:tc>
          <w:tcPr>
            <w:tcW w:type="dxa" w:w="392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 l'état opérationnel des 319 presses à injecter et historique des indicateurs de production.</w:t>
            </w:r>
          </w:p>
        </w:tc>
        <w:tc>
          <w:tcPr>
            <w:tcW w:type="dxa" w:w="230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Administrateur</w:t>
            </w:r>
          </w:p>
        </w:tc>
      </w:tr>
      <w:tr>
        <w:tc>
          <w:tcPr>
            <w:tcW w:type="dxa" w:w="243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Prévisions de production (/api/predictions)</w:t>
            </w:r>
          </w:p>
        </w:tc>
        <w:tc>
          <w:tcPr>
            <w:tcW w:type="dxa" w:w="392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Consultation des cadences prévues par les modèles d'IA pour le pilotage d'atelier.</w:t>
            </w:r>
          </w:p>
        </w:tc>
        <w:tc>
          <w:tcPr>
            <w:tcW w:type="dxa" w:w="230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Administrateur</w:t>
            </w:r>
          </w:p>
        </w:tc>
      </w:tr>
    </w:tbl>
    <w:p>
      <w:pPr>
        <w:spacing w:after="120" w:before="80"/>
        <w:jc w:val="center"/>
      </w:pPr>
      <w:r>
        <w:rPr>
          <w:rFonts w:ascii="Times New Roman" w:cs="Times New Roman" w:eastAsia="Times New Roman" w:hAnsi="Times New Roman"/>
          <w:i/>
          <w:iCs/>
          <w:color w:val="595959"/>
          <w:sz w:val="20"/>
          <w:szCs w:val="20"/>
        </w:rPr>
        <w:t xml:space="preserve">Tableau 6.2 : Synthèse des services REST de l'application web</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6.7 Tests et validation</w:t>
      </w:r>
    </w:p>
    <w:p>
      <w:pPr>
        <w:pStyle w:val="Heading3"/>
        <w:spacing w:after="70" w:before="140"/>
        <w:outlineLvl w:val="2"/>
      </w:pPr>
      <w:r>
        <w:rPr>
          <w:rFonts w:ascii="Times New Roman" w:cs="Times New Roman" w:eastAsia="Times New Roman" w:hAnsi="Times New Roman"/>
          <w:b/>
          <w:bCs/>
          <w:color w:val="000000"/>
          <w:sz w:val="24"/>
          <w:szCs w:val="24"/>
        </w:rPr>
        <w:t xml:space="preserve">6.7.1 Tests fonctionnels et d'intégration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valider la conformité de la solution avec les spécifications du système, six scénarios de test d'intégration ont été déroulés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70"/>
        <w:gridCol w:w="2899"/>
        <w:gridCol w:w="2774"/>
        <w:gridCol w:w="1122"/>
      </w:tblGrid>
      <w:tr>
        <w:trPr>
          <w:tblHeader/>
        </w:trPr>
        <w:tc>
          <w:tcPr>
            <w:tcW w:type="dxa" w:w="18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Cas de test</w:t>
            </w:r>
          </w:p>
        </w:tc>
        <w:tc>
          <w:tcPr>
            <w:tcW w:type="dxa" w:w="28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Protocole d'exécution</w:t>
            </w:r>
          </w:p>
        </w:tc>
        <w:tc>
          <w:tcPr>
            <w:tcW w:type="dxa" w:w="277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constaté</w:t>
            </w:r>
          </w:p>
        </w:tc>
        <w:tc>
          <w:tcPr>
            <w:tcW w:type="dxa" w:w="112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DWH DirectQuery</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Interrogation simultanée des tables FACT_PA et FACT_Mvts_Stocks depuis Power BI.</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fluide, synchronisation immédiate des visuels.</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du TRG (DAX)</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Vérification des formules de disponibilité, performance et qualité sur 10 shifts types.</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Conformité stricte avec les déclarations d'atelier validées.</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multi-horizons</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Bascule entre les horizons de prévision 7j, 15j et 30j sur l'interface graphique.</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à jour instantanée des courbes et des bornes d'incertitude à 95 %.</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des ruptures</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Filtrage sur les références à stock nul (47 références distinctes) et contrôle de l'indicateur visuel rouge.</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Identification immédiate des références prioritaires avec tri par criticité.</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commande 45j</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 la somme budgétaire sur les 193 références prioritaires du catalogue.</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Montant égal aux 380 400 TND calculés dans le module d'approvisionnement.</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Exportation tabulaire</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 des alertes d'approvisionnement vers un tableur Excel.</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d'un fichier conforme prêt pour transmission aux fournisseurs.</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bl>
    <w:p>
      <w:pPr>
        <w:spacing w:after="120" w:before="80"/>
        <w:jc w:val="center"/>
      </w:pPr>
      <w:r>
        <w:rPr>
          <w:rFonts w:ascii="Times New Roman" w:cs="Times New Roman" w:eastAsia="Times New Roman" w:hAnsi="Times New Roman"/>
          <w:i/>
          <w:iCs/>
          <w:color w:val="595959"/>
          <w:sz w:val="20"/>
          <w:szCs w:val="20"/>
        </w:rPr>
        <w:t xml:space="preserve">Tableau 6.3 : Bilan des tests fonctionnels et d'intégration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6.7.2 Validation des prévisions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comparée des cadences prédites et observées sur les 98 jours de test confirme la cohérence des prévisions par rapport aux dynamiques de production observées, apportant une visibilité prédictive structurée à l'administrateur et aux opérateurs de l'atelier.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6.7.3 Validation des règles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simulation sur 45 jours a mis en évidence la suppression des commandes redondantes sur les 50 références en situation de surstock tout en ciblant les besoins d'approvisionnement pour les 193 références prioritaires du catalogue (47 ruptures et 146 critiques pour un budget de 380 400 TND), sécurisant la continuité de l'alimentation des lignes de fabrication.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6.8 Bilan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6.4 récapitule les livrables validés à l'issue du Sprint 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Power BI</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au Data Warehouse et création des mesures DAX</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Supervision &amp; TRG</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de suivi du parc machines et décomposition du TRG</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Prévision IA</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multi-horizons (7, 15, 30 jours) avec bornes à 95 %</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Gestion des stocks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d'analyse d'inventaire, classification ABC et alertes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Portail web opérationnel</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Application React 18 / Spring Boot avec API REST documentées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et validation</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de 6 scénarios de test fonctionnels et d'intégration d'atelier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6.4 : Bilan des livrables du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la conception, le déploiement et la validation des interfaces décisionnelles et opérationnelles de la plateforme Nexora lors du Sprint 4. En combinant la richesse analytique de Power BI pour l'administrateur et l'agilité d'un portail web React / Spring Boot pour l'opérateur en atelier, la solution comble le fossé entre la modélisation statistique avancée et les opérations industrielles quotidiennes. La conclusion générale suivante synthétise les résultats majeurs du projet, en discute les limites actuelles et esquisse des perspectives d'évolution prometteuses.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Conclusion générale et perspectives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a permis de concevoir, développer et valider la plateforme d'aide à la décision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destinée à moderniser le pilotage de la production et la gestion logistique d'un parc de 319 presses à injecter réparties sur trois sites industriels.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L'objectif fondamental était de valoriser l'entrepôt de données opérationnel pour substituer aux calculs manuels et réactifs un système automatisé, prédictif et ergonomique.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L'adoption de la démarche itérative Agile Scrum a permis de rythmer le projet autour de jalons concrets et mesurables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0 (Cadrage &amp; Architecture)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formalisation des besoins des deux acteurs d'atelier (Opérateur et Administrateur), modélisation des cas d'utilisation UML et conception de l'architecture découplée en quatre couches.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1 (Ingénierie des données &amp;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d'un pipeline Python assurant le dédoublonnage de 18 337 lignes redondantes et le redressement de 10 types d'anomalies, aboutissant au chargement de 32 043 enregistrements validés dans les tables en étoile du DWH (taux de rétention de 62,22 %).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2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de Pareto et clustering K-Means ($k=3$) sur le catalogue de 800 références (couvrant 14,31 M TND de valeur annuelle consommée), couplée à une formule de réapprovisionnement à 45 jours qui chiffre l'enveloppe prioritaire des 193 références en risque à environ 380 400 TND.</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3 (Modélisation prédictive par IA)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de quatre modèles d'apprentissage automatique et de séries temporelles sur des horizons de 7, 15 et 30 jours. Random Forest et Prophet affichent des niveaux de précision comparables et satisfaisants (erreurs MAPE de l'ordre de 6 % à 7 %), Random Forest obtenant les plus faibles écarts moyens et Prophet assurant le déploiement opérationnel grâce à sa robustesse et sa gestion native des composantes calendaires. L'algorithme Isolation Forest permet quant à lui d'identifier automatiquement les baisses anormales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4 (Restitution &amp; Validation)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réalisation de tableaux de bord décisionnels Power BI pour le suivi managérial et d'un portail web opérationnel React / Spring Boot pour les équipes d'atelier, validés avec succès par des scénarios de test fonctionnels et d'intégration.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dépit de ces résultats concluants, notre solution comporte certaines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limites méthodologiques et techniques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qu'il convient de souligner avec rigueur académique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Périmètre temporel d'observation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l'historique disponible s'étend sur 851 jours (janvier 2024 à avril 2026), ce qui représente un recul précieux mais reste restreint pour appréhender les cycles économiques pluriannuels du secteur automobile.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Agrégation macroscopique de la prévision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modèles actuels prévoient la cadence globale au niveau de l'atelier ; ils ne modélisent pas encore individuellement le comportement de chacune des 319 presses ou de chaque moule spécifique.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Dépendance aux saisies manuelles résiduelles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précision de la détection des motifs de rebus ou des causes d'arrêt demeure tributaire de la rigueur de saisie des opérateurs d'atelier dans le système transactionnel d'origine.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constats ouvrent la voie à plusieurs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perspectives d'évolution industrielle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à court et moyen termes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Modélisation hiérarchique par machine et famille de matière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développer des modèles de séries temporelles hiérarchiques réconciliées (par site, atelier, presse et moule) afin de descendre au niveau de granularité le plus fin pour l'ordonnancement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Intégration bidirectionnelle avec le moteur MRP de l'ERP</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injecter automatiquement les recommandations de commande de stock calculées par Nexora dans le module d'achats de l'ERP pour générer des demandes d'achat pré-remplies.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Industrialisation MLOps et réentraînement continu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mettre en œuvre un pipeline MLOps automatisé (avec MLflow ou Airflow) détectant la dérive des données (</w:t>
      </w:r>
      <w:r>
        <w:rPr>
          <w:rFonts w:ascii="Times New Roman" w:cs="Times New Roman" w:eastAsia="Times New Roman" w:hAnsi="Times New Roman"/>
          <w:b w:val="false"/>
          <w:bCs w:val="false"/>
          <w:i/>
          <w:iCs/>
          <w:color w:val="1A1A1A"/>
          <w:sz w:val="24"/>
          <w:szCs w:val="24"/>
        </w:rPr>
        <w:t xml:space="preserve">data drift</w:t>
      </w:r>
      <w:r>
        <w:rPr>
          <w:rFonts w:ascii="Times New Roman" w:cs="Times New Roman" w:eastAsia="Times New Roman" w:hAnsi="Times New Roman"/>
          <w:b w:val="false"/>
          <w:bCs w:val="false"/>
          <w:i w:val="false"/>
          <w:iCs w:val="false"/>
          <w:color w:val="1A1A1A"/>
          <w:sz w:val="24"/>
          <w:szCs w:val="24"/>
        </w:rPr>
        <w:t xml:space="preserve">) et déclenchant le réapprentissage périodique des modèles prédictifs.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Système d'alerte multicanal automatisé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déployer un service d'alertes par courrier électronique et notifications push Web/SMS à destination de l'administrateur et des opérateurs dès qu'une couverture de référence descend sous le seuil critique des 15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projet de fin d'études démontre avec succès comment la convergence de l'ingénierie des données, de l'apprentissage automatique et du développement logiciel moderne peut apporter une réponse concrète, quantifiable et durable aux défis de la performance industrielle.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Bibliographie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références bibliographiques et sources techniques mobilisées dans le cadre de ce projet sont référencées ci-dessous conformément à la norme IEEE :</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 K. Schwaber et J. Sutherland, « The Scrum Guide: The Definitive Guide to Scrum: The Rules of the Game », Scrum.org, nov. 2020. </w:t>
      </w:r>
      <w:hyperlink w:history="1" r:id="rIdxkif2ducy04fr0unwkftp">
        <w:r>
          <w:rPr>
            <w:rFonts w:ascii="Times New Roman" w:cs="Times New Roman" w:eastAsia="Times New Roman" w:hAnsi="Times New Roman"/>
            <w:color w:val="0056B3"/>
            <w:sz w:val="22"/>
            <w:szCs w:val="22"/>
            <w:u w:val="single"/>
          </w:rPr>
          <w:t xml:space="preserve">https://scrumguides.org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M. Cohn, User Stories Applied: For Agile Software Development. Boston, MA, USA : Addison-Wesley Professional, 2004.</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G. E. P. Box, G. M. Jenkins, G. C. Reinsel, et G. M. Ljung, Time Series Analysis: Forecasting and Control, 5e éd. Hoboken, NJ, USA : John Wiley &amp; Sons, 2015.</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[4] R. J. Hyndman et G. Athanasopoulos, Forecasting: Principles and Practice, 3e éd. Melbourne, Australie : OTexts, 2021. </w:t>
      </w:r>
      <w:hyperlink w:history="1" r:id="rId6msx3b0zoikpf9ibulyt-">
        <w:r>
          <w:rPr>
            <w:rFonts w:ascii="Times New Roman" w:cs="Times New Roman" w:eastAsia="Times New Roman" w:hAnsi="Times New Roman"/>
            <w:color w:val="0056B3"/>
            <w:sz w:val="22"/>
            <w:szCs w:val="22"/>
            <w:u w:val="single"/>
          </w:rPr>
          <w:t xml:space="preserve">https://otexts.com/fpp3/</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A. Géron, Hands-On Machine Learning with Scikit-Learn, Keras and TensorFlow, 2e éd. Sebastopol, CA, USA : O'Reilly Media,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[6] T. Hastie, R. Tibshirani, et J. Friedman, The Elements of Statistical Learning: Data Mining, Inference, and Prediction, 2e éd. New York, NY, USA : Springer, 2009.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[7] L. Breiman, « Random Forests », Machine Learning, vol. 45, n° 1, p. 5-32, 2001.</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[8] F. T. Liu, K. M. Ting, et Z.-H. Zhou, « Isolation Forest », in Proc. of the 8th IEEE International Conference on Data Mining (ICDM), Pise, Italie, 2008, p. 413-422.</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[9] J. MacQueen, « Some methods for classification and analysis of multivariate observations », in Proc. of 5th Berkeley Symposium on Mathematical Statistics and Probability, vol. 1, 1967, p. 281-297.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[10] S. Seabold et J. Perktold, « statsmodels: Econometric and statistical modeling with Python », in Proc. of the 9th Python in Science Conference, Austin, TX, USA, 2010, p. 92-96.</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[11] F. Pedregosa et al., « Scikit-learn: Machine Learning in Python », Journal of Machine Learning Research, vol. 12, p. 2825-2830, 2011. </w:t>
      </w:r>
      <w:hyperlink w:history="1" r:id="rId78c6rady3jivkxyp3wvlk">
        <w:r>
          <w:rPr>
            <w:rFonts w:ascii="Times New Roman" w:cs="Times New Roman" w:eastAsia="Times New Roman" w:hAnsi="Times New Roman"/>
            <w:color w:val="0056B3"/>
            <w:sz w:val="22"/>
            <w:szCs w:val="22"/>
            <w:u w:val="single"/>
          </w:rPr>
          <w:t xml:space="preserve">https://scikit-learn.org</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[12] S. J. Taylor et B. Letham, « Forecasting at scale: The Prophet procedure », The American Statistician, vol. 72, n° 1, p. 37-45, 2018. </w:t>
      </w:r>
      <w:hyperlink w:history="1" r:id="rIdgzv81x_p8buhq0vvq0o9v">
        <w:r>
          <w:rPr>
            <w:rFonts w:ascii="Times New Roman" w:cs="Times New Roman" w:eastAsia="Times New Roman" w:hAnsi="Times New Roman"/>
            <w:color w:val="0056B3"/>
            <w:sz w:val="22"/>
            <w:szCs w:val="22"/>
            <w:u w:val="single"/>
          </w:rPr>
          <w:t xml:space="preserve">https://peerj.com/preprints/3190/</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[13] J. D. Hunter, « Matplotlib: A 2D graphics environment », Computing in Science &amp; Engineering, vol. 9, n° 3, p. 90-95, 2007.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[14] S. Axsäter, Inventory Control, 3e éd. New York, NY, USA : Springer International Publishing, 2015.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[15] R. G. Brown, Statistical Forecasting for Inventory Control. New York, NY, USA : McGraw-Hill, 1959.</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[16] Microsoft Corporation, « Microsoft SQL Server 2022 Technical Documentation &amp; Index Architecture », 2024. </w:t>
      </w:r>
      <w:hyperlink w:history="1" r:id="rId52avwnicvrzaawaox-vbi">
        <w:r>
          <w:rPr>
            <w:rFonts w:ascii="Times New Roman" w:cs="Times New Roman" w:eastAsia="Times New Roman" w:hAnsi="Times New Roman"/>
            <w:color w:val="0056B3"/>
            <w:sz w:val="22"/>
            <w:szCs w:val="22"/>
            <w:u w:val="single"/>
          </w:rPr>
          <w:t xml:space="preserve">https://learn.microsoft.com/sql/sql-server/</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[17] Spring Framework Team, « Spring Boot 3 Reference Documentation », VMware Tanzu, 2024. </w:t>
      </w:r>
      <w:hyperlink w:history="1" r:id="rId_xqb8megrkrase0ysubxm">
        <w:r>
          <w:rPr>
            <w:rFonts w:ascii="Times New Roman" w:cs="Times New Roman" w:eastAsia="Times New Roman" w:hAnsi="Times New Roman"/>
            <w:color w:val="0056B3"/>
            <w:sz w:val="22"/>
            <w:szCs w:val="22"/>
            <w:u w:val="single"/>
          </w:rPr>
          <w:t xml:space="preserve">https://spring.io/projects/spring-boot</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[18] Python Software Foundation, « Python Documentation, Version 3.10 », 2024. </w:t>
      </w:r>
      <w:hyperlink w:history="1" r:id="rIdd-ikvzmenpjelbsagzfgz">
        <w:r>
          <w:rPr>
            <w:rFonts w:ascii="Times New Roman" w:cs="Times New Roman" w:eastAsia="Times New Roman" w:hAnsi="Times New Roman"/>
            <w:color w:val="0056B3"/>
            <w:sz w:val="22"/>
            <w:szCs w:val="22"/>
            <w:u w:val="single"/>
          </w:rPr>
          <w:t xml:space="preserve">https://docs.python.org/3/</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[19] W. McKinney, « Data Structures for Statistical Computing in Python (Pandas) », in Proc. of the 9th Python in Science Conf., Austin, TX, USA, 2010, p. 56-61. </w:t>
      </w:r>
      <w:hyperlink w:history="1" r:id="rIdq754btelurwwpeneivsy-">
        <w:r>
          <w:rPr>
            <w:rFonts w:ascii="Times New Roman" w:cs="Times New Roman" w:eastAsia="Times New Roman" w:hAnsi="Times New Roman"/>
            <w:color w:val="0056B3"/>
            <w:sz w:val="22"/>
            <w:szCs w:val="22"/>
            <w:u w:val="single"/>
          </w:rPr>
          <w:t xml:space="preserve">https://pandas.pydata.org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[20] C. R. Harris et al., « Array programming with NumPy », Nature, vol. 585, p. 357-362, 2020.</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[21] S. Ramirez, « FastAPI: Modern, Fast Web Framework for Python », 2024. </w:t>
      </w:r>
      <w:hyperlink w:history="1" r:id="rIdldvr3h4fqlp48nmga08g5">
        <w:r>
          <w:rPr>
            <w:rFonts w:ascii="Times New Roman" w:cs="Times New Roman" w:eastAsia="Times New Roman" w:hAnsi="Times New Roman"/>
            <w:color w:val="0056B3"/>
            <w:sz w:val="22"/>
            <w:szCs w:val="22"/>
            <w:u w:val="single"/>
          </w:rPr>
          <w:t xml:space="preserve">https://fastapi.tiangolo.com</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[22] Meta Platforms Inc., « React.js 18 Documentation &amp; Concurrent Features », 2024. </w:t>
      </w:r>
      <w:hyperlink w:history="1" r:id="rIduiz1uqvnol5oasnhi30jy">
        <w:r>
          <w:rPr>
            <w:rFonts w:ascii="Times New Roman" w:cs="Times New Roman" w:eastAsia="Times New Roman" w:hAnsi="Times New Roman"/>
            <w:color w:val="0056B3"/>
            <w:sz w:val="22"/>
            <w:szCs w:val="22"/>
            <w:u w:val="single"/>
          </w:rPr>
          <w:t xml:space="preserve">https://react.dev</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[23] C. J. Date, An Introduction to Database Systems, 8e éd. Boston, MA, USA : Addison-Wesley, 2003.</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[24] A. Ferrari et M. Russo, The Definitive Guide to DAX: Business Intelligence with Microsoft Power BI, SQL Server Analysis Services, and Excel, 2e éd. Redmond, WA, USA : Microsoft Press,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[25] S. Nakajima, Introduction to TPM: Total Productive Maintenance. Cambridge, MA, USA : Productivity Press, 1988.</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[26] G. Booch, J. Rumbaugh, et I. Jacobson, The Unified Modeling Language User Guide, 2e éd. Boston, MA, USA : Addison-Wesley, 2005.</w:t>
      </w:r>
    </w:p>
    <w:p>
      <w:pPr>
        <w:spacing w:after="0" w:before="0"/>
      </w:pPr>
      <w:r>
        <w:br w:type="page"/>
      </w:r>
    </w:p>
    <w:sectPr>
      <w:headerReference w:type="default" r:id="rId10"/>
      <w:footerReference w:type="default" r:id="rId11"/>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Faculté des Sciences de Monastir</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8666"/>
      </w:tabs>
      <w:jc w:val="left"/>
    </w:pPr>
    <w:r>
      <w:rPr>
        <w:rFonts w:ascii="Times New Roman" w:cs="Times New Roman" w:eastAsia="Times New Roman" w:hAnsi="Times New Roman"/>
        <w:i/>
        <w:iCs/>
        <w:color w:val="595959"/>
        <w:sz w:val="18"/>
        <w:szCs w:val="18"/>
      </w:rPr>
      <w:t xml:space="preserve">Nexora — Système Décisionnel Intelligent &amp; Pilotage de Production</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FSM Master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aps/>
      <w:color w:val="000000"/>
      <w:sz w:val="34"/>
      <w:szCs w:val="34"/>
    </w:rPr>
  </w:style>
  <w:style w:type="paragraph" w:styleId="Heading2">
    <w:name w:val="Heading 2"/>
    <w:basedOn w:val="Normal"/>
    <w:next w:val="Normal"/>
    <w:qFormat/>
    <w:pPr>
      <w:spacing w:after="110" w:before="2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xkif2ducy04fr0unwkftp" Type="http://schemas.openxmlformats.org/officeDocument/2006/relationships/hyperlink" Target="https://scrumguides.org" TargetMode="External"/><Relationship Id="rId6msx3b0zoikpf9ibulyt-" Type="http://schemas.openxmlformats.org/officeDocument/2006/relationships/hyperlink" Target="https://otexts.com/fpp3/" TargetMode="External"/><Relationship Id="rId78c6rady3jivkxyp3wvlk" Type="http://schemas.openxmlformats.org/officeDocument/2006/relationships/hyperlink" Target="https://scikit-learn.org" TargetMode="External"/><Relationship Id="rIdgzv81x_p8buhq0vvq0o9v" Type="http://schemas.openxmlformats.org/officeDocument/2006/relationships/hyperlink" Target="https://peerj.com/preprints/3190/" TargetMode="External"/><Relationship Id="rId52avwnicvrzaawaox-vbi" Type="http://schemas.openxmlformats.org/officeDocument/2006/relationships/hyperlink" Target="https://learn.microsoft.com/sql/sql-server/" TargetMode="External"/><Relationship Id="rId_xqb8megrkrase0ysubxm" Type="http://schemas.openxmlformats.org/officeDocument/2006/relationships/hyperlink" Target="https://spring.io/projects/spring-boot" TargetMode="External"/><Relationship Id="rIdd-ikvzmenpjelbsagzfgz" Type="http://schemas.openxmlformats.org/officeDocument/2006/relationships/hyperlink" Target="https://docs.python.org/3/" TargetMode="External"/><Relationship Id="rIdq754btelurwwpeneivsy-" Type="http://schemas.openxmlformats.org/officeDocument/2006/relationships/hyperlink" Target="https://pandas.pydata.org" TargetMode="External"/><Relationship Id="rIdldvr3h4fqlp48nmga08g5" Type="http://schemas.openxmlformats.org/officeDocument/2006/relationships/hyperlink" Target="https://fastapi.tiangolo.com" TargetMode="External"/><Relationship Id="rIduiz1uqvnol5oasnhi30jy" Type="http://schemas.openxmlformats.org/officeDocument/2006/relationships/hyperlink" Target="https://react.dev" TargetMode="External"/><Relationship Id="rId12" Type="http://schemas.openxmlformats.org/officeDocument/2006/relationships/image" Target="media/b289f7d2d4f5f6249107ab663b8b78463ef567e9.undefined"/><Relationship Id="rId13" Type="http://schemas.openxmlformats.org/officeDocument/2006/relationships/image" Target="media/a9b6ab7ec699fbf18963012655e4c70807d1d15b.undefined"/><Relationship Id="rId14" Type="http://schemas.openxmlformats.org/officeDocument/2006/relationships/image" Target="media/fe65776b946ee3e30970a2bc3cb6200c43a2998d.undefined"/><Relationship Id="rId15" Type="http://schemas.openxmlformats.org/officeDocument/2006/relationships/image" Target="media/0449bf9882443a38f9bc2eee45ad0d3847bb4ed6.undefined"/><Relationship Id="rId16" Type="http://schemas.openxmlformats.org/officeDocument/2006/relationships/image" Target="media/9dd5e9a114f13b358237690766cdee9a567c75b1.undefined"/><Relationship Id="rId17" Type="http://schemas.openxmlformats.org/officeDocument/2006/relationships/image" Target="media/0d70d93885f02ae9f00717ef0ba9f8bf6afb9966.undefined"/><Relationship Id="rId18" Type="http://schemas.openxmlformats.org/officeDocument/2006/relationships/image" Target="media/c6c9bc98852bbbd8f031de5c60185571e574355b.undefined"/><Relationship Id="rId19" Type="http://schemas.openxmlformats.org/officeDocument/2006/relationships/image" Target="media/c261150534a2ad650681e4011e149793ede51939.undefined"/><Relationship Id="rId20" Type="http://schemas.openxmlformats.org/officeDocument/2006/relationships/image" Target="media/e5c2e8103b229b040ccd3d8588637f32f6d57a62.undefined"/><Relationship Id="rId21" Type="http://schemas.openxmlformats.org/officeDocument/2006/relationships/image" Target="media/9b496e11d3e4f3dc9c436666137e1c1202a4b326.undefined"/><Relationship Id="rId22" Type="http://schemas.openxmlformats.org/officeDocument/2006/relationships/image" Target="media/29eab15b508796fda56310ab1fd4247ec2f9abfc.undefined"/><Relationship Id="rId23" Type="http://schemas.openxmlformats.org/officeDocument/2006/relationships/image" Target="media/7dcac106dd0380f6fdddd705c97214d084435c4f.undefined"/><Relationship Id="rId24" Type="http://schemas.openxmlformats.org/officeDocument/2006/relationships/image" Target="media/a884a33f45071419cd7467c4c992095dba4fe287.undefined"/><Relationship Id="rId25" Type="http://schemas.openxmlformats.org/officeDocument/2006/relationships/image" Target="media/d0dc730255c49e63615471b1401dac82a9f3df99.undefined"/><Relationship Id="rId26" Type="http://schemas.openxmlformats.org/officeDocument/2006/relationships/image" Target="media/0f9b90691e1da56860c340484bfe6914998710b7.undefined"/><Relationship Id="rId27" Type="http://schemas.openxmlformats.org/officeDocument/2006/relationships/image" Target="media/41df4d92b252b4bce3b5b62ac18dbf31d45d179a.undefined"/><Relationship Id="rId28" Type="http://schemas.openxmlformats.org/officeDocument/2006/relationships/image" Target="media/1bda744f00ceec9883ada0d8de1f5d14ed61980b.undefined"/><Relationship Id="rId29" Type="http://schemas.openxmlformats.org/officeDocument/2006/relationships/image" Target="media/b641cd8f12a5c67fc8f2f31e8a7d67dfb8abc697.undefined"/><Relationship Id="rId30" Type="http://schemas.openxmlformats.org/officeDocument/2006/relationships/image" Target="media/428a79ecf1a0a34e6ecffb25eb9842d41908ed02.undefined"/><Relationship Id="rId31" Type="http://schemas.openxmlformats.org/officeDocument/2006/relationships/image" Target="media/8c708147d14e9ec5b2be76716f78f333281e56b0.undefined"/><Relationship Id="rId32" Type="http://schemas.openxmlformats.org/officeDocument/2006/relationships/image" Target="media/cba26c094fbe5b08ef4d221b1fae292cd61a09a4.undefined"/><Relationship Id="rId33" Type="http://schemas.openxmlformats.org/officeDocument/2006/relationships/image" Target="media/bb726fb00b88dbd789eb9d2095f5e1a5a7bb4a17.undefined"/><Relationship Id="rId34" Type="http://schemas.openxmlformats.org/officeDocument/2006/relationships/image" Target="media/1f6b12816366a554e68e0178d422a85b2fba1d52.undefined"/><Relationship Id="rId35" Type="http://schemas.openxmlformats.org/officeDocument/2006/relationships/image" Target="media/d2bf30fde46232fea397ab878acb4d0c6813c315.undefined"/><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2026-10-04T22:48:30.285Z</dcterms:created>
  <dcterms:modified xsi:type="dcterms:W3CDTF">2026-10-04T22:48:30.285Z</dcterms:modified>
</cp:coreProperties>
</file>

<file path=docProps/custom.xml><?xml version="1.0" encoding="utf-8"?>
<Properties xmlns="http://schemas.openxmlformats.org/officeDocument/2006/custom-properties" xmlns:vt="http://schemas.openxmlformats.org/officeDocument/2006/docPropsVTypes"/>
</file>