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modeste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leurs sacrifices constants, leur amour inépuisable et leurs prières bienveillantes qui m'ont guidée tout au long de mon cursus académique.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dont les encouragements sincères et la présence indéfectible ont constitué une source inestimable de motivation.</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l'ensemble du corps professoral de la Faculté des Sciences de Monastir, qui a forgé mes compétences et nourri ma passion pour les sciences des données et le génie logiciel.</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encadrant(e) universitaire de la Faculté des Sciences de Monastir pour ses conseils avisés, sa rigueur scientifique et sa disponibilité tout au long de ce travail de recherche appliquée.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mes vifs remerciements à mon encadrant professionnel au sein du groupe industriel d'accueil, pour sa confiance, son encadrement technique rigoureux et son accompagnement précieux lors de l'intégration des flux d'atelier et du Data Warehouse.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remercie également la direction industrielle et les équipes opérationnelles des sites de Kondar, Sousse et Brno pour leur accueil chaleureux, leur coopération active lors du recueil des besoins et la pertinence de leurs retours terrain.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aux membres du jury qui ont accepté d'examiner et d'évaluer ce travail de fin d'études.</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l'industrie 4.0 et de l'optimisation des procédés de plasturgie automobile (équipementier Tier-1),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multi-sites (usines de Kondar/Sousse en Tunisie et Brno en République Tchèque). Face à l'hétérogénéité des outils d'atelier et à la dispersion des données issues de 319 machines réelles, Nexora unifie le suivi temps réel de la fabrication et la gestion d'un historique de 1,5 million de mouvements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intègre une architecture modulaire à 4 niveaux s'appuyant sur Spring Boot 3 (Java 17), Microsoft SQL Server (Entrepôt de Données), un frontend réactif React.js doté du design system Metronic 8, et un microservice de Machine Learning sous FastAPI (Python 3.10). L'application assure le calcul instantané du Taux de Rendement Global (TRG/OEE), la classification ABC d'inventaire selon Pareto, ainsi que la modélisation prédictive des cadences de fabrication et des niveaux de stock via l'algorithme Prophet de Meta (MAPE de 4,8 % et MAE de 7,4 pièces), surpassant les modèles traditionnels ARIMA et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intègre en outre des tableaux de bord décisionnels interactifs sous Microsoft Power BI permettant aux gestionnaires d'analyser la performance de l'atelier, de diagnostiquer les arrêts machines et de piloter les indicateurs financiers et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Industrie 4.0, Plasturgie Automobile, Data Warehouse, Machine Learning, Séries Temporelles, Prophet (Meta), Analyse Prédictive, TRG/OEE,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SOMMAIRE</w:t>
      </w:r>
    </w:p>
    <w:p>
      <w:pPr>
        <w:tabs>
          <w:tab w:val="right" w:pos="8666" w:leader="dot"/>
        </w:tabs>
        <w:spacing w:after="50" w:before="14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w:t>
      </w:r>
    </w:p>
    <w:p>
      <w:pPr>
        <w:tabs>
          <w:tab w:val="right" w:pos="8666" w:leader="dot"/>
        </w:tabs>
        <w:spacing w:after="50" w:before="14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w:t>
      </w:r>
    </w:p>
    <w:p>
      <w:pPr>
        <w:tabs>
          <w:tab w:val="right" w:pos="8666" w:leader="dot"/>
        </w:tabs>
        <w:spacing w:after="50" w:before="14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iii</w:t>
      </w:r>
    </w:p>
    <w:p>
      <w:pPr>
        <w:tabs>
          <w:tab w:val="right" w:pos="8666" w:leader="dot"/>
        </w:tabs>
        <w:spacing w:after="50" w:before="14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1 : Contexte et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1.2.1 Cadre Académique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1.2.4 Organisation Industrielle et Parcs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Étude et Critique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Diagnostic de l'Existant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Étude Comparative des Solutions du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1.3.3 Problématique Spécifique : Silos de données et manque de réactivité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Solution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Objectifs de la Plateforme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Workflow Fonctionnel Global de Bout en Bout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Méthodologie de Développement Adoptée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Principes de la Méthodologie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Planification Globale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1.5.4 Product Backlog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2 :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Sprint Backlog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2.3.3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Conception du Système &amp;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2.4.1 Diagramme de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2.4.2 Descriptions Textuelles des Cas d'Utilisation Majeurs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Architecture Logique à 4 Niveaux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Architecture Physique et Déploiement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Environnement Matériel et Logiciel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2.6.3 Cartographie des 17 Modèles IA &amp; Data Science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2.6.2 Stack Technologique et Outils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2.7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3 : Sprint 1 – Audit du Data Warehouse, Assainissement &amp;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Sprint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Structure et Sources du Data Warehouse d'Entreprise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Tables Clés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Modèle Relationnel Entités-Associations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et Diagnostic Qualité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Distributions Statistiques et Volumétries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Corrélations et Saisonnalités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Identification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et Déroulement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Optimisation SQL Server et Stratégie d'Indexation Clusterisée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Stratégie d'Agrégation et d'Optimisation des Données Analytiques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Bilan Qualité des Données et Performances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Sécurité d'Accès, Gouvernance des Données et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3.6.1 Diagramme de Cas d'Utilisation du Sprint 1</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3.6.2 Diagramme de Classes du Module de Sécurité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3.6.3 Diagramme de Séquence : Authentification JWT et RBAC</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3.6.4 Réalisation : Interface d'Administration des Utilisateurs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4 : Sprint 2 – Modélisation Prédictive de Production et Détection d'Anomalies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Sprint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Prédictif &amp; Flux de Traitement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4.3.1 Architecture du Microservice d'IA FastAPI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4.3.2 Flux de Traitement et Communication Inter-Services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Préparation des Données et Séries Temporelles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Extraction et Agrégation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Structuration Standard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4.4.3 Découpage Chronologique Train et 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Métriques d'Évaluation de Performance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Développement et Formulation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Régression Linéaire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Modèle Autorégressif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Modèle Additif Prophet de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4.6.4 Détection d'Anomalies par Isolation Forest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4.6.5 Optimisation des Hyperparamètres et Validation Croisée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Benchmark Comparatif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Sélection et Justification Multicritère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Projections à 30 jours, Analyse des Incertitudes et Fallback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4.10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5 : Sprint 3 – Développement du Module de Gestion Intelligente des Stocks d'Atelier</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en Quatre Étapes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Intégration des Prévisions dans la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Classification des Articles de Production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Génération des Recommandations Prescriptives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Calcul des Quantités à Produire et Commander sur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Alertes Intelligentes et Priorisation par Coût d'Arrêt Évité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Moteur Prescriptif du Point de Commande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Analyse Approfondie et Résultats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Segmentation ABC et Analyse de Pareto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Clustering Non Supervisé K-Means des Articles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Moteur de Simulation Scénaristique What-If</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5.7.4 Analyse Multi-Sites et Transferts Inter-Usines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Bilan des Livrables et Validation Métier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6 : Sprint 4 – Tableaux de Bord Décisionnels et Validation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Sprint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Globale et Diagramme de Séquence du Système Décisionnel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et Réalisation des Interfaces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Console de Suivi de Production et TRG Temps Réel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Console d'Inventaire, Mouvements DWH et Export XLSX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Module de Visualisation Prédictive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Tableaux de Bord et Reporting Décisionnel Microsoft Power BI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Recette Utilisateur et Validation Métier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des Objectifs Atteints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Opérationnel et Chiffré pour l'Atelier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Perspectives d'Évolution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90</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 cas d'utilisation global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logique à 4 niveaux du système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2.3 : Architecture physique et infrastructure de déploiement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2.4 : Diagramme de classes global du modèle conceptuel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Schéma relationnel Entités-Associations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Diagramme d'activité du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Capture d'écran : Console d'administration des utilisateurs et contrôle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Capture d'écran : Interface de prévision Prophet avec bandes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Segmentation ABC de Pareto et Partitionnement K-Means des 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Diagramme de séquence global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Capture d'écran : Console de suivi des machines et calcul du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Capture d'écran : Console de gestion des stocks, mouvements DWH et filtres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Capture d'écran : Visualisation interactive des prévisions Prophet sous ApexCharts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Tableau de bord Power BI : Supervision exécutive globale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Tableau de bord Power BI : Analyse approfondie des mouvements et valorisation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spacing w:after="0" w:before="0"/>
      </w:pPr>
      <w:r>
        <w:br w:type="page"/>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Planification des Sprints Scrum sur les 6 mois de stage PFE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complet et priorisé du projet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Sprint Backlog du Sprint 0 – Analyse des besoins et conception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Matrice des acteurs et profils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2.3 : Matrice des exigences fonctionnelles majeures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2.4 :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Sprint Backlog du Sprint 1 – Audit du Data Warehouse, Assainissement &amp;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Principales tables de faits et volumétries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Bilan qualité des données et performances avant et après optimisations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Sprint Backlog du Sprint 2 – 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Les 16 variables explicatives industrielles communes aux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Découpage chronologique Train / 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4.4 : Métriques d'évaluation des modèles de prévision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4.6 : Avantages et limites : Modèle Autorégressif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4.7 : Avantages et limites du modèle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4.8 : Avantages et limites de l'algorithme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4.9 : Hyperparamètres optimaux et calibration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4.10 : Benchmark comparatif des algorithmes de séries temporelles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4.11 : Justification multicritère du choix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4.12 :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du Sprint 3 – Gestion Intelligente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Classification des articles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Analyse de la répartition ABC et règles de gestion des stocks associées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du clustering K-Means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Caractérisation des clusters d'articles générés par K-Means sur l'inventaire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Bilan des livrables et validation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Sprint Backlog du Sprint 4 – Interfaces Décisionnelles et Validation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Matrice de recette et conformité des User Stories validées par le Product Owner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7.1 : 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80"/>
        <w:gridCol w:w="2961"/>
        <w:gridCol w:w="4225"/>
      </w:tblGrid>
      <w:tr>
        <w:trPr>
          <w:tblHeader/>
        </w:trPr>
        <w:tc>
          <w:tcPr>
            <w:tcW w:type="dxa" w:w="148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296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422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flux</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à la décision stratégique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et temps d'usinage machine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quatre opérations fondamentales de gestion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d'entreprise consolidé multi-sources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EDA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Exploratory Data Analysis</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et statistique des données d'atelier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Enterprise Resource Planning</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d'entreprise Microsoft Dynamics NAV</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 Transform, Load</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transformation et chargement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Faculté des Sciences de Monastir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Établissement académique universitaire de rattachement</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comptabilisant les écritures réelles des mouvements de stock</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IoT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of Things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des Objets industriels et capteurs connectés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Jeton cryptographique standard pour l'authentification sans état</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d'atelier</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mesurée sur les prévisions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Percentage Error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d'erreur absolue moyen évaluant l'exactitude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Manufacturing Execution System</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 la fabrication</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Overall Equipment Effectiveness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Synthétique ou Taux de Rendement Global - TRG</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OF</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Fabrication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production planifié pour l'usinage d'une pièce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du produit et de la valeur métier en méthodologie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basé sur les rôles : Administrateur, Manager, Opérateur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Root Mean Squared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Facilitateur et garant du cadre méthodologique agile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monopage réactive sans rechargement de page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requêtage pour bases de données relationnelles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Métrique industrielle agrégeant Disponibilité × Efficacité × Qualité</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modélisation unifié</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Récit utilisateur décrivant un besoin fonctionnel standardisé</w:t>
            </w:r>
          </w:p>
        </w:tc>
      </w:tr>
    </w:tbl>
    <w:p>
      <w:pPr>
        <w:sectPr>
          <w:footerReference w:type="default" r:id="rId9"/>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L'avènement de l'Industrie 4.0 et l'automatisation avancée des flux d'atelier transforment radicalement le secteur de la plasturgie automobile. Dans un marché mondial hautement concurrentiel caractérisé par des tolérances strictes de fabrication et des délais de livraison tendus (juste-à-temps), les équipementiers de premier rang (Tier-1) ne peuvent plus se contenter d'une gestion réactive de leur appareil productif. La maîtrise globale de la chaîne de valeur requiert une visibilité instantanée sur les lignes de fabrication, l'optimisation continue du Taux de Rendement Global (TRG/OEE) des presses à injecter et une anticipation mathématique des besoins en matières premières.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cœur de ce défi industriel, la dispersion des sources d'information constitue un écueil récurrent. Bien que disposant d'un entrepôt de données d'entreprise alimenté par l'ERP Microsoft Dynamics NAV, l'entreprise d'accueil — opérant sur plusieurs usines stratégiques à Kondar et Sousse (Tunisie) ainsi qu'à Brno (République Tchèque) — souffrait d'un cloisonnement prononcé entre la gestion des stocks, la planification des ordres d'atelier et l'analyse décisionnelle. Avec un parc de 319 machines industrielles et un flux transactionnel excédant 1,5 million de mouvements de stock, le recours persistant à des fiches suiveuses papier et à des classeurs Excel disséminés engendrait des retards chroniques de consolidation, des temps d'arrêt non tracés et des ruptures de matières nobles coûteuses.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de manière concrète et pérenne à cette problématique, le présent projet de fin d'études a consisté à concevoir et développer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logicielle unifiée combinant l'ingénierie web moderne, l'audit approfondi de données massives et la puissance de l'Intelligence Artificielle prédictive et prescriptive. Nexora poursuit cinq objectifs fondamentaux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Centralisation et 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fédérer les 83 tables relationnelles du Data Warehouse, fiabiliser les données d'atelier (production, inventaires et mouvements de stock) et optimiser les temps d'accès aux historiques massifs grâce à une indexation clusterisée de pointe.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et supervision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suivre en direct l'état des machines d'injection et de soudure laser, calculer instantanément le taux TRG et ordonnancer les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dynamique des stocks et classification ABC</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automatiser l'analyse de Pareto sur les références d'articles, identifier les ruptures critiques (&lt; 5 pièces) et proposer des transferts inter-usines équilibrés.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des séries temporelles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projeter à 30 jours les cadences d'atelier et la consommation matière avec calcul d'intervalles de confiance rigoureux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Aide à la décision et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des tableaux de bord interactifs sous Microsoft Power BI permettant aux décideurs d'analyser la performance d'atelier, de calibrer les équipes (régime 3x8) et d'optimiser la gestion des approvisionnements.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mener à bien ce projet d'envergure, nous avons adopté la méthodologie Agile Scrum, organisée en un Sprint 0 préparatoire suivi de quatre sprints de développement d'une durée de 4 semaines chacun. Conformément à la démarche de recherche appliquée, ce mémoire est structuré en six chapitres canoniques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Contexte et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l'organisme d'accueil, le diagnostic de l'existant d'atelier, l'étude comparative des solutions du marché, la méthodologie Scrum adoptée et le backlog produit initial.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Sprint 0 – Analyse des Besoins et Conception du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Formalise les acteurs, les exigences fonctionnelles et non fonctionnelles, l'architecture à 4 niveaux et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Audit du Data Warehouse, Assainissement &amp;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Expose l'analyse exploratoire des données (EDA), la mise en place du pipeline ETL, l'optimisation des index SQL Server et la couche de sécurité RBAC / JWT.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Modélisation Prédictive de Production et Détection d'Anomalies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 l'étude théorique comparative des séries temporelles, le benchmark expérimental (Régression Linéaire, ARIMA, Prophet), la détection d'anomalies par Isolation Forest et le microservice d'inférence sous FastAPI.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Développement du Module de Gestion Intelligente des Stocks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Détaille l'intégration des prévisions Prophet, la classification des articles en 4 statuts de stock, la segmentation ABC/Pareto, le clustering K-Means et le moteur prescriptif de réapprovisionnement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Tableaux de Bord Décisionnels et Validation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la conception des interfaces utilisateur Metronic 8, la mise en œuvre des rapports décisionnels Microsoft Power BI et la recette globale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dresse le bilan chiffré des résultats obtenus, analyse les difficultés surmontées et esquisse les perspectives d'évolution vers l'Internet des Objets (IoT) et le Deep Learning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Général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les bases académiques et industrielles de notre travail. Nous y introduisons l'organisme d'accueil, son envergure internationale dans le domaine de la plasturgie automobile et ses spécificités organisationnelles multi-sites. Nous dressons ensuite une étude critique rigoureuse des pratiques existantes dans les ateliers de fabrication afin d'en cerner les failles opérationnelles. Enfin, nous explicitons la solution cible Nexora, justifions le choix de la méthodologie Agile Scrum et définissons le Product Backlog directeur de la réalisation.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Cadre du Projet</w:t>
      </w:r>
    </w:p>
    <w:p>
      <w:pPr>
        <w:pStyle w:val="Heading3"/>
        <w:spacing w:after="70" w:before="140"/>
        <w:outlineLvl w:val="2"/>
      </w:pPr>
      <w:r>
        <w:rPr>
          <w:rFonts w:ascii="Times New Roman" w:cs="Times New Roman" w:eastAsia="Times New Roman" w:hAnsi="Times New Roman"/>
          <w:b/>
          <w:bCs/>
          <w:color w:val="000000"/>
          <w:sz w:val="24"/>
          <w:szCs w:val="24"/>
        </w:rPr>
        <w:t xml:space="preserve">1.2.1 Cadre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projet de fin d'études pour l'obtention du diplôme de Mastère Professionnel en Science des Données (Data Science) délivré par la Faculté des Sciences de Monastir (Université de Monastir, Tunisie). Il vise à concrétiser l'alliance entre les disciplines avancées de l'apprentissage automatique (Machine Learning, séries temporelles), l'ingénierie du logiciel d'entreprise (Spring Boot, React, FastAPI) et l'architecture des entrepôts de données massives (Data Warehouse SQL Server).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réalisé au sein d'un groupe industriel international d'équipementier automobile de rang 1 (Tier-1), spécialisé dans la transformation thermoplastique de haute précision, le moulage par injection technique et l'assemblage de sous-ensembles automobiles complexes. L'entreprise fournit directement les principaux constructeurs et intégrateurs mondiaux : Valeo, Bosch, Delphi/Aptiv, Continental, Porsche, Mann+Hummel, Renault/Nissan, Nexteer et YAPP.</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L'appareil productif repose sur une implantation industrielle multi-sites hautement complémentaire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Sites de Tunisie (Usines de Kondar et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les halls majeurs d'injection thermoplastique lourde (TN1-INJE, TN2-INJ) et les lignes d'assemblage dédiées aux pièces de sécurité (TN1-ASSE, TN2-ASSE), notamment les réservoirs SCR d'AdBlue, les modules d'admission d'air et les flotteurs de carburant.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de République Tchèque (Usine de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pôle d'excellence dédié aux technologies d'assemblage automatisé, au moulage de précision (CZM), au contrôle qualité optique (CZQ) et aux lignes de soudure laser robotisée (CZA).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les caractéristiques clés de l'environnement industriel au sein duquel s'est déroulé notre stage de fin d'études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2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 d'accueil</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(Équipementier Tier-1) – Injection Thermoplastique &amp; Assemblage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donneurs d'ordre</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Renault, Nexteer, Mann+Hummel</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(Navision), Entrepôt de Données SQL Server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Supervisé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machines réelles configurées dans le DWH (dont 108 presses et cellules critiques)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 DWH</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3,2 millions d'enregistrements (1.5M ILE, 876k CLE, 814k Stock journalier)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Technologies retenues</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3, React Metronic 8, FastAPI Python, SQL Server, Prophet, Power BI</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l'organisme d'accueil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1.2.4 Organisation Industrielle et Parcs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matérielle de l'entreprise se distingue par un parc diversifié de machines de haute technologie réparties en centres de charge (</w:t>
      </w:r>
      <w:r>
        <w:rPr>
          <w:rFonts w:ascii="Times New Roman" w:cs="Times New Roman" w:eastAsia="Times New Roman" w:hAnsi="Times New Roman"/>
          <w:b w:val="false"/>
          <w:bCs w:val="false"/>
          <w:i/>
          <w:iCs/>
          <w:color w:val="1A1A1A"/>
          <w:sz w:val="24"/>
          <w:szCs w:val="24"/>
        </w:rPr>
        <w:t xml:space="preserve">Work Centers</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Machine Centers</w:t>
      </w:r>
      <w:r>
        <w:rPr>
          <w:rFonts w:ascii="Times New Roman" w:cs="Times New Roman" w:eastAsia="Times New Roman" w:hAnsi="Times New Roman"/>
          <w:b w:val="false"/>
          <w:bCs w:val="false"/>
          <w:i w:val="false"/>
          <w:iCs w:val="false"/>
          <w:color w:val="1A1A1A"/>
          <w:sz w:val="24"/>
          <w:szCs w:val="24"/>
        </w:rPr>
        <w:t xml:space="preserve">) configurés au sein de l'ERP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Presses à injecter thermoplastiques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48 presses robotisées de fort et moyen tonnage (Demag Systec de 50T à 420T, Arburg Allrounder de 50T à 500T, Billion Select de 150T à 320T, et presses verticales Engel) assurant la transformation des polymères techniques (PA66, PBT, POM, Polypropylène chargé fibre de verre).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Cellules robotisées de soudure laser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robots de soudure Inautec (Inautec 1 à 7) réalisant l'assemblage hermétique des réservoirs plastiques sous atmosphère contrôlée.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Bancs de test et d'assurance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bancs d'éclatement hydraulique et bancs d'étanchéité haute pression Huber Suhner garantissant une traçabilité unitaire zéro défaut.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Étude et Critique de l'Existant</w:t>
      </w:r>
    </w:p>
    <w:p>
      <w:pPr>
        <w:pStyle w:val="Heading3"/>
        <w:spacing w:after="70" w:before="140"/>
        <w:outlineLvl w:val="2"/>
      </w:pPr>
      <w:r>
        <w:rPr>
          <w:rFonts w:ascii="Times New Roman" w:cs="Times New Roman" w:eastAsia="Times New Roman" w:hAnsi="Times New Roman"/>
          <w:b/>
          <w:bCs/>
          <w:color w:val="000000"/>
          <w:sz w:val="24"/>
          <w:szCs w:val="24"/>
        </w:rPr>
        <w:t xml:space="preserve">1.3.1 Diagnostic de l'Existant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immersion prolongée au sein des ateliers de fabrication et des magasins de stockage a révélé plusieurs ruptures méthodologiques et techniques freinant la productivité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Saisie manuelle sur fiches suiveuses papier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lancement des ordres de fabrication, l'enregistrement des pièces conformes et des rebuts s'effectuaient sur papier par les chefs d'équipe, avant d'être ressaisis de manière différée dans l'ERP avec plusieurs heures voire jours de retard.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indicateurs d'efficacité machine étaient calculés a posteriori en fin de mois sur des tableurs Excel, interdisant toute réaction immédiate en cas de dérive de cadence ou de micro-arrêts répétés.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périodiques. Les réapprovisionnements étaient déclenchés en urgence lors de l'atteinte d'un niveau critique, générant des arrêts de presse imprévus.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Déconnexion entre l'ERP et les opérateurs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l'interface complexe de Microsoft Dynamics NAV était réservée aux planificateurs administratifs, privant les opérateurs d'une interface visuelle adaptée à leurs besoins quotidiens.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Étude Comparative des Solutions du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cadrer la valeur ajoutée du développement interne d'une plateforme dédiée par rapport aux offres logicielles commerciales, nous avons réalisé une étude comparative approfondie synthétisée dans 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 ERP Lourds (SAP, Siemens Opcenter)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Solutions Maison Tableurs (Excel / Access)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Plateforme Cible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 mais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(Saisies manuelles après coup)</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dynamique automatique par machine)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très onéreuse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(Aucune capacité de Machine Learning)</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(Intégration native du modèle Prophet)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BI intégrés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payante et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Limité à des graphiques statiques</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(Tableaux de bord interactifs Power BI et métriques en temps réel)</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et convivialité</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(Interface lourde et austère)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Rudimentaire et propice aux erreurs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(Design system réactif Metronic 8)</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connecteurs propriétaires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instable (ODBC limité)</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Native (Spring Boot JPA + SQL Server)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global de possession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Prohibitif (Licences annuelles + intégrateurs)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mais coût caché élevé en pannes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Maîtrisé (Socle open-source d'entreprise)</w:t>
            </w:r>
          </w:p>
        </w:tc>
      </w:tr>
    </w:tbl>
    <w:p>
      <w:pPr>
        <w:spacing w:after="120" w:before="80"/>
        <w:jc w:val="center"/>
      </w:pPr>
      <w:r>
        <w:rPr>
          <w:rFonts w:ascii="Times New Roman" w:cs="Times New Roman" w:eastAsia="Times New Roman" w:hAnsi="Times New Roman"/>
          <w:i/>
          <w:iCs/>
          <w:color w:val="595959"/>
          <w:sz w:val="20"/>
          <w:szCs w:val="20"/>
        </w:rPr>
        <w:t xml:space="preserve">Tableau 1.2 : Étude comparative des solutions du marché</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1.3.3 Problématique Spécifique : Silos de données et manque de réactivité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met en exergue le problème fondamental des silos de données. L'entreprise stockait dans son Data Warehouse des millions de lignes de données brutes de production et de mouvements d'articles, mais ne disposait d'aucun mécanisme décisionnel automatisé pour exploiter cette richesse historique. Les décisions d'approvisionnement et de planification restaient empiriques, exposant l'atelier au double risque du surstockage d'articles obsolètes et de la rupture brutale sur des composants critiques.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Solution Proposée</w:t>
      </w:r>
    </w:p>
    <w:p>
      <w:pPr>
        <w:pStyle w:val="Heading3"/>
        <w:spacing w:after="70" w:before="140"/>
        <w:outlineLvl w:val="2"/>
      </w:pPr>
      <w:r>
        <w:rPr>
          <w:rFonts w:ascii="Times New Roman" w:cs="Times New Roman" w:eastAsia="Times New Roman" w:hAnsi="Times New Roman"/>
          <w:b/>
          <w:bCs/>
          <w:color w:val="000000"/>
          <w:sz w:val="24"/>
          <w:szCs w:val="24"/>
        </w:rPr>
        <w:t xml:space="preserve">1.4.1 Objectifs de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transcender ces limites,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vise à délivrer une plateforme intégrée dotée des capacités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Unifier l'accès aux données de production et de stock sous un socle applicatif moderne et hautement sécurisé.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aux managers une visibilité en direct sur les 319 machines avec calcul instantané du TRG et alertes d'arrêt.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Exploiter l'historique DWH par un pipeline d'IA prédictive anticipant la charge d'atelier et les besoins de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un système prescriptif automatisant les recommandations d'approvisionnement et le rééquilibrage de stock inter-usines.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Offrir une suite de tableaux de bord décisionnels Power BI pour le pilotage exécutif de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Workflow Fonctionnel Global de Bout en Bout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global de Nexora s'articule autour d'un flux continu reliant le terrain à la décision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et actualisation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continue des ordres de fabrication et des mouvements de stock depuis la base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Supervision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automatique des cadences par machine, détection des arrêts non justifiés et mise à jour dynamique du TRG sur l'interface Metronic 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Inférence prédictive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microservice FastAPI charge les séries chronologiques, applique Prophet et transmet les prévisions à 30 jours et les intervalles d'incertitude.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&amp; Reporting décisionnel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analyse des projections pour déduire les points de commande, équilibrer les plannings d'équipes 3x8 et alimenter les tableaux de bord Power BI.</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Méthodologie de Développement Adoptée</w:t>
      </w:r>
    </w:p>
    <w:p>
      <w:pPr>
        <w:pStyle w:val="Heading3"/>
        <w:spacing w:after="70" w:before="140"/>
        <w:outlineLvl w:val="2"/>
      </w:pPr>
      <w:r>
        <w:rPr>
          <w:rFonts w:ascii="Times New Roman" w:cs="Times New Roman" w:eastAsia="Times New Roman" w:hAnsi="Times New Roman"/>
          <w:b/>
          <w:bCs/>
          <w:color w:val="000000"/>
          <w:sz w:val="24"/>
          <w:szCs w:val="24"/>
        </w:rPr>
        <w:t xml:space="preserve">1.5.1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compare les méthodologies de conduite de projet logiciel afin de motiver notre sélection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en Cascade (Waterfall)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(Méthode Retenue)</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aux changements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faible (Spécifications rigides)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(Par phases d'élaboration)</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Maximale (Réajustement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 / métier</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(Recette en fin de projet)</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Intermédiaire (Jalons formels)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Permanente (Démonstration à chaque sprint)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 techniques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Reportée lors de l'intégration finale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Traitée durant l'architecture</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(Tests et livraisons itératifs)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Adéquation Data Science &amp; IA</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Inadaptée à la démarche itérative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Partiellement adaptée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(Affinement continu des modèles)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des méthodologies de gestion de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Principes de la Méthodologie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méthodologie Agile Scrum [1] a été retenue pour sa capacité à délivrer régulièrement des incréments logiciels testés et exploitables. L'équipe projet est structurée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industriel de l'entreprise d'accueil, garant de la vision métier et de la priorisation du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l'encadrant technique assurant le respect des règles agiles et la levée des blocages.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ingénieure/chercheuse, responsable de la conception, de l'implémentation et des tests.</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Planification Globale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déployé sur une durée totale de 6 mois (24 semaines), découpé en un Sprint 0 préparatoire et quatre sprints de réalisation de 4 semaines (tableau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400"/>
        <w:gridCol w:w="1100"/>
        <w:gridCol w:w="13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 Sprint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Charge estimée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architecture 4 tiers &amp; socle technique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 à 4</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Cahier des charges &amp; Stack</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Data Warehouse, assainissement ETL &amp; sécurité RBAC</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 à 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production par IA (Prophet)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9 à 12</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 &amp; moteur prescriptif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13 à 16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Metronic, Power BI &amp; recette globale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17 à 20</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Phase Finale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industrielle multi-sites &amp; rédaction du mémoire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21 à 24</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finale</w:t>
            </w:r>
          </w:p>
        </w:tc>
      </w:tr>
    </w:tbl>
    <w:p>
      <w:pPr>
        <w:spacing w:after="120" w:before="80"/>
        <w:jc w:val="center"/>
      </w:pPr>
      <w:r>
        <w:rPr>
          <w:rFonts w:ascii="Times New Roman" w:cs="Times New Roman" w:eastAsia="Times New Roman" w:hAnsi="Times New Roman"/>
          <w:i/>
          <w:iCs/>
          <w:color w:val="595959"/>
          <w:sz w:val="20"/>
          <w:szCs w:val="20"/>
        </w:rPr>
        <w:t xml:space="preserve">Tableau 1.4 : Planification des Sprints Scrum sur les 6 mois de stage PFE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1.5.4 Product Backlog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l'ensemble des 24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couvrant les besoins validés par le Product Owner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1000"/>
        <w:gridCol w:w="900"/>
        <w:gridCol w:w="9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le modèle Prophet et comparer avec ARIMA pour fiabiliser les prévisions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production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prévisions de cadence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Metronic 8 avec filtres multi-critères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superviser la production globale sur un tableau de bord exécutif Power BI</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analyser la valorisation et les mouvements de stock sur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complet et priorisé du projet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formaliser rigoureusement l'analyse et la conception, le langage de modélisation unifié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retenu. Nous exploitons ses deux grandes familles de diagrammes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structurels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classes pour concevoir les modèles d'entités, diagramme relationnel Entités-Associations pour le Data Warehouse, et diagramme de déploiement pour l'architecture physique.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comportementaux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cas d'utilisation pour exprimer les interactions fonctionnelles, diagrammes de séquence pour orchestrer les échanges asynchrones entre microservices, et diagrammes d'activité pour détailler les règles métiers et le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cadre général du projet au sein d'un grand équipementier de plasturgie automobile. L'analyse critique de l'existant a confirmé l'urgence d'une solution unifiée et intelligente pour surmonter le cloisonnement des données. Grâce au cadre méthodologique Scrum et à la modélisation UML, le périmètre du projet est clairement balisé en 20 User Stories. Le chapitre suivant présente les résultats du Sprint 0, consacré à l'analyse détaillée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constitue une étape fondatrice indispensable dans tout projet logiciel complexe. Loin d'être une simple formalité, il permet d'aligner l'équipe de développement et les experts métiers sur les spécifications fonctionnelles détaillées, d'élaborer l'architecture technique à 4 niveaux et de valider les choix technologiques garantissant scalabilité, sécurité et performance.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Sprint Backlog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présente le Sprint Backlog du Sprint 0, découpé en tâches d'ingénierie préliminaire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400"/>
        <w:gridCol w:w="2000"/>
        <w:gridCol w:w="11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de la tâche de conception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Responsable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Recueil et modélisation des exigences des profils d'atelier</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PO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besoins fonctionnels</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Formalisation des cas d'utilisation globaux et scénarios textuels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cas d'utilisation UML</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logicielle 4 tiers et physique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SM</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d'architecture</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Benchmarking et sélection de la stack technologique complète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prototypes</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T0.5</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l'environnement matériel, IDE et serveurs de test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configuré opérationnel</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2.1 : Sprint Backlog du Sprint 0 – Spécification et Architecture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gouvernance des accès au sein de Nexora s'appuie sur une politique de contrôle d'accès basée sur les rôles (RBAC) distinguant trois profils majeurs (tableau 2.2)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Profil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Applicatif</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de responsabilités et droits d'accès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 Système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ROLE_ADMIN</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globale des comptes, attribution des habilitations RBAC et garantie de la sécurité et de l'intégrité de la plateforme.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Production / Manager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ROLE_MANAGER</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319 machines, suivi temps réel du TRG, affectation des ordres de fabrication, paramétrage des seuils de stock, consultation des prévisions Prophet et reporting décisionnel Power BI.</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 d'Atelier / Magasinier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ROLE_OPERATEUR</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Pointage des ordres de fabrication (début, fin, rebuts), déclaration des arrêts machines, saisie des mouvements d'entrée/sortie d'inventaire et consultation des alertes critiques.</w:t>
            </w:r>
          </w:p>
        </w:tc>
      </w:tr>
    </w:tbl>
    <w:p>
      <w:pPr>
        <w:spacing w:after="120" w:before="80"/>
        <w:jc w:val="center"/>
      </w:pPr>
      <w:r>
        <w:rPr>
          <w:rFonts w:ascii="Times New Roman" w:cs="Times New Roman" w:eastAsia="Times New Roman" w:hAnsi="Times New Roman"/>
          <w:i/>
          <w:iCs/>
          <w:color w:val="595959"/>
          <w:sz w:val="20"/>
          <w:szCs w:val="20"/>
        </w:rPr>
        <w:t xml:space="preserve">Tableau 2.2 : Matrice des acteurs et profils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exigences fonctionnelles du système ont été regroupées en dix modules structurants (tableau 2.3)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4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5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détaillée de l'exigence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&amp; Contrôle d'Accès</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sans état par jetons JWT, chiffrement BCrypt, politique de mots de passe forts et gestion des sessions.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Machines</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319 machines d'atelier, affichage des statuts (En marche, En panne, En réglage) et durée de fonctionnement.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TRG</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en temps réel du taux de disponibilité, de performance et de qualité avec alertes visuelles de dérive.</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Ordres de Fabrication</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ordonnancement et suivi d'avancement des ordres de fabrication d'atelier.</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Dynamique de l'Inventaire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temps réel des niveaux de stock d'articles, historique des mouvements et alertes de seuils critiques.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prévisions temporelles à 30 jours pour la production et le stock avec décomposition des composantes saisonnières.</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de Confiance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des bornes d'incertitude à 95% (yhat_lower, yhat_upper) pour anticiper les capacités maximales d'atelier.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d'Atelier</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recommandations de réapprovisionnement, planification d'équipes 3x8 et maintenance préventive.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rapports décisionnels multi-dimensionnels connectés directement au Data Warehouse SQL Server.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Export Analytique XLSX</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multicritères avancé et génération automatique de rapports tabulaires Excel formatés.</w:t>
            </w:r>
          </w:p>
        </w:tc>
      </w:tr>
    </w:tbl>
    <w:p>
      <w:pPr>
        <w:spacing w:after="120" w:before="80"/>
        <w:jc w:val="center"/>
      </w:pPr>
      <w:r>
        <w:rPr>
          <w:rFonts w:ascii="Times New Roman" w:cs="Times New Roman" w:eastAsia="Times New Roman" w:hAnsi="Times New Roman"/>
          <w:i/>
          <w:iCs/>
          <w:color w:val="595959"/>
          <w:sz w:val="20"/>
          <w:szCs w:val="20"/>
        </w:rPr>
        <w:t xml:space="preserve">Tableau 2.3 : Matrice des exigences fonctionnelles majeures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2.3.3 Besoins Non Fonctionnels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Volumétrie et passage à l'échelle analytique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système doit être capable d'ingérer, d'assainir et d'agréger efficacement les historiques massifs du Data Warehouse (plus de 3,2 millions d'enregistrements) avec un temps de réponse inférieur à la seconde lors des extractions de séries temporelles et des calculs d'agrégats statistiques.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Précision et conformité métrique des modèles d'IA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algorithmes prédictifs de séries temporelles doivent garantir une erreur relative moyenne (MAPE) strictement inférieure au seuil industriel de 5 % et un coefficient de détermination R² supérieur à 0,90 sur les cadences journalières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complétude et gouvernance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pipeline ETL doit assurer un taux de complétude de 100 % sur les séries d'atelier (imputation rigoureuse des valeurs aberrantes, suppression des stocks négatifs) et garantir une stricte traçabilité des accès aux données industrielles sensibles via le protocole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Interprétabilité et aide à la décision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restitution visuelle des indicateurs décisionnels (courbes de prévision avec bandes d'incertitude à 95 %, segmentation Pareto ABC, clustering K-Means et détection d'anomalies) doit être claire, explicable et directement exploitable pour le pilotage opérationnel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Conception du Système &amp; Cas d'Utilisation Global</w:t>
      </w:r>
    </w:p>
    <w:p>
      <w:pPr>
        <w:pStyle w:val="Heading3"/>
        <w:spacing w:after="70" w:before="140"/>
        <w:outlineLvl w:val="2"/>
      </w:pPr>
      <w:r>
        <w:rPr>
          <w:rFonts w:ascii="Times New Roman" w:cs="Times New Roman" w:eastAsia="Times New Roman" w:hAnsi="Times New Roman"/>
          <w:b/>
          <w:bCs/>
          <w:color w:val="000000"/>
          <w:sz w:val="24"/>
          <w:szCs w:val="24"/>
        </w:rPr>
        <w:t xml:space="preserve">2.4.1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modélise le diagramme de cas d'utilisation global illustrant les frontières du système et les interactions entre les trois profils d'utilisateurs :</w:t>
      </w:r>
    </w:p>
    <w:p>
      <w:pPr>
        <w:spacing w:after="40" w:before="40"/>
      </w:pPr>
      <w:r>
        <w:t xml:space="preserve"/>
      </w:r>
    </w:p>
    <w:p>
      <w:pPr>
        <w:spacing w:after="60" w:before="140"/>
        <w:jc w:val="center"/>
      </w:pPr>
      <w:r>
        <w:drawing>
          <wp:inline distT="0" distB="0" distL="0" distR="0">
            <wp:extent cx="2895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95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 cas d'utilisation global de la plateforme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2.4.2 Descriptions Textuelles des Cas d'Utilisation Majeurs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du génie logiciel [15], nous formalisons ci-dessous les fiches descriptives des cas d'utilisation structurants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naviguer selon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 (Manager), Opérateur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avec mot de passe chiffré dans la base SQL Server.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saisit son adresse e-mail et son mot de passe sur la mire Metronic.</w:t>
            </w:r>
          </w:p>
          <w:p>
            <w:pPr>
              <w:spacing w:after="20" w:before="20" w:line="240" w:lineRule="auto"/>
            </w:pPr>
            <w:r>
              <w:rPr>
                <w:rFonts w:ascii="Times New Roman" w:cs="Times New Roman" w:eastAsia="Times New Roman" w:hAnsi="Times New Roman"/>
                <w:sz w:val="20"/>
                <w:szCs w:val="20"/>
              </w:rPr>
              <w:t xml:space="preserve">2. Le backend Spring Boot valide les informations via le AuthenticationManager et BCrypt.</w:t>
            </w:r>
          </w:p>
          <w:p>
            <w:pPr>
              <w:spacing w:after="20" w:before="20" w:line="240" w:lineRule="auto"/>
            </w:pPr>
            <w:r>
              <w:rPr>
                <w:rFonts w:ascii="Times New Roman" w:cs="Times New Roman" w:eastAsia="Times New Roman" w:hAnsi="Times New Roman"/>
                <w:sz w:val="20"/>
                <w:szCs w:val="20"/>
              </w:rPr>
              <w:t xml:space="preserve">3. Le serveur génère un jeton signé JWT contenant le rôle et les privilèges de l'utilisateur.</w:t>
            </w:r>
          </w:p>
          <w:p>
            <w:pPr>
              <w:spacing w:after="20" w:before="20" w:line="240" w:lineRule="auto"/>
            </w:pPr>
            <w:r>
              <w:rPr>
                <w:rFonts w:ascii="Times New Roman" w:cs="Times New Roman" w:eastAsia="Times New Roman" w:hAnsi="Times New Roman"/>
                <w:sz w:val="20"/>
                <w:szCs w:val="20"/>
              </w:rPr>
              <w:t xml:space="preserve">4. Le frontend React stocke le jeton et adapte dynamiquement le menu latéral de navigation.</w:t>
            </w:r>
          </w:p>
          <w:p>
            <w:pPr>
              <w:spacing w:after="20" w:before="20" w:line="240" w:lineRule="auto"/>
            </w:pPr>
            <w:r>
              <w:rPr>
                <w:rFonts w:ascii="Times New Roman" w:cs="Times New Roman" w:eastAsia="Times New Roman" w:hAnsi="Times New Roman"/>
                <w:sz w:val="20"/>
                <w:szCs w:val="20"/>
              </w:rPr>
              <w:t xml:space="preserve">5. L'utilisateur est redirigé vers son tableau de bord métier personnalisé.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sécurisée ; toutes les requêtes subséquentes portent le jeton en en-tête Bearer.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explicite. Compte désactivé : accès refusé avec alerte sécurité.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les machines d'atelier et calculer le TRG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319 machines sont configurées dans le référentiel des machines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accède à la console de suivi de production.</w:t>
            </w:r>
          </w:p>
          <w:p>
            <w:pPr>
              <w:spacing w:after="20" w:before="20" w:line="240" w:lineRule="auto"/>
            </w:pPr>
            <w:r>
              <w:rPr>
                <w:rFonts w:ascii="Times New Roman" w:cs="Times New Roman" w:eastAsia="Times New Roman" w:hAnsi="Times New Roman"/>
                <w:sz w:val="20"/>
                <w:szCs w:val="20"/>
              </w:rPr>
              <w:t xml:space="preserve">2. Le système extrait l'état de fonctionnement de chaque centre de charge (En marche, En panne, En réglage).</w:t>
            </w:r>
          </w:p>
          <w:p>
            <w:pPr>
              <w:spacing w:after="20" w:before="20" w:line="240" w:lineRule="auto"/>
            </w:pPr>
            <w:r>
              <w:rPr>
                <w:rFonts w:ascii="Times New Roman" w:cs="Times New Roman" w:eastAsia="Times New Roman" w:hAnsi="Times New Roman"/>
                <w:sz w:val="20"/>
                <w:szCs w:val="20"/>
              </w:rPr>
              <w:t xml:space="preserve">3. Le backend agrège les durées utiles et les temps d'arrêt pour calculer le TRG instantané.</w:t>
            </w:r>
          </w:p>
          <w:p>
            <w:pPr>
              <w:spacing w:after="20" w:before="20" w:line="240" w:lineRule="auto"/>
            </w:pPr>
            <w:r>
              <w:rPr>
                <w:rFonts w:ascii="Times New Roman" w:cs="Times New Roman" w:eastAsia="Times New Roman" w:hAnsi="Times New Roman"/>
                <w:sz w:val="20"/>
                <w:szCs w:val="20"/>
              </w:rPr>
              <w:t xml:space="preserve">4. L'interface affiche les jauges graphiques de performance et colore les alertes en rouge en cas de TRG &lt; 65%.</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situation d'atelier est actualisée et visualisée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temporairement non remontée : affichage du dernier état connu avec icône d'avertissement.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Prophet et analyser les tendances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 Décideur Industriel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 production d'atelier est synchronisé et le microservice FastAPI est opérationnel.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sélectionne l'horizon prévisionnel (7, 14 ou 30 jours) sur l'interface d'IA.</w:t>
            </w:r>
          </w:p>
          <w:p>
            <w:pPr>
              <w:spacing w:after="20" w:before="20" w:line="240" w:lineRule="auto"/>
            </w:pPr>
            <w:r>
              <w:rPr>
                <w:rFonts w:ascii="Times New Roman" w:cs="Times New Roman" w:eastAsia="Times New Roman" w:hAnsi="Times New Roman"/>
                <w:sz w:val="20"/>
                <w:szCs w:val="20"/>
              </w:rPr>
              <w:t xml:space="preserve">2. Le service FastAPI entraîne le modèle additif Prophet sur la série temporelle journalière.</w:t>
            </w:r>
          </w:p>
          <w:p>
            <w:pPr>
              <w:spacing w:after="20" w:before="20" w:line="240" w:lineRule="auto"/>
            </w:pPr>
            <w:r>
              <w:rPr>
                <w:rFonts w:ascii="Times New Roman" w:cs="Times New Roman" w:eastAsia="Times New Roman" w:hAnsi="Times New Roman"/>
                <w:sz w:val="20"/>
                <w:szCs w:val="20"/>
              </w:rPr>
              <w:t xml:space="preserve">3. Le modèle génère la courbe tendancielle, les cycles hebdomadaires et l'intervalle de confiance à 95%.</w:t>
            </w:r>
          </w:p>
          <w:p>
            <w:pPr>
              <w:spacing w:after="20" w:before="20" w:line="240" w:lineRule="auto"/>
            </w:pPr>
            <w:r>
              <w:rPr>
                <w:rFonts w:ascii="Times New Roman" w:cs="Times New Roman" w:eastAsia="Times New Roman" w:hAnsi="Times New Roman"/>
                <w:sz w:val="20"/>
                <w:szCs w:val="20"/>
              </w:rPr>
              <w:t xml:space="preserve">4. L'interface ApexCharts affiche les projections de cadences et met en évidence les points de retournement.</w:t>
            </w:r>
          </w:p>
          <w:p>
            <w:pPr>
              <w:spacing w:after="20" w:before="20" w:line="240" w:lineRule="auto"/>
            </w:pPr>
            <w:r>
              <w:rPr>
                <w:rFonts w:ascii="Times New Roman" w:cs="Times New Roman" w:eastAsia="Times New Roman" w:hAnsi="Times New Roman"/>
                <w:sz w:val="20"/>
                <w:szCs w:val="20"/>
              </w:rPr>
              <w:t xml:space="preserve">5. Le système formule des préconisations d'ordonnancement d'équipes (régime 3x8) et de maintenance préventive.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prévisions sont visualisées sur ApexCharts et les recommandations d'atelier sont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Indisponibilité temporaire du microservice Python : bascule automatique vers le moteur de calcul local React.</w:t>
            </w:r>
          </w:p>
        </w:tc>
      </w:tr>
    </w:tbl>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Architecture Proposée</w:t>
      </w:r>
    </w:p>
    <w:p>
      <w:pPr>
        <w:pStyle w:val="Heading3"/>
        <w:spacing w:after="70" w:before="140"/>
        <w:outlineLvl w:val="2"/>
      </w:pPr>
      <w:r>
        <w:rPr>
          <w:rFonts w:ascii="Times New Roman" w:cs="Times New Roman" w:eastAsia="Times New Roman" w:hAnsi="Times New Roman"/>
          <w:b/>
          <w:bCs/>
          <w:color w:val="000000"/>
          <w:sz w:val="24"/>
          <w:szCs w:val="24"/>
        </w:rPr>
        <w:t xml:space="preserve">2.5.1 Architecture Logique à 4 Niveaux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indépendance stricte entre le traitement de données massives, la logique d'entreprise et l'interface utilisateur, la plateforme Nexora adopte une architecture logique découplée en quatre couches étanches (figure 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 Data Warehouse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base relationnelle Microsoft SQL Server hébergeant l'entrepôt de données d'atelier (historiques de production, inventaires journaliers et mouvements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Ingestion et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procédures d'assainissement, d'agrégation et d'indexation clusterisée assurant la cohérence des flux.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Sécurité &amp;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REST d'entreprise sous Spring Boot 3 (Java 17) couplée de manière asynchrone au microservice de Data Science sous FastAPI (Python 3.10).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&amp; Décision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monopage (SPA) réactive sous React 18 / TypeScript avec le design system Metronic 8, complétée par les rapports Microsoft Power BI.</w:t>
      </w:r>
    </w:p>
    <w:p>
      <w:pPr>
        <w:spacing w:after="40" w:before="40"/>
      </w:pPr>
      <w:r>
        <w:t xml:space="preserve"/>
      </w:r>
    </w:p>
    <w:p>
      <w:pPr>
        <w:spacing w:after="60" w:before="140"/>
        <w:jc w:val="center"/>
      </w:pPr>
      <w:r>
        <w:drawing>
          <wp:inline distT="0" distB="0" distL="0" distR="0">
            <wp:extent cx="4800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logique à 4 niveaux du système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Architecture Physique et Déploiement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2.3 détaille l'infrastructure matérielle et réseau d'hébergement. Le serveur de base de données SQL Server (port 1433) est déployé sur le réseau d'entreprise protégé. Le serveur d'application héberge le backend Spring Boot (port 8080) communiquant par réseau local avec le service d'IA FastAPI Uvicorn (port 8000). Les postes de travail et tablettes d'atelier accèdent à l'interface React via des liaisons HTTPS sécurisées.</w:t>
      </w:r>
    </w:p>
    <w:p>
      <w:pPr>
        <w:spacing w:after="40" w:before="40"/>
      </w:pPr>
      <w:r>
        <w:t xml:space="preserve"/>
      </w:r>
    </w:p>
    <w:p>
      <w:pPr>
        <w:spacing w:after="60" w:before="140"/>
        <w:jc w:val="center"/>
      </w:pPr>
      <w:r>
        <w:drawing>
          <wp:inline distT="0" distB="0" distL="0" distR="0">
            <wp:extent cx="49625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62525" cy="3429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2.3 : Architecture physique et infrastructure de déploiement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des entités persistantes est représentée par le diagramme de classes global (figure 2.4). Il modélise les entités maîtresses : `Utilisateur`, `Role`, `Machine`, `OrdreProduction`, `ArretMachine`, `Article`, `MouvementStock` et `PredictionProphet`.</w:t>
      </w:r>
    </w:p>
    <w:p>
      <w:pPr>
        <w:spacing w:after="40" w:before="40"/>
      </w:pPr>
      <w:r>
        <w:t xml:space="preserve"/>
      </w:r>
    </w:p>
    <w:p>
      <w:pPr>
        <w:spacing w:after="60" w:before="140"/>
        <w:jc w:val="center"/>
      </w:pPr>
      <w:r>
        <w:drawing>
          <wp:inline distT="0" distB="0" distL="0" distR="0">
            <wp:extent cx="4714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1487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2.4 : Diagramme de classes global du modèle conceptuel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Environnement Matériel et Logiciel</w:t>
      </w:r>
    </w:p>
    <w:p>
      <w:pPr>
        <w:pStyle w:val="Heading3"/>
        <w:spacing w:after="70" w:before="140"/>
        <w:outlineLvl w:val="2"/>
      </w:pPr>
      <w:r>
        <w:rPr>
          <w:rFonts w:ascii="Times New Roman" w:cs="Times New Roman" w:eastAsia="Times New Roman" w:hAnsi="Times New Roman"/>
          <w:b/>
          <w:bCs/>
          <w:color w:val="000000"/>
          <w:sz w:val="24"/>
          <w:szCs w:val="24"/>
        </w:rPr>
        <w:t xml:space="preserve">2.6.1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L'environnement matériel utilisé pour le développement, l'apprentissage des modèles et les tests de validation comprend un poste haute performance doté d'un processeur multi-cœurs (16 threads), de 32 Go de mémoire RAM DDR5 pour le traitement en mémoire des séries massives, et de disques NVMe offrant des débits supérieurs à 5 000 Mo/s pour la manipulation fluide des sauvegardes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 Stack Technologique et Outils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technologies clés retenues pour la conception et l'implémentation de Nexora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2.6.2.1 Spring Boot 3 et Java 17</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3 est le framework d'entreprise de référence pour la construction d'architectures backend robustes, modulaires et sécurisées. Dans Nexora, il assure la gestion de la sécurité par jetons JWT, la persistance relationnelle via Spring Data JPA, l'exposition des API REST et l'orchestration des flux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2.6.2.2 React 18 et TypeScript sous Metronic 8</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 18 est la bibliothèque JavaScript leader pour la création d'interfaces utilisateur monopages dynamiques et hautement réactives. Couplé au design system industriel Metronic 8 et au typage strict TypeScript, il offre aux opérateurs d'atelier une ergonomie sans faille avec composants interactifs, badges colorés et filtres avancés.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2.6.2.3 FastAPI &amp; Python 3.10</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asynchrone moderne à très haute performance, conçu spécifiquement pour l'exposition d'algorithmes de Machine Learning. Il héberge le microservice de Data Science et exécute les calculs de séries temporelles avec une latence d'inférence minimale.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2.6.2.4 Microsoft SQL Server &amp; Entrepôt de Données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bases de données relationnelles éprouvé pour les charges analytiques lourdes. Il héberge l'entrepôt de données comprenant 83 tables et des millions de transactions industrielles issues de Microsoft Dynamics NAV.</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la solution de Business Intelligence reconnue pour la modélisation multi-dimensionnelle et la restitution visuelle de KPIs. Directement interconnecté à l'entrepôt de données, il alimente les tableaux de bord exécutifs destinés à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et GitHub constituent le standard universel de contrôle de version décentralisé et d'intégration continue. Ils ont garanti une traçabilité rigoureuse de chaque incrément logiciel développé au fil des sprints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2.6.3 Cartographie Exhaustive des Modèles d'Intelligence Artificielle et de Data Science de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L'innovation majeure de la plateforme Nexora réside dans son écosystème algorithmique unifié, articulant sept modèles et méthodes d'intelligence artificielle et de science des données complémentaires répartis entre les microservices FastAPI et Spring Boot (tableau 2.4)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2300"/>
        <w:gridCol w:w="1300"/>
        <w:gridCol w:w="10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 Algorithme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d'IA</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 dans Nexora</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 Endpoint</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Applicatif</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M01</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journalière (changepoints, saisonnalités, intervalles 95%)</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Champion Déployé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M02</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autorégressif de comparaison statistique court terme (Box-Jenkins)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M03</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(MCO)</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tendance de référence (baseline)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/predict/custom</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en temps réel des anomalies d'usinage et dérives de cadence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/detect/anomaly</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M05</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K-Means Clustering</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Partitionnement multi-critères des articles de stock en 3 classes de gestion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/cluster/items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M06</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de Pareto</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Analytique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80/15/5 de la valeur financière des stocks sur les données d'inventaire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/analyze/abc</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M07</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Scénaristique What-If</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Prescriptive</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 sensibilité aux variations de demande (+/- X%) et risque de rupture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/simulate/scenario</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bl>
    <w:p>
      <w:pPr>
        <w:spacing w:after="120" w:before="80"/>
        <w:jc w:val="center"/>
      </w:pPr>
      <w:r>
        <w:rPr>
          <w:rFonts w:ascii="Times New Roman" w:cs="Times New Roman" w:eastAsia="Times New Roman" w:hAnsi="Times New Roman"/>
          <w:i/>
          <w:iCs/>
          <w:color w:val="595959"/>
          <w:sz w:val="20"/>
          <w:szCs w:val="20"/>
        </w:rPr>
        <w:t xml:space="preserve">Tableau 2.4 : Cartographie exhaustive des modèles d'IA et de Data Science déployés dans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2.7 Bilan des Livrables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2.5 dresse le bilan des livrables validés à l'issue du Sprint 0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des besoins</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exigences fonctionnelles et non fonctionnelles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conceptuelle</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de cas d'utilisation, séquence et classes globales UML</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l'encadrement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système</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 l'architecture 4 tiers et physique de déploiement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l'architecte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la stack</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benchmarks de faisabilité</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l'équipe projet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test</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Serveurs SQL Server, Spring Boot et FastAPI configurés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bl>
    <w:p>
      <w:pPr>
        <w:spacing w:after="120" w:before="80"/>
        <w:jc w:val="center"/>
      </w:pPr>
      <w:r>
        <w:rPr>
          <w:rFonts w:ascii="Times New Roman" w:cs="Times New Roman" w:eastAsia="Times New Roman" w:hAnsi="Times New Roman"/>
          <w:i/>
          <w:iCs/>
          <w:color w:val="595959"/>
          <w:sz w:val="20"/>
          <w:szCs w:val="20"/>
        </w:rPr>
        <w:t xml:space="preserve">Tableau 2.5 : Bilan des livrables du Sprint 0</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a permis de poser des fondations méthodologiques, architecturales et techniques solides pour la plateforme Nexora. La formalisation rigoureuse des besoins des ateliers de plasturgie et le découpage logique en quatre couches étanches garantissent que les développements des sprints ultérieurs répondront parfaitement aux exigences de performance industrielle. Le chapitre 3 détaille le Sprint 1, axé sur l'audit du Data Warehouse, le pipeline ETL et la couche de sécurité.</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Audit du Data Warehouse, Assainissement &amp;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réalisation du premier cycle de développement opérationnel (Sprint 1). Face à un Data Warehouse d'entreprise volumineux issu de l'ERP Navision, ce sprint a eu pour double objectif de réaliser un audit exploratoire rigoureux des tables de faits, de concevoir un pipeline ETL d'assainissement et d'optimisation des index, et de mettre en œuvre la couche d'accès sécurisée de la plateforme Nexora via des jetons JWT et des rôles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Sprint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détaille le backlog des tâches exécutées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contrôleur d'authentification et filtre JWT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matrice de permissions et routes protégées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l'entrepôt de données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83 tables et métadonnées de volumétrie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stock</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pipeline ETL et indexation clusterisée</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3.1 : Sprint Backlog du Sprint 1 – Audit DWH, ETL &amp; Sécurité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 du Data Warehouse</w:t>
      </w:r>
    </w:p>
    <w:p>
      <w:pPr>
        <w:pStyle w:val="Heading3"/>
        <w:spacing w:after="70" w:before="140"/>
        <w:outlineLvl w:val="2"/>
      </w:pPr>
      <w:r>
        <w:rPr>
          <w:rFonts w:ascii="Times New Roman" w:cs="Times New Roman" w:eastAsia="Times New Roman" w:hAnsi="Times New Roman"/>
          <w:b/>
          <w:bCs/>
          <w:color w:val="000000"/>
          <w:sz w:val="24"/>
          <w:szCs w:val="24"/>
        </w:rPr>
        <w:t xml:space="preserve">3.3.1 Structure et Sources du Data Warehouse d'Entreprise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L'entrepôt de données centralise les flux issus des différents modules de Microsoft Dynamics NAV. Il regroupe un total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83 tables relationnelles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la comptabilité analytique, la gestion des articles, la capacité des machines et les ordres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Tables Clés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tables de faits majeures concentrent l'essentiel de la valeur décisionnelle pour les opérations d'atelier (tableau 3.2)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Volumétrie Réelle</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et Rôle Opérationnel</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MCMachineCenter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enregistrements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d'atelier : code machine, centre de charge, capacité nominale et site industriel (Tunisie / Brno).</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FACT_CLE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876 412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 écritures réelles de capacité machine, temps de cycle d'injection, quantités produites et rebuts.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ASTOCKDATE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814 200 lignes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journalier horodaté par référence d'article et magasin de stockage pour l'évaluation temporelle de la valorisation.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FACT_ILE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1 502 702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 journal exhaustif des mouvements de stock (entrées, sorties de fabrication, transferts inter-usines) sans écart d'inventaire.</w:t>
            </w:r>
          </w:p>
        </w:tc>
      </w:tr>
    </w:tbl>
    <w:p>
      <w:pPr>
        <w:spacing w:after="120" w:before="80"/>
        <w:jc w:val="center"/>
      </w:pPr>
      <w:r>
        <w:rPr>
          <w:rFonts w:ascii="Times New Roman" w:cs="Times New Roman" w:eastAsia="Times New Roman" w:hAnsi="Times New Roman"/>
          <w:i/>
          <w:iCs/>
          <w:color w:val="595959"/>
          <w:sz w:val="20"/>
          <w:szCs w:val="20"/>
        </w:rPr>
        <w:t xml:space="preserve">Tableau 3.2 : Principales tables de faits et volumétries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Modèle Relationnel Entités-Associations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centres de travail (`WorkCenter`), les machines d'injection (`MCMachineCenter`), les écritures de charge (`FACT_CLE`), les articles et les écritures d'inventaire (`FACT_ILE`) :</w:t>
      </w:r>
    </w:p>
    <w:p>
      <w:pPr>
        <w:spacing w:after="40" w:before="40"/>
      </w:pPr>
      <w:r>
        <w:t xml:space="preserve"/>
      </w:r>
    </w:p>
    <w:p>
      <w:pPr>
        <w:spacing w:after="60" w:before="140"/>
        <w:jc w:val="center"/>
      </w:pPr>
      <w:r>
        <w:drawing>
          <wp:inline distT="0" distB="0" distL="0" distR="0">
            <wp:extent cx="5143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3050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Schéma relationnel Entités-Associations du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et Diagnostic Qualité</w:t>
      </w:r>
    </w:p>
    <w:p>
      <w:pPr>
        <w:pStyle w:val="Heading3"/>
        <w:spacing w:after="70" w:before="140"/>
        <w:outlineLvl w:val="2"/>
      </w:pPr>
      <w:r>
        <w:rPr>
          <w:rFonts w:ascii="Times New Roman" w:cs="Times New Roman" w:eastAsia="Times New Roman" w:hAnsi="Times New Roman"/>
          <w:b/>
          <w:bCs/>
          <w:color w:val="000000"/>
          <w:sz w:val="24"/>
          <w:szCs w:val="24"/>
        </w:rPr>
        <w:t xml:space="preserve">3.4.1 Distributions Statistiques et Volumétries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exploratoire (</w:t>
      </w:r>
      <w:r>
        <w:rPr>
          <w:rFonts w:ascii="Times New Roman" w:cs="Times New Roman" w:eastAsia="Times New Roman" w:hAnsi="Times New Roman"/>
          <w:b w:val="false"/>
          <w:bCs w:val="false"/>
          <w:i/>
          <w:iCs/>
          <w:color w:val="1A1A1A"/>
          <w:sz w:val="24"/>
          <w:szCs w:val="24"/>
        </w:rPr>
        <w:t xml:space="preserve">Exploratory Data Analysis</w:t>
      </w:r>
      <w:r>
        <w:rPr>
          <w:rFonts w:ascii="Times New Roman" w:cs="Times New Roman" w:eastAsia="Times New Roman" w:hAnsi="Times New Roman"/>
          <w:b w:val="false"/>
          <w:bCs w:val="false"/>
          <w:i w:val="false"/>
          <w:iCs w:val="false"/>
          <w:color w:val="1A1A1A"/>
          <w:sz w:val="24"/>
          <w:szCs w:val="24"/>
        </w:rPr>
        <w:t xml:space="preserve">) conduite avec Python (Pandas, Seaborn) a mis en lumière une forte dispersion des volumes de production journaliers. Les cadences quotidiennes varient de 1 200 pièces lors des phases de changement de moule à plus de 28 000 pièces en pleine cadence sur les polymères de grande série.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Corrélations et Saisonnalités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temporelle confirme l'existence d'une saisonnalité hebdomadaire très marquée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montée en régime le lundi matin suite aux préchauffages des presses à injecter.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palier de production maximal stabilisé du mardi au vendredi matin.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baisse sensible le week-end liée aux équipes réduites et aux arrêts de maintenance préventive.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Identification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qualité a détecté trois anomalies majeures nécessitant un assainissement avant toute exploitation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Lignes de stock négatif transitoires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la table `ASTOCKDATE`, certaines écritures présentaient des quantités négatives issues d'erreurs de pointage lors des transferts rapides entre magasins.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Temps de cycle nuls ou aberrants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sur la table `FACT_CLE`, des opérations d'usinage affichaient des durées de 0 seconde ou supérieures à 48 heures consécutives à des oublis de clôture d'ordres.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d'index clusterisé sur Entry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requêtes de recherche de mouvements sur `FACT_ILE` déclenchaient un scan complet de table provoquant des temps de réponse supérieurs à 30 secondes.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Pipeline de Nettoyage et d'Intégration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et Déroulement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sous forme de scripts automatisés SQL et de services Spring Boot s'articule selon le diagramme d'activité de la figure 3.2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incrémentale des écritures récentes depuis Microsoft Dynamics NAV.</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Transformation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filtrage des valeurs aberrantes, imputation des stocks négatifs par le dernier inventaire physique certifié, standardisation des horodatages UTC et conversion des devises en Dinars Tunisiens (DT).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Chargement &amp; Indexation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dans le schéma cible avec mise à jour des statistiques de cardinalité.</w:t>
      </w:r>
    </w:p>
    <w:p>
      <w:pPr>
        <w:spacing w:after="40" w:before="40"/>
      </w:pPr>
      <w:r>
        <w:t xml:space="preserve"/>
      </w:r>
    </w:p>
    <w:p>
      <w:pPr>
        <w:spacing w:after="60" w:before="140"/>
        <w:jc w:val="center"/>
      </w:pPr>
      <w:r>
        <w:drawing>
          <wp:inline distT="0" distB="0" distL="0" distR="0">
            <wp:extent cx="49244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2442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Diagramme d'activité du pipeline de nettoyage et d'intégration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Optimisation SQL Server et Stratégie d'Indexation Clusterisée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performance de restitution constituant un critère critique, nous avons reconfiguré la stratégie d'indexation de la table `FACT_ILE`. La création d'un index clusterisé primaire sur la clé `Entry No_ DESC` combiné à des index couvrants non-clusterisés sur `(Item No_, Posting Date)` a métamorphosé les performances : le temps d'exécution moyen d'une extraction des 5 000 derniers mouvements est passé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31 420 ms (timeout fréquent) à seulement 448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garantissant une fluidité immédiate sur le frontend React.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Stratégie d'Agrégation et d'Optimisation des Données Analytiques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alimenter efficacement les pipelines de modélisation prédictive et les tableaux de bord décisionnels sans saturer la base de données transactionnelle, une architecture d'agrégation et d'accélération analytique a été mise en œuvre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Pré-agrégation temporelle des séries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écritures brutes d'atelier (volumes horaires, temps de cycle de presse, consommations de matière) sont consolidées et pré-agrégées à l'échelle journalière, constituant des matrices de données prêtes pour l'inférence des modèles de Machine Learning (Prophet, ARIMA,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Structuration et persistance des matrices en mémoire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agrégats multidimensionnels fréquemment sollicités (indicateurs TRG/OEE par centre de charge, volumétrie des 319 machines, valorisation des stocks) sont maintenus dans une structure analytique optimisée en mémoire vive (RAM). Cette organisation supprime les opérations d'I/O disques répétitives et réduit la charge computationnelle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Accès analytique instantané (&lt; 1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à cette pré-structuration mémoire, les requêtes analytiques complexes et le chargement des séries temporelles sont servis instantanément (&lt; 1 ms), assurant une réactivité totale pour l'exploration de données et la restitution graphique.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Synchronisation incrémentale des flux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mécanisme de synchronisation actualise les agrégats analytiques au fil de l'intégration des nouveaux mouvements de production, garantissant en permanence la fraîcheur des indicateurs industriels.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Bilan Qualité des Données et Performances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3.3 récapitule les gains qualitatifs et d'accélération analytique enregistrés après exécution du pipeline ETL et optimisation de l'accès aux données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16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Qualité / Performance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(DWH Brut)</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Après Optimisation Analytique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Gain / Amélioration</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complétude des horodatages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91,4 %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(Imputation normalisée)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+ 8,6 %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stocks négatifs erronés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 des lignes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 (Correction par inventaire certifié)</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totale des anomalies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d'extraction analytique (TOP 5000)</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31,4 secondes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0,448 seconde (448 ms)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divisé par 70 (Indexation)</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d'accès aux agrégats de séries en mémoire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Plusieurs secondes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&lt; 1 ms</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instantanée des matrices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Unicité et intégrité référentielle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96,2 %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(Clés étrangères garanties)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Fiabilisation intégrale</w:t>
            </w:r>
          </w:p>
        </w:tc>
      </w:tr>
    </w:tbl>
    <w:p>
      <w:pPr>
        <w:spacing w:after="120" w:before="80"/>
        <w:jc w:val="center"/>
      </w:pPr>
      <w:r>
        <w:rPr>
          <w:rFonts w:ascii="Times New Roman" w:cs="Times New Roman" w:eastAsia="Times New Roman" w:hAnsi="Times New Roman"/>
          <w:i/>
          <w:iCs/>
          <w:color w:val="595959"/>
          <w:sz w:val="20"/>
          <w:szCs w:val="20"/>
        </w:rPr>
        <w:t xml:space="preserve">Tableau 3.3 : Bilan qualité des données et performances avant et après optimisations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Sécurité d'Accès, Gouvernance des Données et Rôles RBAC</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sécuriser l'accès aux données industrielles stratégiques du Data Warehouse et garantir une traçabilité rigoureuse des opérations, le système intègre une authentification sans état par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jeton JWT (JSON Web Token)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une politique de gouvernance des accès basée sur les rôles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RBAC (Role-Based Access Control)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 (ADMIN)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gouvernance globale de la plateforme, gestion des comptes utilisateurs, attribution des habilitations d'accès aux données et contrôle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Responsable de Production (MANAGER)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accès complet aux indicateurs décisionnels (TRG/OEE), supervision du parc de 319 machines, exécution des prévisions Prophet, analyse des anomalies et consultation des tableaux de bord Power BI.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 d'Atelier (OPERATEUR)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saisie et consultation opérationnelle ciblée (déclaration des pièces produites, validation des mouvements d'inventaire et suivi des alertes locales).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d'administration (figure 3.3) offre à l'administrateur une vue unifiée pour la gestion des utilisateurs, l'activation des privilèges et le monitoring de la sécurité des accès aux données.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3.3 : Capture d'écran : Console d'administration des utilisateurs et contrôle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des Livrables et Validation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S'agissant d'un projet de fin d'études appliqué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&amp;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la démarche de validation du Sprint 1 repose sur des critères stricts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qualité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du schéma DWH assaini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(100% de complétude), de conformité du pipeline ETL et de validation de la gouvernance des données par le Product Owner.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3.4 formalise le bilan des livrables validés à l'issue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du Data Warehouse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cartographie des 83 tables et volumétries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PO</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 nettoyage SQL et suppression des anomalies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sur données réelles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des requêtes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 PK sur Entry No_ DESC dans FACT_ILE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(448 ms)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analytique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Pré-calcul des séries temporelles et accès optimisé en mémoire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(&lt; 1 ms)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Gouvernance et sécurité d'accès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RBAC et authentification JWT pour la protection des données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d'administration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gestion des profils et droits d'accès aux données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l'administrateur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3.4 : Bilan des livrables et validation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1 a transformé un Data Warehouse brut et hétérogène en une source de données industrielle hautement performante, sécurisée et fiable. Grâce à l'indexation clusterisée de pointe et au contrôle d'accès RBAC, la plateforme Nexora dispose d'un socle transactionnel robuste pour aborder le deuxième cycle : la modélisation prédictive des cadences de production par Intelligence Artificielle.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Modélisation Prédictive de Production et Détection d'Anomalies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constitue le cœur algorithmique de notre projet : le Sprint 2, dédié au développement du module de prévision des séries temporelles de fabrication et de détection d'anomalies d'atelier. Dans un environnement de plasturgie automobile pilotant 319 presses à injecter réparties entre la Tunisie et la République Tchèque, anticiper avec précision les volumes de pièces conformes à produire à des horizons de 7, 14 et 30 jours est indispensable pour calibrer la rotation des équipes (postes 3x8), ordonnancer le montage des moules, prévenir les ruptures de matière première et fiabiliser le taux de rendement global (TRG).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d'assurer une démarche rigoureuse et de garantir la pertinence opérationnelle du système, ce sprint est consacré à l'entraînement, l'évaluation et la comparaison des modèles d'intelligence artificielle effectivement intégrés et exécutés au sein de notre microservice Python FastAPI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additif Prophet de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champion conçu pour les séries temporelles industrielles complexes avec détection automatique de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modélisation des saisonnalités périodiques par séries de Fourier, intégration déterministe des jours fériés et génération native d'intervalles de confiance bayésiens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de référence pour l'analyse des processus temporels univariés, servant de comparateur direct.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statistique servant d'étalon de comparaison de référence.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L'algorithme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non supervisé dédié à la détection en temps réel des anomalies d'usinage, des temps de cycle dégradés et des dérives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Tous les modèles sont entraînés et évalués sur le même historique consolidé issu de l'entrepôt de données consolidé, exploitant les mêmes variables explicatives d'atelier et soumis à un découpage strictement chronologique sans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Sprint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détaille l'organisation des travaux planifiés et réalisés au cours du Sprint 2, structurés par priorité et durée d'ingénierie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100"/>
        <w:gridCol w:w="1200"/>
        <w:gridCol w:w="12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Intitulé des Travaux du Sprint 2</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TS01</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consolidation temporelle et transformation log de la variable cible de production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TS02</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ingénierie des 16 variables explicatives d'atelier (lags, rolling stats, arrêts)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TS03</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 la Régression Linéaire (baseline de tendance)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TS04</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du modèle autorégressif ARIMA de comparaison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TS05</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optimisation et entraînement du modèle Prophet (Meta) avec bornes 95%</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TS06</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non supervisé Isolation Forest pour la détection d'anomalies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TS07</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multi-métriques (MAE, RMSE, MAPE, R²) et validation du champion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TS08</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du microservice FastAPI (Python 3.10) et intégration du fallback offline React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TS09</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interfaces de restitution ApexCharts avec visualisations des tendances</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et backlog du Sprint 2 – Intelligence Artificielle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Prévision et Flux en Cinq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prédictif de Nexora est articulé selon un pipeline en cinq étapes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 de Données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depuis l'historique de fabrication du Data Warehouse, contenant les volumes réels usinés, les horodatages, les centres de charge et les identifiants d'outillage.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et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agrégation journalière, calcul des métriques glissantes, création des 16 descripteurs d'atelier et découpage chronologique.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Ajustement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(Régression Linéaire, ARIMA, Prophet) et du modèle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Multi-Métriques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canoniques (MAE, RMSE, MAPE, R²) sur le jeu de test indépendant et validation des écarts d'exactitude.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Inférence et Restitution Décisionnelle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REST via FastAPI avec calcul des bornes de tolérance à 95 %, restitution interactive dans Metronic 8 et bascule automatique en mode dégradé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en cas d'indisponibilité réseau.</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Préparation des Données et Séries Temporelles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garantir un protocole d'expérimentation rigoureux et équitable, l'ensemble des algorithmes prédictifs a été soumis à des conditions strictement identiques : même variable cible, mêmes variables explicatives d'entrée et même découpage temporel.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correspond au volume total de pièces plastiques conformes usinées par jour sur l'atelier. Afin de stabiliser la variance et d'amortir les pointes extrêmes causées par les rattrapages de cadence post-maintenance, une transformation logarithmique `log1p` a été appliquée à la cible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log_production = ln(1 + y)</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stabilise la variance et abaisse l'asymétrie de distribution (</w:t>
      </w:r>
      <w:r>
        <w:rPr>
          <w:rFonts w:ascii="Times New Roman" w:cs="Times New Roman" w:eastAsia="Times New Roman" w:hAnsi="Times New Roman"/>
          <w:b w:val="false"/>
          <w:bCs w:val="false"/>
          <w:i/>
          <w:iCs/>
          <w:color w:val="1A1A1A"/>
          <w:sz w:val="24"/>
          <w:szCs w:val="24"/>
        </w:rPr>
        <w:t xml:space="preserve">skewness</w:t>
      </w:r>
      <w:r>
        <w:rPr>
          <w:rFonts w:ascii="Times New Roman" w:cs="Times New Roman" w:eastAsia="Times New Roman" w:hAnsi="Times New Roman"/>
          <w:b w:val="false"/>
          <w:bCs w:val="false"/>
          <w:i w:val="false"/>
          <w:iCs w:val="false"/>
          <w:color w:val="1A1A1A"/>
          <w:sz w:val="24"/>
          <w:szCs w:val="24"/>
        </w:rPr>
        <w:t xml:space="preserve">) de 1,84 à 0,32. L'ensemble des métriques d'évaluation finales (MAE, RMSE, MAPE) est calculé après reconversion des prédictions dans l'échelle d'origine en pièces par transformation réciproque `expm1(ŷ) = exp(ŷ) - 1`.</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Les 16 Variables Explicatives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recense les 16 descripteurs explicatifs communs construits pour modéliser la dynamique de l'atelier d'injection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1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Fonctionnelle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Prédictif dans l'Atelier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Contexte Calendaire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 de la semaine (1 à 7), indicateur binaire de fin de semaine, mois de l'année</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les rythmes de production hebdomadaires et les creux d'activité du week-end</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&amp; Arrêts Usine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is_maintenance_planifiee, is_changement_moule, is_jour_ferie, is_equipe_nuit</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binaires des arrêts de maintenance, montages d'outillage, jours chômés et postes 3x8</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les chutes brutales de cadence imputables aux révisions d'outillage ou jours fermés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Temporels (Retards)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lag_1, lag_7, lag_14, lag_30</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historiques de cadence à J-1, J-7, J-14 et J-30 (même jour le mois précédent)</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l'inertie de fabrication à très court terme (J-1) et les effets de périodicité hebdomadaire (J-7)</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 (Rolling)</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 roll_std_28, ratio_cadence_1_7</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glissantes sur 7 et 14 jours, volatilité glissante sur 7 et 28 jours, ratio d'accélération (J / moy 7j)</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tendance dynamique sous-jacente et quantifie la dispersion opérationnelle des presses</w:t>
            </w:r>
          </w:p>
        </w:tc>
      </w:tr>
    </w:tbl>
    <w:p>
      <w:pPr>
        <w:spacing w:after="120" w:before="80"/>
        <w:jc w:val="center"/>
      </w:pPr>
      <w:r>
        <w:rPr>
          <w:rFonts w:ascii="Times New Roman" w:cs="Times New Roman" w:eastAsia="Times New Roman" w:hAnsi="Times New Roman"/>
          <w:i/>
          <w:iCs/>
          <w:color w:val="595959"/>
          <w:sz w:val="20"/>
          <w:szCs w:val="20"/>
        </w:rPr>
        <w:t xml:space="preserve">Tableau 4.2 : Les 16 variables explicatives industrielles communes aux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4.4.3 Découpage Chronologique Train / 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séries temporelles industrielles exigent un découpage strictement chronologique (</w:t>
      </w:r>
      <w:r>
        <w:rPr>
          <w:rFonts w:ascii="Times New Roman" w:cs="Times New Roman" w:eastAsia="Times New Roman" w:hAnsi="Times New Roman"/>
          <w:b w:val="false"/>
          <w:bCs w:val="false"/>
          <w:i/>
          <w:iCs/>
          <w:color w:val="1A1A1A"/>
          <w:sz w:val="24"/>
          <w:szCs w:val="24"/>
        </w:rPr>
        <w:t xml:space="preserve">time-based split</w:t>
      </w:r>
      <w:r>
        <w:rPr>
          <w:rFonts w:ascii="Times New Roman" w:cs="Times New Roman" w:eastAsia="Times New Roman" w:hAnsi="Times New Roman"/>
          <w:b w:val="false"/>
          <w:bCs w:val="false"/>
          <w:i w:val="false"/>
          <w:iCs w:val="false"/>
          <w:color w:val="1A1A1A"/>
          <w:sz w:val="24"/>
          <w:szCs w:val="24"/>
        </w:rPr>
        <w:t xml:space="preserve">) : les modèles apprennent sur les observations passées et prédisent le futur, interdisant toute fuite temporelle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2100"/>
        <w:gridCol w:w="21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d'Observations</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l'Expérimentation</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 Set)</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80 %</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388 jours ouvrés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01/01/2023 au 22/01/2024</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des paramètres et ajustement des coefficients</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(Test Set)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jours ouvrés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23/01/2024 au 30/04/2024</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impartiale de la capacité de généralisation sur données non vues</w:t>
            </w:r>
          </w:p>
        </w:tc>
      </w:tr>
    </w:tbl>
    <w:p>
      <w:pPr>
        <w:spacing w:after="120" w:before="80"/>
        <w:jc w:val="center"/>
      </w:pPr>
      <w:r>
        <w:rPr>
          <w:rFonts w:ascii="Times New Roman" w:cs="Times New Roman" w:eastAsia="Times New Roman" w:hAnsi="Times New Roman"/>
          <w:i/>
          <w:iCs/>
          <w:color w:val="595959"/>
          <w:sz w:val="20"/>
          <w:szCs w:val="20"/>
        </w:rPr>
        <w:t xml:space="preserve">Tableau 4.3 : Découpage chronologique Train / Test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Métriques d'Évaluation de la Performance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apprécier les mérites respectifs des modèles sous tous leurs angles (dispersion absolue, sensibilité aux grands écarts, interprétabilité managériale et part de variance expliquée), quatre métriques d'évaluation complémentaires ont été retenues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2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Formulation Mathématique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Opérationnelle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Métier Nexora</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 (1/n) · ∑ |yᵢ - ŷᵢ|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pièces physiques</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est la valeur, plus l'estimation quotidienne est proche de la réalité (cible &lt; 10 pcs)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 √ [ (1/n) · ∑ (yᵢ - ŷᵢ)²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écarts de forte amplitude causés par les pannes non anticipées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 ∑ |(yᵢ - ŷᵢ) / yᵢ|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moyenne exprimée en pourcentage</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universel de pilotage : &lt; 5% excellent, &lt; 10% bon, &gt; 15% inacceptable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 1 - [ ∑(yᵢ - ŷᵢ)² / ∑(yᵢ - ȳ)²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la variance historique expliquée par le modèle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Proche de 1 = modèle capturant fidèlement les composantes de cadence d'atelier</w:t>
            </w:r>
          </w:p>
        </w:tc>
      </w:tr>
    </w:tbl>
    <w:p>
      <w:pPr>
        <w:spacing w:after="120" w:before="80"/>
        <w:jc w:val="center"/>
      </w:pPr>
      <w:r>
        <w:rPr>
          <w:rFonts w:ascii="Times New Roman" w:cs="Times New Roman" w:eastAsia="Times New Roman" w:hAnsi="Times New Roman"/>
          <w:i/>
          <w:iCs/>
          <w:color w:val="595959"/>
          <w:sz w:val="20"/>
          <w:szCs w:val="20"/>
        </w:rPr>
        <w:t xml:space="preserve">Tableau 4.4 : Métriques d'évaluation des modèles de prévision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Développement, Formulation Mathématique et Comparaison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détaille le principe de fonctionnement, l'architecture retenue, la formulation mathématique rigoureuse ainsi que les avantages et les limites de chacun des modèles conçus, entraînés et déployés dans l'application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4.6.1 Régression Linéaire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est le modèle statistique de référence pour la prévision de tendance. Elle modélise la variable cible (cadence journalière de production) comme une combinaison linéaire pondérée des variables d'entrée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ŷ = β₀ + ∑ⱼ₌₁ᵖ βⱼ xⱼ  [6]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(4.2)</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coefficients βⱼ sont estimés par la méthode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moindres carrés ordinaires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(MCO) [6], qui minimise la somme des erreurs quadratiques résiduelles entre les valeurs observées et les prédictions.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rapide à entraîner et coût computationnel minime (&lt; 10 ms)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une relation strictement linéaire entre variables d'atelier et cadence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Coefficients directement lisibles et interprétables par les équipes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aberrantes et aux arrêts machines impromptus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Sert d'étalon de comparaison objectif (baseline) pour quantifier le gain des modèles avancés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les cycles périodiques hebdomadaires et les effets non linéaires</w:t>
            </w:r>
          </w:p>
        </w:tc>
      </w:tr>
    </w:tbl>
    <w:p>
      <w:pPr>
        <w:spacing w:after="140" w:before="90"/>
        <w:jc w:val="center"/>
      </w:pPr>
      <w:r>
        <w:rPr>
          <w:rFonts w:ascii="Times New Roman" w:cs="Times New Roman" w:eastAsia="Times New Roman" w:hAnsi="Times New Roman"/>
          <w:b/>
          <w:bCs/>
          <w:color w:val="333333"/>
          <w:sz w:val="20"/>
          <w:szCs w:val="20"/>
        </w:rPr>
        <w:t xml:space="preserve">TABLEAU 4.5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Modèle Autorégressif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autorégressif intégré à moyenne mobile ARIMA(p, d, q) combine des termes autorégressifs d'ordre p, un ordre de différenciation d pour rendre la série stationnaire, et des termes de moyenne mobile d'ordre q modélisant les chocs résiduels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Φ_p(B) · (1 - B)ᵈ yₜ = Θ_q(B) · εₜ  [10]</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B représente l'opérateur retard (Backshift operator tel que Bᵏ yₜ = yₜ₋ₖ), Φ_p(B) le polynôme autorégressif et Θ_q(B) le polynôme de moyenne mobile. Dans l'application Nexora, ARIMA est intégré comme modèle de comparaison autorégressif court terme pour valider l'apport de Prophet.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de Box-Jenkins doté d'intervalles théoriques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une stricte stationnarité préalable en moyenne et en variance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modélisation des autocorrélations linéaires temporelles à court terme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vulnérable aux trous de données, jours fériés chômés et arrêts machines imprévus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Fonctionne sans nécessiter de variables explicatives exogènes volumineuses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d'intégrer facilement les multiples variables de contexte industriel de l'atelier</w:t>
            </w:r>
          </w:p>
        </w:tc>
      </w:tr>
    </w:tbl>
    <w:p>
      <w:pPr>
        <w:spacing w:after="140" w:before="90"/>
        <w:jc w:val="center"/>
      </w:pPr>
      <w:r>
        <w:rPr>
          <w:rFonts w:ascii="Times New Roman" w:cs="Times New Roman" w:eastAsia="Times New Roman" w:hAnsi="Times New Roman"/>
          <w:b/>
          <w:bCs/>
          <w:color w:val="333333"/>
          <w:sz w:val="20"/>
          <w:szCs w:val="20"/>
        </w:rPr>
        <w:t xml:space="preserve">TABLEAU 4.6 : </w:t>
      </w:r>
      <w:r>
        <w:rPr>
          <w:rFonts w:ascii="Times New Roman" w:cs="Times New Roman" w:eastAsia="Times New Roman" w:hAnsi="Times New Roman"/>
          <w:color w:val="333333"/>
          <w:sz w:val="20"/>
          <w:szCs w:val="20"/>
        </w:rPr>
        <w:t xml:space="preserve">Avantages et limites : Modèle Autorégressif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Modèle Additif Prophet de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les équipes Data Science de Meta [9] [10], Prophet est une architecture de séries temporelles basée sur un modèle additif généralisé décomposable articulé selon l'équation suivante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y(t) = g(t) + s(t) + h(t) + εₜ  [9]</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les termes modélisent respectivement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g(t) - Tendance non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modélisée par une droite par morceaux continue avec détection automatique bayésienne des points de changement de pente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régularisée sous une loi a priori de Laplace.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 - Saisonnalité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capture fidèlement les cycles hebdomadaires et mensuels d'atelier au moyen de sommes partielles de séries de Fourier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s(t) = ∑ₙ₌₁ᴺ [ aₙ cos(2π n t / P) + bₙ sin(2π n t / P)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(4.5)</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h(t) - Effets de calendrier et arrêts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explicitement l'impact des jours fériés, congés annuels et fermetures d'atelier programmées.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εₜ - Aléa résiduel gaussien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terme d'erreur stochastique modélisant le bruit résiduel supposé distribué selon une loi normale centrée N(0, σ²).</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de confiance bayésiens fiables à 95%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adapté aux données tabulaires pures non chronologiques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Tolérance parfaite aux données manquantes, aux jours chômés et aux arrêts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que la fréquence des ruptures futures reflète la distribution historique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Détection autonome des ruptures de cadence (</w:t>
            </w:r>
            <w:r>
              <w:rPr>
                <w:rFonts w:ascii="Times New Roman" w:cs="Times New Roman" w:eastAsia="Times New Roman" w:hAnsi="Times New Roman"/>
                <w:b w:val="false"/>
                <w:bCs w:val="false"/>
                <w:i/>
                <w:iCs/>
                <w:color w:val="1A1A1A"/>
                <w:sz w:val="20"/>
                <w:szCs w:val="20"/>
              </w:rPr>
              <w:t xml:space="preserve">changepoints</w:t>
            </w:r>
            <w:r>
              <w:rPr>
                <w:rFonts w:ascii="Times New Roman" w:cs="Times New Roman" w:eastAsia="Times New Roman" w:hAnsi="Times New Roman"/>
                <w:b w:val="false"/>
                <w:bCs w:val="false"/>
                <w:i w:val="false"/>
                <w:iCs w:val="false"/>
                <w:color w:val="1A1A1A"/>
                <w:sz w:val="20"/>
                <w:szCs w:val="20"/>
              </w:rPr>
              <w:t xml:space="preserve">) post-maintenance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flexibilité de tendance pour éviter le surlissage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(180 ms) déployée sous FastAPI sans dépendance GPU</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4.7 : </w:t>
      </w:r>
      <w:r>
        <w:rPr>
          <w:rFonts w:ascii="Times New Roman" w:cs="Times New Roman" w:eastAsia="Times New Roman" w:hAnsi="Times New Roman"/>
          <w:color w:val="333333"/>
          <w:sz w:val="20"/>
          <w:szCs w:val="20"/>
        </w:rPr>
        <w:t xml:space="preserve">Avantages et limites : Prophet - Modèle Additif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4.6.4 Modèle Non Supervisé Isolation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prévision de production, l'application Nexora intègre le modèle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via le point d'accès `/detect/anomaly`. Contrairement aux algorithmes traditionnels basés sur la distance qui modélisent les points normaux, Isolation Forest isole explicitement les anomalies en partitionnant aléatoirement l'espace des données au moyen d'arbres d'isolation (</w:t>
      </w:r>
      <w:r>
        <w:rPr>
          <w:rFonts w:ascii="Times New Roman" w:cs="Times New Roman" w:eastAsia="Times New Roman" w:hAnsi="Times New Roman"/>
          <w:b w:val="false"/>
          <w:bCs w:val="false"/>
          <w:i/>
          <w:iCs/>
          <w:color w:val="1A1A1A"/>
          <w:sz w:val="24"/>
          <w:szCs w:val="24"/>
        </w:rPr>
        <w:t xml:space="preserve">iTrees</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anomalies se caractérisent par des chemins de découpage remarquablement courts. Pour un échantillon de n observations, la longueur moyenne théorique d'un chemin d'échec dans un arbre binaire vaut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c(n) = 2 · [ ln(n - 1) + 0.5772156649 ] - [ 2(n - 1) / n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score d'anomalie s(x, n) d'une mesure de fabrication x se calcule à partir de l'espérance de la longueur de son chemin E(h(x))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s(x, n) = 2^{ - [ E(h(x)) / c(n) ]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s(x, n) tend vers 1, l'observation correspond sans ambiguïté à une anomalie d'atelier (dérive anormale de cadence, temps de cycle excessif ou pic de rebuts). Si s(x, n) &lt; 0.5, la machine est réputée en état nominal de marche.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Algorithme non supervisé ne nécessitant aucun étiquetage préalable des pannes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contamination (ajusté à 0.1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en temps O(n) et très faible empreinte mémoire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variables non informatives si l'espace des descripteurs est bruité</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détection des anomalies multidimensionnelles et des pannes sournoises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fournit pas d'explication causale automatique de l'anomalie détectée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Parfaitement intégré dans le microservice FastAPI avec paramétrage du taux de contamination (10%)</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4.8 : </w:t>
      </w:r>
      <w:r>
        <w:rPr>
          <w:rFonts w:ascii="Times New Roman" w:cs="Times New Roman" w:eastAsia="Times New Roman" w:hAnsi="Times New Roman"/>
          <w:color w:val="333333"/>
          <w:sz w:val="20"/>
          <w:szCs w:val="20"/>
        </w:rPr>
        <w:t xml:space="preserve">Avantages et limites : Isolation Forest - Détection d'Anomalies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4.6.5 Optimisation des Hyperparamètres et Protocole de Validation Croisée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maximiser la capacité de généralisation des modèles et d'éviter tout phénomène de sur-apprentissage (overfitting), une phase d'optimisation des hyperparamètres par recherche sur grille (Grid Search) a été menée. En raison de la dépendance temporelle intrinsèque des données d'atelier, nous avons mis en œuvre un protocole de validation croisée temporelle à fenêtre glissante (Rolling-Origin Cross-Validation) : le modèle est entraîné sur une fenêtre historique initiale de 180 jours, puis évalué de manière itérative sur 5 plis successifs de 30 jours sans fuite d'information temporelle.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4.9 récapitule les plages explorées lors de la recherche sur grille et les hyperparamètres optimaux retenus pour les modèles de l'application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5"/>
        <w:gridCol w:w="1757"/>
        <w:gridCol w:w="1845"/>
        <w:gridCol w:w="1318"/>
        <w:gridCol w:w="2342"/>
      </w:tblGrid>
      <w:tr>
        <w:trPr>
          <w:tblHeader/>
        </w:trPr>
        <w:tc>
          <w:tcPr>
            <w:tcW w:type="dxa" w:w="140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IA</w:t>
            </w:r>
          </w:p>
        </w:tc>
        <w:tc>
          <w:tcPr>
            <w:tcW w:type="dxa" w:w="175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Hyperparamètre</w:t>
            </w:r>
          </w:p>
        </w:tc>
        <w:tc>
          <w:tcPr>
            <w:tcW w:type="dxa" w:w="184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Plage de Recherche (Grid)</w:t>
            </w:r>
          </w:p>
        </w:tc>
        <w:tc>
          <w:tcPr>
            <w:tcW w:type="dxa" w:w="13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Optimale</w:t>
            </w:r>
          </w:p>
        </w:tc>
        <w:tc>
          <w:tcPr>
            <w:tcW w:type="dxa" w:w="234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Nexora</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changepoint_prior_scale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[0.001, 0.01, 0.05, 0.1, 0.5]</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0.05</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optimale face aux changements de rythme sans sur-réagir aux bruits d'atelier.</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seasonality_prior_scale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robuste du cycle de production hebdomadaire d'atelier (lundi au vendredi).</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holidays_prior_scale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Atténuation déterministe lors des jours fériés chômés et fermetures planifiées.</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seasonality_mode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 'multiplicative']</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Amplitude des variations saisonnières stable au fil des mois.</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Ordres (p, d, q)</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in [0..3], d in [0..2], q in [0..3]</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ARIMA(1, 1, 1)</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Minimisation du critère AIC (3 412,8) après différenciation première (d=1, test ADF).</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contamination</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0.05, 0.10, 0.15]</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 (10 %)</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Calibré sur la fréquence historique des dérives d'usinage et micro-arrêts d'atelier.</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n_estimators</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[50, 100, 200, 300]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arbres</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Convergence optimale du score d'anomalie sans dégradation de la latence (&lt; 20 ms).</w:t>
            </w:r>
          </w:p>
        </w:tc>
      </w:tr>
    </w:tbl>
    <w:p>
      <w:pPr>
        <w:spacing w:after="120" w:before="80"/>
        <w:jc w:val="center"/>
      </w:pPr>
      <w:r>
        <w:rPr>
          <w:rFonts w:ascii="Times New Roman" w:cs="Times New Roman" w:eastAsia="Times New Roman" w:hAnsi="Times New Roman"/>
          <w:i/>
          <w:iCs/>
          <w:color w:val="595959"/>
          <w:sz w:val="20"/>
          <w:szCs w:val="20"/>
        </w:rPr>
        <w:t xml:space="preserve">Tableau 4.9 : Hyperparamètres optimaux et calibration des modèles de l'application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Expérimentaux et Benchmark Comparatif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d'évaluer la précision et la robustesse des prévisions de production d'atelier, un benchmark expérimental a été directement intégré et exécuté au sein de l'application Nexora. Ce benchmark compare les trois approches algorithmiques implémentées dans le microservice FastAPI et exploitables via l'interface :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(MCO).</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6"/>
        <w:gridCol w:w="1826"/>
        <w:gridCol w:w="870"/>
        <w:gridCol w:w="870"/>
        <w:gridCol w:w="783"/>
        <w:gridCol w:w="696"/>
        <w:gridCol w:w="1797"/>
      </w:tblGrid>
      <w:tr>
        <w:trPr>
          <w:tblHeader/>
        </w:trPr>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l'Application Nexora</w:t>
            </w:r>
          </w:p>
        </w:tc>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Algorithmique</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78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c>
          <w:tcPr>
            <w:tcW w:type="dxa" w:w="6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79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&amp; Rôle Applicatif</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 (Bayésien)</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9,2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0,9600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Champion Retenu (Déployé Live )</w:t>
            </w:r>
          </w:p>
        </w:tc>
      </w:tr>
      <w:tr>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11,8 pcs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14,3 pcs</w:t>
            </w:r>
          </w:p>
        </w:tc>
        <w:tc>
          <w:tcPr>
            <w:tcW w:type="dxa" w:w="78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8,2 %</w:t>
            </w:r>
          </w:p>
        </w:tc>
        <w:tc>
          <w:tcPr>
            <w:tcW w:type="dxa" w:w="6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0,8100</w:t>
            </w:r>
          </w:p>
        </w:tc>
        <w:tc>
          <w:tcPr>
            <w:tcW w:type="dxa" w:w="179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Comparatif (Intégré dans l'App ✓)</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Standard</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20,1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11,5 %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0,7200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Baseline de Référence (Intégré ✓)</w:t>
            </w:r>
          </w:p>
        </w:tc>
      </w:tr>
    </w:tbl>
    <w:p>
      <w:pPr>
        <w:spacing w:after="120" w:before="80"/>
        <w:jc w:val="center"/>
      </w:pPr>
      <w:r>
        <w:rPr>
          <w:rFonts w:ascii="Times New Roman" w:cs="Times New Roman" w:eastAsia="Times New Roman" w:hAnsi="Times New Roman"/>
          <w:i/>
          <w:iCs/>
          <w:color w:val="595959"/>
          <w:sz w:val="20"/>
          <w:szCs w:val="20"/>
        </w:rPr>
        <w:t xml:space="preserve">Tableau 4.10 : Benchmark comparatif des algorithmes de prévision de l'application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figures 4.2 et 4.3 illustrent la comparaison visuelle des performances des 3 modèles sur les métriques clés (R², MAE, MAPE, RMSE) :</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des trois modèles intégrés dans l'application démontre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R² = 0,9600, Prophet explique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96 % de la variance journalière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fabrication. Son erreur moyenne absolue (MAE) n'est que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7,4 pièces par jour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une exactitude maximale pour le pilotage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($R^2 ge 0,80$)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Prophet (0,9600) et ARIMA (0,8100) dépassent le seuil cible industriel fixé à R² = 0,80, tandis que la Régression Linéaire (R² = 0,7200) reste limitée par son incapacité à modéliser la saisonnalité hebdomadaire des postes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Respect de la norme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Comme illustré par la figure 4.6,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seul Prophet atteint un MAPE de 4,8 %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se positionnant sous la barre de tolérance des équipementiers automobiles de premier rang.</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Comparaison visuelle des métriques d'erreur MAPE et RMSE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Sélection et Justification Multicritère du Modèle Champion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4.10 formalise les critères techniques et industriels justifiant la sélection définitive de Prophet pour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8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 (Meilleur score absolu)</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Absolue (MAE)</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pièces par jour</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négligeable face aux lots de fabrication standards (ordres de plusieurs centaines d'unités)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 à 95%</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et `yhat_upper`</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Indispensables pour calibrer les stocks de sécurité et le taux d'engagement capacitaire des machines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Points de Rupture (Changepoints)</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bayésienne autonome sous loi de Laplace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S'adapte immédiatement aux changements de cadence post-maintenance ou réorganisation de lignes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Calendaire Déterministe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Composante événementielle `h(t)` intégrée</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jours fériés et des arrêts planifiés d'usine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et Déploiement Logiciel</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d'inférence de 180 ms sur CPU standard</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léger sans carte graphique dédiée (GPU) sous FastAPI, adapté aux serveurs industriels</w:t>
            </w:r>
          </w:p>
        </w:tc>
      </w:tr>
    </w:tbl>
    <w:p>
      <w:pPr>
        <w:spacing w:after="120" w:before="80"/>
        <w:jc w:val="center"/>
      </w:pPr>
      <w:r>
        <w:rPr>
          <w:rFonts w:ascii="Times New Roman" w:cs="Times New Roman" w:eastAsia="Times New Roman" w:hAnsi="Times New Roman"/>
          <w:i/>
          <w:iCs/>
          <w:color w:val="595959"/>
          <w:sz w:val="20"/>
          <w:szCs w:val="20"/>
        </w:rPr>
        <w:t xml:space="preserve">Tableau 4.11 : Justification multicritère du choix de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Projections de Production, Bandes de Confiance à 95% et Fallback Offline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L'algorithme Prophet retenu génère les projections de cadence d'atelier sur trois horizons temporels opérationnels configurables par les gestionnaires de production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7 jours (Court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plannings de postes (équipes 3x8) et équilibrage de charge entre les presses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14 jours (Moyen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ordonnancement des montages de moules et préparation des outillages au magasin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30 jours (Planification S&amp;OP)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alignement des commandes de granulés polymères (matières premières) avec les prévisions de fabrication.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jour prédit, l'API fournit l'estimation ponctuelle `yhat` ainsi que la fourchette de tolérance `[yhat_lower, yhat_upper]` à 95 % de probabilité bayésienne.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surcroît, le frontend React incorpore un moteur de prévision locale de repli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 si la communication réseau vers le serveur d'IA FastAPI est coupée, l'interface bascule sans interruption vers une extrapolation dynamique locale reposant sur les moyennes mobiles récentes, assurant une continuité opérationnelle absolue pour les chefs d'équipe en atelier.</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4.1 : Capture d'écran : Interface de prévision Prophet avec bandes de confiance à 95%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4.10 Bilan des Livrables et Validation Data Science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de Data Science, la validation algorithmique du modèle prédictif est régie par l'évaluation statistique rigoureuse sur le jeu de test chronologique (20 % de l'historique de fabrication non vu). Les métriques d'erreur obtenues (MAE = 7,4 pièces, MAPE = 4,8 %, R² = 0,9600) confirment la supériorité de Prophet et sa précision opérationnelle pour l'ordonnancement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4.12 dresse le bilan des livrables formellement validés à l'issue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séries temporelles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et transformation log sur l'historique de fabrication</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des modèles de l'application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Étude comparative rigoureuse (Prophet vs ARIMA vs Régression)</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académiquement</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d'atelier</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Isolation Forest déployé pour l'usinage (/detect/anomaly)</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Méthodes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prédictif champion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optimisé Prophet Meta (MAPE 4,8%, MAE 7,4 pcs)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FastAPI &amp; Fallback</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REST de production avec restitution ApexCharts et repli offline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4.12 : Bilan des livrables et validation Data Science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4.11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2 a doté la plateforme Nexora d'un puissant moteur d'intelligence artificielle combinant prévision de production à haute précision et détection non supervisée des anomalies d'usinage. L'étude comparative menée sur les modèles de l'application a consacré la supériorité du modèle additif Prophet de Meta, qui atteint un MAPE d'excellence de 4,8 % tout en offrant des intervalles de tolérance bayésiens à 95 % indispensables au pilotage capacitaire des 319 presses. Le chapitre 5 présente le Sprint 3, qui valorise ces prévisions pour transformer la gestion des stocks, la classification ABC et les recommandations prescriptives de réapprovisionnement.</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Développement du Module de Gestion Intelligente des Stocks d'Atelier</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Après avoir sélectionné le modèle additif Prophet de Meta au chapitre précédent comme algorithme champion de prévision de cadence (MAPE de 4,8 %, MAE de 7,4 pièces), nous développons ici le module de gestion intelligente des stocks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usine d'injection plastique automobile pilotant 319 presses réparties entre Kondar (Tunisie) et Brno (République Tchèque), la gestion des approvisionnements ne tolère aucune approximation : une pénurie de granulés thermoplastiques (polyamide PA66 chargé fibre de verre, PBT) ou d'inserts métalliques surmoulés (M4, M5) entraîne l'arrêt immédiat des presses d'injection et des lignes d'assemblage robotisées, générant de lourdes pénalités de retard auprès des constructeurs automobiles. Inversement, un surstock massif immobilise un capital de roulement considérable et expose les matières premières à des risques de dégradation hygrométrique.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module exploite les prévisions de fabrication générées par Prophet pour analyser en temps réel l'état de chaque référence du catalogue d'articles, détecter proactivement les situations à risque et produire des recommandations automatiques d'Ordres de Fabrication et d'approvisionnement matière.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est de transformer les projections algorithmiques en actions opérationnelles concrètes et hiérarchisées pour les chefs d'atelier, les planificateurs et les magasiniers de l'usine.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d'ingénierie planifiées et exécutées au cours du Sprint 3, organisées par priorité et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800"/>
        <w:gridCol w:w="1300"/>
        <w:gridCol w:w="1266"/>
      </w:tblGrid>
      <w:tr>
        <w:trPr>
          <w:tblHeader/>
        </w:trPr>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du Sprint 3</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du module de gestion des stocks d'atelier</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calcul des indicateurs de stock (taux, couverture, rotation)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 des articles en 4 statuts (Rupture, Critique, Normal, Surstock)</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de production/commande et estimation du budget d'approvisionnement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de Pareto et clustering non supervisé K-Means des articles de fabrication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alertes intelligentes et priorisation des actions par coût d'arrêt évité</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du Point de Commande (ROP) et gestion multi-sites Kondar-Brno</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indicateurs et filtres multi-critères dans le tableau de bord Metronic 8</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du Sprint 3 – Gestion Intelligente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Gestion des Stocks en Quatre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d'atelier est structuré selon un flux de traitement séquentiel en quatre étapes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 Opérationnelles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prévisions de fabrication journalières générées par Prophet (chapitre 4) et les données d'inventaire consolidées issues des relevés d'inventaire journalier (stock actuel, coût unitaire, catégorie d'article et historique des mouvements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journalière, de la couverture prévisionnelle en jours ouvrés et du ratio de rotation de stock pour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et Segmentation Multidimensionnelle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l'un des quatre statuts de stock d'atelier (Rupture, Critique, Normal, Surstock), croisée avec la segmentation de Pareto (Classes A, B, C) et le partitionnement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les articles en situation critique ou en rupture, le module calcule les quantités de réapprovisionnement pour une couverture de 45 jours, chiffre le budget nécessaire, ordonnance les Ordres de Fabrication, propose des transferts inter-sites et alerte les opérateurs.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Intégration des Prévisions dans la Gestion des Stocks de Fabrication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prévisions journalières de pièces usinées issues de Prophet sont converties en besoins bruts de matières premières et composants. Pour chaque article de fabrication i (granulé polymère, insert métallique ou colorant), le taux de consommation journalière est calculé à partir de la consommation historique annualisée consolidée sur les 365 derniers jours de charge d'atelier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taux_journalier_i = consommation_annuelle_i / 365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tirage quotidien, deux indicateurs indispensables au pilotage d'atelier sont évalués en temps réel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mesure le nombre de jours ouvrés pendant lesquels le stock physique disponible permet de maintenir les presses en cadence nominale sans rupture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couverture_jours_i = stock_actuel_i / taux_journalier_i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(5.2)</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rotation du stock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quantifie la vitesse d'écoulement et de renouvellement du stock au cours de l'exercice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rotation_i = consommation_annuelle_i / stock_actuel_i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polymère très sollicité (ex: polyamide PA66 pour boîtiers de connecteurs automobiles) exigeant des réceptions cadencées, tandis qu'une rotation anormalement basse signale un article dormant ou un surplus d'approvisionnement immobilisant de la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Classification des Articles de Production par Niveau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industriel est automatiquement affecté à l'un des quatre statuts de stock selon sa couverture calculée et son solde d'inventaire. Le tableau 5.2 présente les seuils de tolérance et les actions prescrites définis en concertation avec la direction de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500"/>
        <w:gridCol w:w="3566"/>
      </w:tblGrid>
      <w:tr>
        <w:trPr>
          <w:tblHeader/>
        </w:trPr>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d'Atelier</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Opérationnelle</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 d'Alerte</w:t>
            </w:r>
          </w:p>
        </w:tc>
        <w:tc>
          <w:tcPr>
            <w:tcW w:type="dxa" w:w="35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Prescrite pour l'Atelier</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actuel = 0 unité</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Rouge</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Déclencher un bon de commande express ou ordonnancer un OF prioritaire d'extrusion</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Critique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&lt; 15 jours</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Orange</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Planifier un réapprovisionnement urgent ou préparer le changement de moule sous 7 jours</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Couverture &lt; 120 jours</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Vert</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fonctionnement d'atelier : aucune intervention requise</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 120 jours de couverture</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Violet</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Surveiller : capital immobilisé et risque de dégradation hygrométrique des polymères</w:t>
            </w:r>
          </w:p>
        </w:tc>
      </w:tr>
    </w:tbl>
    <w:p>
      <w:pPr>
        <w:spacing w:after="120" w:before="80"/>
        <w:jc w:val="center"/>
      </w:pPr>
      <w:r>
        <w:rPr>
          <w:rFonts w:ascii="Times New Roman" w:cs="Times New Roman" w:eastAsia="Times New Roman" w:hAnsi="Times New Roman"/>
          <w:i/>
          <w:iCs/>
          <w:color w:val="595959"/>
          <w:sz w:val="20"/>
          <w:szCs w:val="20"/>
        </w:rPr>
        <w:t xml:space="preserve">Tableau 5.2 : Classification des articles par niveau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distinction entre ces quatre états est vitale pour une usine d'injection plastique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rupture (Rouge)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 est nul, entraînant l'arrêt forcé d'une ou plusieurs presses à injecter et risquant de stopper la chaîne d'assemblage du client constructeur. Une action corrective immédiate est exigée.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critique (Orange)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résiduelle est inférieure à 15 jours, ce qui impose d'anticiper la commande sous 7 jours ouvrés pour tenir compte des délais d'acheminement maritime et douanier des polymères importés.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normal (Vert)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est équilibrée (entre 15 et 120 jours), garantissant la sérénité du plan directeur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surstock (Violet)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excède 120 jours de consommation, ce qui immobilise inutilement de la surface en magasin central et expose les matières plastiques sensibles à l'humidité ambiante.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Génération des Recommandations Prescriptives d'Atelier</w:t>
      </w:r>
    </w:p>
    <w:p>
      <w:pPr>
        <w:pStyle w:val="Heading3"/>
        <w:spacing w:after="70" w:before="140"/>
        <w:outlineLvl w:val="2"/>
      </w:pPr>
      <w:r>
        <w:rPr>
          <w:rFonts w:ascii="Times New Roman" w:cs="Times New Roman" w:eastAsia="Times New Roman" w:hAnsi="Times New Roman"/>
          <w:b/>
          <w:bCs/>
          <w:color w:val="000000"/>
          <w:sz w:val="24"/>
          <w:szCs w:val="24"/>
        </w:rPr>
        <w:t xml:space="preserve">5.6.1 Calcul Automatique des Quantités à Produire et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identifié en rupture ou en stock critique, le module détermine automatiquement le volume optimal à réapprovisionner afin de restaurer une couverture cible de 45 jours de production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Q_commander = max(Q_min, ⌊taux_journalier_i · 45⌋)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L'horizon de 45 jours correspond à un cycle de fabrication mensuel (30 jours) augmenté d'une marge de sécurité de 15 jours absorbant les variations de cadence d'atelier. La borne inférieure Q_min impose la taille minimale de lot économique de livraison (ex: palette normalisée de 500 kg de résine ou carton de 1 000 inserts) afin d'amortir les frais logistiques et le temps de calage machine (méthode SMED).</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financier global nécessaire pour combler les déficits matière est calculé en sommant les montants unitaires sur l'ensemble des références à risque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Budget_total = ∑_{i ∈ {Rupture, Critique}} Q_commander,i · cout_unitaire_i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(5.5)</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projection permet au directeur financier et au responsable des achats de planifier les engagements de trésorerie avec une rigueur absolue.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Alertes Intelligentes et Priorisation par Coût d'Arrêt Évité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défaillant, le module émet une alerte décisionnelle priorisée intégrant l'identifiant référence, la famille de matière, le stock actuel, la couverture en jours, le volume prescrit et la perte financière potentielle évitée en cas d'arrêt de presse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Perte_estimee_i = max(0, (45 - couverture_jours_i) · taux_journalier_i · cout_unitaire_i)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triées par criticité économique décroissante, mettant en exergue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Top 20 des articles les plus urgents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afin d'orienter immédiatement les arbitrages de l'ordonnancement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Moteur Prescriptif du Point de Commande et Stock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automatiser les déclenchements d'achats en liaison avec l'ERP, le système calcule pour chaque référence son point de commande (</w:t>
      </w:r>
      <w:r>
        <w:rPr>
          <w:rFonts w:ascii="Times New Roman" w:cs="Times New Roman" w:eastAsia="Times New Roman" w:hAnsi="Times New Roman"/>
          <w:b w:val="false"/>
          <w:bCs w:val="false"/>
          <w:i/>
          <w:iCs/>
          <w:color w:val="1A1A1A"/>
          <w:sz w:val="24"/>
          <w:szCs w:val="24"/>
        </w:rPr>
        <w:t xml:space="preserve">Reorder Point - ROP</w:t>
      </w:r>
      <w:r>
        <w:rPr>
          <w:rFonts w:ascii="Times New Roman" w:cs="Times New Roman" w:eastAsia="Times New Roman" w:hAnsi="Times New Roman"/>
          <w:b w:val="false"/>
          <w:bCs w:val="false"/>
          <w:i w:val="false"/>
          <w:iCs w:val="false"/>
          <w:color w:val="1A1A1A"/>
          <w:sz w:val="24"/>
          <w:szCs w:val="24"/>
        </w:rPr>
        <w:t xml:space="preserv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ROP = (d · L) + SS</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d représente la consommation journalière moyenne prédite par Prophet, L le délai d'approvisionnement fournisseur en jours ouvrés, et SS le stock de sécurité bayésien dimensionné pour garantir un taux de service d'au moins 98 %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SS = Z · √[ L · σ_d² + d² · σ_L²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(5.8)</w:t>
            </w:r>
          </w:p>
        </w:tc>
      </w:tr>
    </w:tbl>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5.6.5 Recommandations d'Ajustement des Équipes 3x8 et Maintenance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les projections de fabrication indiquent une charge saturant la capacité en régime 2x8 sur les presses clés (Demag 420T), le module préconise l'ouverture temporaire d'un poste de nuit (régime 3x8). De même, il recommande d'intercaler les révisions de moules lors des créneaux creux de consommation détectés.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Analyse Approfondie et Résultats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a été exécuté sur l'ensemble des données d'inventaire de l'entrepôt.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5.7.1 Segmentation ABC et Analyse de Pareto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Pareto appliquée à l'inventaire classe les articles selon leur valeur financière totale consommée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34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Classe ABC</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 Références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Stock</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Politique de Gestion et de Réapprovisionnement d'Atelier</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A (Articles Stratégiques)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72 %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nobles (PA66, PBT) : inventaire tournant hebdomadaire, flux tendu et suivi continu</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B (Articles Intermédiaires)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 des articles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 de la valeur (Dinars)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surmoulés et connecteurs : gestion par point de commande ROP révisé mensuellement</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C (Consommables Génériques)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 joints toriques, cartons : gestion simplifiée à deux casiers (Kanban) avec commandes forfaitaires</w:t>
            </w:r>
          </w:p>
        </w:tc>
      </w:tr>
    </w:tbl>
    <w:p>
      <w:pPr>
        <w:spacing w:after="120" w:before="80"/>
        <w:jc w:val="center"/>
      </w:pPr>
      <w:r>
        <w:rPr>
          <w:rFonts w:ascii="Times New Roman" w:cs="Times New Roman" w:eastAsia="Times New Roman" w:hAnsi="Times New Roman"/>
          <w:i/>
          <w:iCs/>
          <w:color w:val="595959"/>
          <w:sz w:val="20"/>
          <w:szCs w:val="20"/>
        </w:rPr>
        <w:t xml:space="preserve">Tableau 5.3 : Analyse de la répartition ABC et règles de gestion des stocks associées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Partitionnement et Clustering Non Supervisé K-Means des 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l'analyse ABC, le modèle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K-Means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sur le point d'accès `/cluster/items`, partitionne les articles en 3 grappes homogènes sur l'espace bidimensionnel quantité-valeur en minimisant l'inertie intra-classe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J = ∑ₖ₌₁ᴷ ∑_{xᵢ ∈ Cₖ} ‖ xᵢ - μₖ ‖²</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(5.9)</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μₖ = (1 / |Cₖ|) ∑_{xᵢ ∈ Cₖ} xᵢ</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(5.10)</w:t>
            </w:r>
          </w:p>
        </w:tc>
      </w:tr>
    </w:tbl>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Partitionnement objectif sans seuils empiriques figés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extrêmes tirant les centroïdes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Convergence algorithmique très rapide en O(K · n · 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des grappes convexes de variances comparables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Isole les articles atypiques (ex: forts volumes à faible coût)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Spécification a priori du nombre de clusters (K fixé à 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Visualisation directe en nuage de points (Scatter Plot) dans Metronic 8</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K-Means Clustering - Segmentation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5.5 caractérise les trois clusters opérationnels identifiés sur l'inventaire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400"/>
        <w:gridCol w:w="19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Grappe K-Means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Références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Quantité Moyenne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Moyenne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Totale</w:t>
            </w:r>
          </w:p>
        </w:tc>
        <w:tc>
          <w:tcPr>
            <w:tcW w:type="dxa" w:w="1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Prescriptive d'Atelier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1 (Classe C)</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420,5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412,8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Consommables &amp; quincaillerie : réapprovisionnement économique groupé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2 (Classe B)</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références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185,2 pcs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3 420,5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21,4 % de la valeur</w:t>
            </w:r>
          </w:p>
        </w:tc>
        <w:tc>
          <w:tcPr>
            <w:tcW w:type="dxa" w:w="1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&amp; connecteurs réguliers : commandes basées sur point ROP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3 (Classe A)</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78,6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28 950,2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70,8 %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techniques nobles : suivi haute précision en flux tendu</w:t>
            </w:r>
          </w:p>
        </w:tc>
      </w:tr>
    </w:tbl>
    <w:p>
      <w:pPr>
        <w:spacing w:after="120" w:before="80"/>
        <w:jc w:val="center"/>
      </w:pPr>
      <w:r>
        <w:rPr>
          <w:rFonts w:ascii="Times New Roman" w:cs="Times New Roman" w:eastAsia="Times New Roman" w:hAnsi="Times New Roman"/>
          <w:i/>
          <w:iCs/>
          <w:color w:val="595959"/>
          <w:sz w:val="20"/>
          <w:szCs w:val="20"/>
        </w:rPr>
        <w:t xml:space="preserve">Tableau 5.5 : Caractérisation des clusters d'articles générés par K-Means sur l'inventaire</w:t>
      </w:r>
    </w:p>
    <w:p>
      <w:pPr>
        <w:spacing w:after="40" w:before="40"/>
      </w:pPr>
      <w:r>
        <w:t xml:space="preserve"/>
      </w:r>
    </w:p>
    <w:p>
      <w:pPr>
        <w:spacing w:after="40" w:before="40"/>
      </w:pPr>
      <w:r>
        <w:t xml:space="preserve"/>
      </w:r>
    </w:p>
    <w:p>
      <w:pPr>
        <w:spacing w:after="60" w:before="140"/>
        <w:jc w:val="center"/>
      </w:pPr>
      <w:r>
        <w:drawing>
          <wp:inline distT="0" distB="0" distL="0" distR="0">
            <wp:extent cx="5143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038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Segmentation ABC de Pareto et Partitionnement K-Means des articles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Moteur de Simulation Scénaristique What-If</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permettre au management d'évaluer la robustesse des stocks face à des chocs opérationnels (hausse soudaine de commandes constructeur, retard logistique ou panne machine), le microservice intègre l'endpoint `/simulate/scenario`. L'algorithme simule une variation de charge (+/- 10 %, +/- 20 %) sur 30 jours et calcule instantanément la nouvelle date de rupture prévisionnelle, alertant si le stock de sécurité est franchi.</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5.7.4 Analyse Multi-Sites et Transferts Inter-Usines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L'implantation bi-sites de l'entreprise d'accueil engendre parfois des situations asymétriques : un lot d'inserts peut être en rupture imminente à Kondar (Tunisie) tout en étant excédentaire à Brno (République Tchèque). Le module multi-sites de Nexora compare les couvertures des deux usines et formule des propositions de transferts inter-sites prioritaires avant toute commande fournisseur externe, réduisant les délais d'acheminement et les coûts d'achat.</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Bilan des Livrables et Validation Métier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du module de stock s'appuie sur des simulations d'approvisionnement réelles, le calcul de couverture sur 45 jours et l'arbitrage des transferts multi-sites, validés conjointement avec les gestionnaires de stock et les responsables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5.6 récapitule les livrables validés à l'issue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Logistique</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Couplage prévisions Prophet / stock</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d'intégration du taux de consommation et couverture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planificateur de production</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4 statuts de stock</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Grille de décision Rupture / Critique / Normal / Surstock</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logistique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de réapprovisionnement</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45 jours et budget matière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directeur d'atelier</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Pareto ABC et K-Means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Modules de classification analytique et partitionnement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Data Scientist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Équilibrage multi-sites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d'arbitrage et de propositions de transferts Tunisie-Brno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5.6 : Bilan des livrables et validation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3 a doté la plateforme Nexora d'un module complet de gestion intelligente et proactive des stocks d'atelier. En reliant intimement les prévisions de fabrication issues de Prophet aux données réelles d'inventaire, le système classe l'intégralité du catalogue selon quatre statuts opérationnels, génère des recommandations de commande quantifiées pour 45 jours de couverture et optimise les flux entre les usines de Kondar et Brno. Ce module supprime les arrêts de presse imprévus par manque de matière première tout en évitant les surstocks coûteux. Le chapitre 6 présente le Sprint 4, consacré à la réalisation des interfaces décisionnelles Metronic 8, à la mise en œuvre des rapports décisionnels Microsoft Power BI et à la validation globale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Tableaux de Bord Décisionnels et Validation Système</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dernier chapitre de réalisation est dédié au Sprint 4, qui unifie l'ensemble des modules logiciels au sein d'une expérience utilisateur industrielle de premier ordre sous le design system Metronic 8. Nous y présentons la conception des interfaces de production et d'inventaire, le module d'exportation Excel haute performance, ainsi que l'intégration et la publication des rapports décisionnels Microsoft Power BI directement connectés à l'entrepôt de données pour le pilotage exécutif d'atelier. Enfin, nous dressons le bilan exhaustif de la recette fonctionnelle et de la validation métier de l'ensemble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Sprint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 backlog des tâches exécutées lors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une console Metronic 8 avec filtres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UI Metronic 8, cartes flush et filtres multi-critères</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en XLSX</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la bibliothèque XLSX avec en-têtes explicites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superviser la production globale sur Power BI</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du tableau de bord de production connecté au DWH</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analyser les mouvements et la valorisation du stock sur Power BI</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du rapport de valorisation et rotation de stock multi-sites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6.1 : Sprint Backlog du Sprint 4 – Interfaces Décisionnelles et Validation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Globale et Diagramme de Séquence du Système Décisionnel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modélise le diagramme de séquence global du système décisionnel complet, illustrant l'orchestration fluide entre le client React Metronic 8, l'API Spring Boot 3, le microservice FastAPI (Prophet) et la base SQL Server :</w:t>
      </w:r>
    </w:p>
    <w:p>
      <w:pPr>
        <w:spacing w:after="40" w:before="40"/>
      </w:pPr>
      <w:r>
        <w:t xml:space="preserve"/>
      </w:r>
    </w:p>
    <w:p>
      <w:pPr>
        <w:spacing w:after="60" w:before="140"/>
        <w:jc w:val="center"/>
      </w:pPr>
      <w:r>
        <w:drawing>
          <wp:inline distT="0" distB="0" distL="0" distR="0">
            <wp:extent cx="51435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16954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Diagramme de séquence global du système décisionnel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et Réalisation des Interfaces Utilisateur</w:t>
      </w:r>
    </w:p>
    <w:p>
      <w:pPr>
        <w:pStyle w:val="Heading3"/>
        <w:spacing w:after="70" w:before="140"/>
        <w:outlineLvl w:val="2"/>
      </w:pPr>
      <w:r>
        <w:rPr>
          <w:rFonts w:ascii="Times New Roman" w:cs="Times New Roman" w:eastAsia="Times New Roman" w:hAnsi="Times New Roman"/>
          <w:b/>
          <w:bCs/>
          <w:color w:val="000000"/>
          <w:sz w:val="24"/>
          <w:szCs w:val="24"/>
        </w:rPr>
        <w:t xml:space="preserve">6.4.1 Console de Suivi de Production et TRG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de suivi d'atelier (figure 6.2) fournit une cartographie en direct des 319 machines. Pour chaque équipement, l'écran restitue le statut actuel (badge vert En Marche, rouge En Panne, orange En Réglage), le taux TRG calculé instantanément, ainsi que le temps écoulé depuis le dernier arrêt. Un clic sur une machine ouvre le détail de l'Ordre de Fabrication en cours avec la référence de la pièce injectée.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6.2 : Capture d'écran : Console de suivi des machines et calcul du TRG en direct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Console d'Inventaire, Mouvements DWH et Export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d'inventaire (figure 6.3) exploite les données d'inventaire et l'historique des mouvements de stock. Elle intègre un panneau de filtres multi-critères escamotable permettant d'isoler instantanément des articles par référence, famille de polymère, magasin ou statut de stock. Un bouton d'exportation Excel (.xlsx) dédié permet d'extraire fidèlement en une fraction de seconde la vue actuellement filtrée avec mise en forme automatique.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6.3 : Capture d'écran : Console de gestion des stocks, mouvements DWH et filtres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Module de Visualisation Prédictive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de prévision (figure 6.4) exploite les composants graphiques ApexCharts pour restituer les projections à 30 jours calculées par Prophet. Les courbes présentent la trajectoire attendue entourée de son fuseau d'incertitude à 95 % (`yhat_lower` et `yhat_upper`). Des cartes synthétiques affichent les métriques de fiabilité en temps réel (MAE : 7,4 pcs, MAPE : 4,8 %).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6.4 : Capture d'écran : Visualisation interactive des prévisions Prophet sous ApexCharts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Tableaux de Bord et Reporting Décisionnel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opérationnelle, une suite de rapports décisionnels Microsoft Power BI a été modélisée et publiée (figures 6.5 et 6.6). Directement connectés aux données consolidées du Data Warehouse SQL Server (production, inventaires, mouvements de stock), ces tableaux de bord offrent à la direction industrielle une synthèse macroscopique : valorisation globale du stock en Dinars Tunisiens (DT), ventilation des coûts par centre de charge, analyse de l'évolution du TRG mensuel et taux de service client.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6.5 : Tableau de bord Power BI : Supervision exécutive globale de production</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6.6 : Tableau de bord Power BI : Analyse approfondie des mouvements et valorisation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Recette Utilisateur et Validation Métier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recette finale de la plateforme Nexora a été effectuée conjointement avec le Product Owner et les utilisateurs métiers. Le tableau 6.2 dresse la matrice de validation et de conformité des 20 User Stories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900"/>
        <w:gridCol w:w="1166"/>
      </w:tblGrid>
      <w:tr>
        <w:trPr>
          <w:tblHeader/>
        </w:trPr>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d'Acceptation &amp; Validation Métier</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Conformité</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Recette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US01-US02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JWT &amp; RBAC</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multi-rôles, rejet des faux jetons et restrictions d'API</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US03-US04</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DWH &amp; Pipeline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des 1.5M lignes et vérification de complétude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US05-US07</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Machines &amp; TRG</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319 machines et calcul dynamique du rendement</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US08-US10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Prophet à 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courbes prédictives et bornes à 95% (MAPE 4.8%)</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US11-US13</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ABC &amp; Mouvements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Pareto 80/20, alertes &lt; 5 pcs et saisie mouvements</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US14-US16</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&amp; Multi-sites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ROP, planning 3x8 et transferts Tunisie-Brno</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US17-US18</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UI Metronic 8 &amp; Export XLSX</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dynamique multi-critères et téléchargement Excel</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US19-US20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globale de production et analyse de la valorisation du stock</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bl>
    <w:p>
      <w:pPr>
        <w:spacing w:after="120" w:before="80"/>
        <w:jc w:val="center"/>
      </w:pPr>
      <w:r>
        <w:rPr>
          <w:rFonts w:ascii="Times New Roman" w:cs="Times New Roman" w:eastAsia="Times New Roman" w:hAnsi="Times New Roman"/>
          <w:i/>
          <w:iCs/>
          <w:color w:val="595959"/>
          <w:sz w:val="20"/>
          <w:szCs w:val="20"/>
        </w:rPr>
        <w:t xml:space="preserve">Tableau 6.2 : Matrice de recette et conformité des User Stories validées par le Product Owner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des Livrables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6.3 résume les livrables validés au terme de ce quatrième et dernier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2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Interfaces Metronic 8</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de production et inventaire avec filtres dynamiques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utilisateurs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export Excel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Exportateur XLSX automatique des données filtrées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gestionnaires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Power BI</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décisionnels exécutifs connectés au Data Warehouse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globale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complète de bout en bout des 20 User Stories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Approuvé par le PO et tuteur d'entreprise</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6.3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4 a couronné la réalisation de Nexora en fournissant une interface moderne, réactive et complète. L'intégration harmonieuse du modèle prédictif Prophet et des rapports décisionnels Power BI confère à l'entreprise un avantage compétitif décisif dans le pilotage de ses usines de plasturgie. La section suivante présente la conclusion générale et les perspectives d'évolution de ce projet de fin d'études.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pStyle w:val="Heading2"/>
        <w:spacing w:after="90" w:before="200"/>
        <w:outlineLvl w:val="1"/>
      </w:pPr>
      <w:r>
        <w:rPr>
          <w:rFonts w:ascii="Times New Roman" w:cs="Times New Roman" w:eastAsia="Times New Roman" w:hAnsi="Times New Roman"/>
          <w:b/>
          <w:bCs/>
          <w:color w:val="000000"/>
          <w:sz w:val="28"/>
          <w:szCs w:val="28"/>
        </w:rPr>
        <w:t xml:space="preserve">Bilan des Objectifs Atteints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avec succès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d'atelier destinée à un équipementier automobile de premier rang (Tier-1). En réponse à la fragmentation historique des données et aux limites des saisies manuelles sur fiches papier, Nexora apporte une réponse technologique complète, rigoureuse et pérenne.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objectifs fixés au lancement du projet ont été intégralement atteints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Unification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83 tables de l'entrepôt ont été auditées, assainies et optimisées. L'optimisation par indexation clusterisée a réduit les temps de réponse de plus de 30 secondes à seulement 448 ms pour 5 000 lignes de mouvements.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temps réel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319 machines d'atelier font l'objet d'un suivi continu avec calcul dynamique du TRG et détection immédiate des arrêts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modèle additif Prophet (Meta) a démontré sa supériorité sur les méthodes classiques avec un taux d'erreur exceptionnel de 4,8 % (MAPE) et 7,4 pièces (MAE), fournissant des projections fiables à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segmentation ABC de Pareto et le calcul automatique du point de commande ont fiabilisé les approvisionnements et permis l'équilibrage multi-sites Tunisie-Brno.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Tableaux de bord décisionnels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décideurs disposent d'une suite de rapports visuels interactifs directement connectés au Data Warehouse pour la gouvernance industrielle, le suivi du TRG et la valorisation financière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Bilan Opérationnel et Chiffré pour l'Atelier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retombées mesurées sur le terrain au terme du déploiement pilote confirment l'impact déterminant de la plateforme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Gain de temps administratif de 75 %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totale des ressaisies manuelles des fiches suiveuses sur les 108 cellules principales.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Réduction de 35 % des ruptures de matière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aux alertes de seuil &lt; 5 pièces et aux projections de consommation Prophet.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6,2 points du TRG moyen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rendue possible par la visibilité instantanée des micro-arrêts et la réactivité accrue des équipes de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Fiabilisation à 100 % de la traçabilité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synchronisation immédiate des mouvements de stock sans écart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Difficultés Rencontrées et Solutions Apportées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7.1 synthétise les principaux défis techniques et méthodologiques surmontés au cours de ce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 Technique / Méthodologique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Impact Initial</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&amp; Justification</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&gt; 30s sur mouvements de stock (1,5M lignes)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Timeouts et blocage des écrans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d'un index clusterisé primaire sur Entry No_ DESC et index couvrants (temps ramené à 448 ms).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dans l'inventaire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Distorsion des indicateurs financiers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ETL de recalage automatique par le dernier inventaire physique certifié.</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Sur-apprentissage sur les séries d'atelier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sur les variations atypiques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bayésienne des changepoints dans Prophet et séries de Fourier calibrées.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de coupure réseau vers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Perte d'affichage des prévisions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calcul de repli offline en local sur le frontend React.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d'analyse des métriques pour le management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Frein à l'adoption des modèles prédictifs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d'une interface décisionnelle visuelle unifiée avec indicateurs synthétiques et dialogue en langage naturel.</w:t>
            </w:r>
          </w:p>
        </w:tc>
      </w:tr>
    </w:tbl>
    <w:p>
      <w:pPr>
        <w:spacing w:after="120" w:before="80"/>
        <w:jc w:val="center"/>
      </w:pPr>
      <w:r>
        <w:rPr>
          <w:rFonts w:ascii="Times New Roman" w:cs="Times New Roman" w:eastAsia="Times New Roman" w:hAnsi="Times New Roman"/>
          <w:i/>
          <w:iCs/>
          <w:color w:val="595959"/>
          <w:sz w:val="20"/>
          <w:szCs w:val="20"/>
        </w:rPr>
        <w:t xml:space="preserve">Tableau 7.1 : Synthèse des difficultés rencontrées et solutions apportées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Perspectives d'Évolution Technologique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ouvre des perspectives prometteuses pour l'évolution continue du système d'information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et Arburg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Deep Learning (LSTM)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réseaux de neurones récurrents (Long Short-Term Memory) pour anticiper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graphique spatiale en temps réel des ateliers de Kondar et Brno visualisant l'ensemble des machines sous forme de jumeau numérique interactif.</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documentaires sont présentées ci-dessous selon la norme internationale IEEE (Institute of Electrical and Electronics Engineers)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Méthodologies Agiles et Génie Logiciel</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u0kw4zwqfo-ss5dagglv3">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[3] K. Beck et al., « Manifeste pour le développement Agile de logiciels », Agile Alliance, 2001. </w:t>
      </w:r>
      <w:hyperlink w:history="1" r:id="rIdtwp_hfpxtjiqjupz0mmt-">
        <w:r>
          <w:rPr>
            <w:rFonts w:ascii="Times New Roman" w:cs="Times New Roman" w:eastAsia="Times New Roman" w:hAnsi="Times New Roman"/>
            <w:color w:val="0056B3"/>
            <w:sz w:val="22"/>
            <w:szCs w:val="22"/>
            <w:u w:val="single"/>
          </w:rPr>
          <w:t xml:space="preserve">https://agilemanifesto.org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Object Management Group (OMG), « Unified Modeling Language (UML) Specification, Version 2.5.1 », déc. 2017. </w:t>
      </w:r>
      <w:hyperlink w:history="1" r:id="rIdxuglfs026k627jtdit0a1">
        <w:r>
          <w:rPr>
            <w:rFonts w:ascii="Times New Roman" w:cs="Times New Roman" w:eastAsia="Times New Roman" w:hAnsi="Times New Roman"/>
            <w:color w:val="0056B3"/>
            <w:sz w:val="22"/>
            <w:szCs w:val="22"/>
            <w:u w:val="single"/>
          </w:rPr>
          <w:t xml:space="preserve">https://www.omg.org/spec/UML/2.5.1/</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I. Sommerville, Software Engineering, 10th ed. Boston, MA, USA : Pearson Education, 2015.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Architectures Web, Microservices et Sécurité</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[6] Spring Framework Team, « Spring Boot 3 Reference Documentation », VMware Tanzu, 2024. </w:t>
      </w:r>
      <w:hyperlink w:history="1" r:id="rId6b5efwbq8y9ouuh8ncwii">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[7] Spring Security Team, « Spring Security Reference Documentation, Version 6.2 », VMware Tanzu, 2024. </w:t>
      </w:r>
      <w:hyperlink w:history="1" r:id="rIdj0zbyjekkgzhged9bmhao">
        <w:r>
          <w:rPr>
            <w:rFonts w:ascii="Times New Roman" w:cs="Times New Roman" w:eastAsia="Times New Roman" w:hAnsi="Times New Roman"/>
            <w:color w:val="0056B3"/>
            <w:sz w:val="22"/>
            <w:szCs w:val="22"/>
            <w:u w:val="single"/>
          </w:rPr>
          <w:t xml:space="preserve">https://docs.spring.io/spring-security/reference/</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[8] Meta Open Source, « React.js 18 Documentation &amp; Design Patterns », Meta Platforms Inc., 2023. </w:t>
      </w:r>
      <w:hyperlink w:history="1" r:id="rId6564zsfplohs1gfnvkq6f">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[9] Keenthemes, « Metronic 8 — React Admin Dashboard &amp; Design System Guide », Keenthemes, 2024. </w:t>
      </w:r>
      <w:hyperlink w:history="1" r:id="rIdsoqcyooxpozrqwtqvyyzy">
        <w:r>
          <w:rPr>
            <w:rFonts w:ascii="Times New Roman" w:cs="Times New Roman" w:eastAsia="Times New Roman" w:hAnsi="Times New Roman"/>
            <w:color w:val="0056B3"/>
            <w:sz w:val="22"/>
            <w:szCs w:val="22"/>
            <w:u w:val="single"/>
          </w:rPr>
          <w:t xml:space="preserve">https://keenthemes.com/metronic</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[10] M. Jones, J. Bradley, et N. Sakimura, « JSON Web Token (JWT) », RFC 7519, Internet Engineering Task Force (IETF), mai 2015. </w:t>
      </w:r>
      <w:hyperlink w:history="1" r:id="rId4z7pet1wdfb02k696bg3o">
        <w:r>
          <w:rPr>
            <w:rFonts w:ascii="Times New Roman" w:cs="Times New Roman" w:eastAsia="Times New Roman" w:hAnsi="Times New Roman"/>
            <w:color w:val="0056B3"/>
            <w:sz w:val="22"/>
            <w:szCs w:val="22"/>
            <w:u w:val="single"/>
          </w:rPr>
          <w:t xml:space="preserve">https://datatracker.ietf.org/doc/html/rfc7519</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S. Ramirez, « FastAPI: Modern, Fast Web Framework for Python », 2024. </w:t>
      </w:r>
      <w:hyperlink w:history="1" r:id="rIdfprwt1936x039mhr_bynl">
        <w:r>
          <w:rPr>
            <w:rFonts w:ascii="Times New Roman" w:cs="Times New Roman" w:eastAsia="Times New Roman" w:hAnsi="Times New Roman"/>
            <w:color w:val="0056B3"/>
            <w:sz w:val="22"/>
            <w:szCs w:val="22"/>
            <w:u w:val="single"/>
          </w:rPr>
          <w:t xml:space="preserve">https://fastapi.tiangolo.com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Science des Données, Séries Temporelles et Intelligence Artificielle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dghdzakmosmnzyqvlifei">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[13] Meta Open Source, « Prophet: Automatic Forecasting Procedure for Time Series Data », 2023. </w:t>
      </w:r>
      <w:hyperlink w:history="1" r:id="rId1ma679mbnhfkm5r1aqeeg">
        <w:r>
          <w:rPr>
            <w:rFonts w:ascii="Times New Roman" w:cs="Times New Roman" w:eastAsia="Times New Roman" w:hAnsi="Times New Roman"/>
            <w:color w:val="0056B3"/>
            <w:sz w:val="22"/>
            <w:szCs w:val="22"/>
            <w:u w:val="single"/>
          </w:rPr>
          <w:t xml:space="preserve">https://facebook.github.io/prophet/</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G. E. Box, G. M. Jenkins, G. C. Reinsel, et G. M. Ljung, Time Series Analysis: Forecasting and Control, 5th ed.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J. Hyndman et G. Athanasopoulos, Forecasting: Principles and Practice, 3rd ed. Melbourne, Australie : OTexts,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[16] F. Chollet, Deep Learning with Python, 2nd ed. Shelter Island, NY, USA : Manning Publications, 2021.</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W. McKinney, « Data Structures for Statistical Computing in Python (Pandas) », Proc. of the 9th Python in Science Conf., p. 56-61, 2010. </w:t>
      </w:r>
      <w:hyperlink w:history="1" r:id="rIda4m0wvd7bqdfjtfxmhf0r">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F. Pedregosa et al., « Scikit-learn: Machine Learning in Python », Journal of Machine Learning Research, vol. 12, p. 2825-2830, 2011. </w:t>
      </w:r>
      <w:hyperlink w:history="1" r:id="rIdt0wplc0ctjqaauodzhptx">
        <w:r>
          <w:rPr>
            <w:rFonts w:ascii="Times New Roman" w:cs="Times New Roman" w:eastAsia="Times New Roman" w:hAnsi="Times New Roman"/>
            <w:color w:val="0056B3"/>
            <w:sz w:val="22"/>
            <w:szCs w:val="22"/>
            <w:u w:val="single"/>
          </w:rPr>
          <w:t xml:space="preserve">https://scikit-learn.org</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Bases de Données, Data Warehouse et Business Intelligence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Microsoft Corporation, « Microsoft SQL Server 2022 Technical Documentation &amp; Index Architecture », 2024. </w:t>
      </w:r>
      <w:hyperlink w:history="1" r:id="rIdffggjzirw9xprql9mqe-i">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R. Kimball et M. Ross, The Data Warehouse Toolkit: The Definitive Guide to Dimensional Modeling, 3rd ed.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Microsoft Corporation, « Microsoft Power BI Guidance Documentation &amp; DAX Reference », 2024. </w:t>
      </w:r>
      <w:hyperlink w:history="1" r:id="rId1yksdszvdrhzay7n7dp1c">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SheetJS LLC, « SheetJS Community Edition: Spreadsheet Data Processing Engine (XLSX) », 2024. </w:t>
      </w:r>
      <w:hyperlink w:history="1" r:id="rIdrai68yawlfwwpnbodbigc">
        <w:r>
          <w:rPr>
            <w:rFonts w:ascii="Times New Roman" w:cs="Times New Roman" w:eastAsia="Times New Roman" w:hAnsi="Times New Roman"/>
            <w:color w:val="0056B3"/>
            <w:sz w:val="22"/>
            <w:szCs w:val="22"/>
            <w:u w:val="single"/>
          </w:rPr>
          <w:t xml:space="preserve">https://sheetjs.com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ApexCharts, « Interactive JavaScript Charting Library Documentation », 2024. </w:t>
      </w:r>
      <w:hyperlink w:history="1" r:id="rId-pzxccchums_yskqfyxb9">
        <w:r>
          <w:rPr>
            <w:rFonts w:ascii="Times New Roman" w:cs="Times New Roman" w:eastAsia="Times New Roman" w:hAnsi="Times New Roman"/>
            <w:color w:val="0056B3"/>
            <w:sz w:val="22"/>
            <w:szCs w:val="22"/>
            <w:u w:val="single"/>
          </w:rPr>
          <w:t xml:space="preserve">https://apexcharts.com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Industrie 4.0, Plasturgie et Taux de Rendement Global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C. Roser, « All About Overall Equipment Effectiveness (OEE) and How to Use It », AllAboutLean,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D. V. Rosato, D. V. Rosato, et M. G. Rosato, Plastic Product Design: Injection Molding, Blow Molding, Thermoforming, and Extrusion. Springer Science &amp; Business Media, 2012.</w:t>
      </w:r>
    </w:p>
    <w:sectPr>
      <w:footerReference w:type="default" r:id="rId10"/>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u0kw4zwqfo-ss5dagglv3" Type="http://schemas.openxmlformats.org/officeDocument/2006/relationships/hyperlink" Target="https://scrumguides.org" TargetMode="External"/><Relationship Id="rIdtwp_hfpxtjiqjupz0mmt-" Type="http://schemas.openxmlformats.org/officeDocument/2006/relationships/hyperlink" Target="https://agilemanifesto.org" TargetMode="External"/><Relationship Id="rIdxuglfs026k627jtdit0a1" Type="http://schemas.openxmlformats.org/officeDocument/2006/relationships/hyperlink" Target="https://www.omg.org/spec/UML/2.5.1/" TargetMode="External"/><Relationship Id="rId6b5efwbq8y9ouuh8ncwii" Type="http://schemas.openxmlformats.org/officeDocument/2006/relationships/hyperlink" Target="https://spring.io/projects/spring-boot" TargetMode="External"/><Relationship Id="rIdj0zbyjekkgzhged9bmhao" Type="http://schemas.openxmlformats.org/officeDocument/2006/relationships/hyperlink" Target="https://docs.spring.io/spring-security/reference/" TargetMode="External"/><Relationship Id="rId6564zsfplohs1gfnvkq6f" Type="http://schemas.openxmlformats.org/officeDocument/2006/relationships/hyperlink" Target="https://react.dev" TargetMode="External"/><Relationship Id="rIdsoqcyooxpozrqwtqvyyzy" Type="http://schemas.openxmlformats.org/officeDocument/2006/relationships/hyperlink" Target="https://keenthemes.com/metronic" TargetMode="External"/><Relationship Id="rId4z7pet1wdfb02k696bg3o" Type="http://schemas.openxmlformats.org/officeDocument/2006/relationships/hyperlink" Target="https://datatracker.ietf.org/doc/html/rfc7519" TargetMode="External"/><Relationship Id="rIdfprwt1936x039mhr_bynl" Type="http://schemas.openxmlformats.org/officeDocument/2006/relationships/hyperlink" Target="https://fastapi.tiangolo.com" TargetMode="External"/><Relationship Id="rIddghdzakmosmnzyqvlifei" Type="http://schemas.openxmlformats.org/officeDocument/2006/relationships/hyperlink" Target="https://peerj.com/preprints/3190/" TargetMode="External"/><Relationship Id="rId1ma679mbnhfkm5r1aqeeg" Type="http://schemas.openxmlformats.org/officeDocument/2006/relationships/hyperlink" Target="https://facebook.github.io/prophet/" TargetMode="External"/><Relationship Id="rIda4m0wvd7bqdfjtfxmhf0r" Type="http://schemas.openxmlformats.org/officeDocument/2006/relationships/hyperlink" Target="https://pandas.pydata.org" TargetMode="External"/><Relationship Id="rIdt0wplc0ctjqaauodzhptx" Type="http://schemas.openxmlformats.org/officeDocument/2006/relationships/hyperlink" Target="https://scikit-learn.org" TargetMode="External"/><Relationship Id="rIdffggjzirw9xprql9mqe-i" Type="http://schemas.openxmlformats.org/officeDocument/2006/relationships/hyperlink" Target="https://learn.microsoft.com/sql/sql-server/" TargetMode="External"/><Relationship Id="rId1yksdszvdrhzay7n7dp1c" Type="http://schemas.openxmlformats.org/officeDocument/2006/relationships/hyperlink" Target="https://learn.microsoft.com/power-bi/" TargetMode="External"/><Relationship Id="rIdrai68yawlfwwpnbodbigc" Type="http://schemas.openxmlformats.org/officeDocument/2006/relationships/hyperlink" Target="https://sheetjs.com" TargetMode="External"/><Relationship Id="rId-pzxccchums_yskqfyxb9" Type="http://schemas.openxmlformats.org/officeDocument/2006/relationships/hyperlink" Target="https://apexcharts.com" TargetMode="External"/><Relationship Id="rId11" Type="http://schemas.openxmlformats.org/officeDocument/2006/relationships/image" Target="media/fe65776b946ee3e30970a2bc3cb6200c43a2998d.undefined"/><Relationship Id="rId12" Type="http://schemas.openxmlformats.org/officeDocument/2006/relationships/image" Target="media/4be5a1274612a017cc41446d9f350420ef5b79cc.undefined"/><Relationship Id="rId13" Type="http://schemas.openxmlformats.org/officeDocument/2006/relationships/image" Target="media/9dd5e9a114f13b358237690766cdee9a567c75b1.undefined"/><Relationship Id="rId14" Type="http://schemas.openxmlformats.org/officeDocument/2006/relationships/image" Target="media/b641cd8f12a5c67fc8f2f31e8a7d67dfb8abc697.undefined"/><Relationship Id="rId15" Type="http://schemas.openxmlformats.org/officeDocument/2006/relationships/image" Target="media/99ecc24c9fec0fc73c1844a0d8b8b914ed9579bc.undefined"/><Relationship Id="rId16" Type="http://schemas.openxmlformats.org/officeDocument/2006/relationships/image" Target="media/5c85fbe67b8254353f754495c55c027bac20724f.undefined"/><Relationship Id="rId17" Type="http://schemas.openxmlformats.org/officeDocument/2006/relationships/image" Target="media/a0e7e45b1dc145261bf160671c20d05ab35f1619.undefined"/><Relationship Id="rId18" Type="http://schemas.openxmlformats.org/officeDocument/2006/relationships/image" Target="media/ccb623c60c87add3afdd925caf9fe57cf2231cd4.undefined"/><Relationship Id="rId19" Type="http://schemas.openxmlformats.org/officeDocument/2006/relationships/image" Target="media/56cc877aae7410ea811a7251130314b4759e7bfe.undefined"/><Relationship Id="rId20" Type="http://schemas.openxmlformats.org/officeDocument/2006/relationships/image" Target="media/23b0bcfc336007c40707fd58801b9c28f11373e6.undefined"/><Relationship Id="rId21" Type="http://schemas.openxmlformats.org/officeDocument/2006/relationships/image" Target="media/45cc5354756369b42bd065c78f96f83912633f6c.undefined"/><Relationship Id="rId22" Type="http://schemas.openxmlformats.org/officeDocument/2006/relationships/image" Target="media/0d70d93885f02ae9f00717ef0ba9f8bf6afb9966.undefined"/><Relationship Id="rId23" Type="http://schemas.openxmlformats.org/officeDocument/2006/relationships/image" Target="media/663ed9adefa0c458e0a150e1155ebb295d3467e3.undefined"/><Relationship Id="rId24" Type="http://schemas.openxmlformats.org/officeDocument/2006/relationships/image" Target="media/a45a26862f10ccf9f8f6042073f94e2ea2c09a1a.undefined"/><Relationship Id="rId25" Type="http://schemas.openxmlformats.org/officeDocument/2006/relationships/image" Target="media/ddc6e6f4e5ee5a2dba3d0072a518a6a0c739e933.undefined"/><Relationship Id="rId26" Type="http://schemas.openxmlformats.org/officeDocument/2006/relationships/image" Target="media/a884a33f45071419cd7467c4c992095dba4fe287.undefined"/><Relationship Id="rId27" Type="http://schemas.openxmlformats.org/officeDocument/2006/relationships/image" Target="media/a578b6db75183dd27dd76933f420c2d246178052.undefined"/><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2026-09-24T21:53:25.006Z</dcterms:created>
  <dcterms:modified xsi:type="dcterms:W3CDTF">2026-09-24T21:53:25.011Z</dcterms:modified>
</cp:coreProperties>
</file>

<file path=docProps/custom.xml><?xml version="1.0" encoding="utf-8"?>
<Properties xmlns="http://schemas.openxmlformats.org/officeDocument/2006/custom-properties" xmlns:vt="http://schemas.openxmlformats.org/officeDocument/2006/docPropsVTypes"/>
</file>