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pPr>
      <w:r>
        <w:t xml:space="preserve"/>
      </w:r>
    </w:p>
    <w:p>
      <w:pPr>
        <w:sectPr>
          <w:headerReference w:type="default" r:id="rId7"/>
          <w:footerReference w:type="default" r:id="rId8"/>
          <w:pgSz w:w="11906" w:h="16838" w:orient="portrait"/>
          <w:pgMar w:top="1440" w:right="1440" w:bottom="1440" w:left="1800" w:header="708" w:footer="708" w:gutter="0"/>
          <w:pgNumType/>
          <w:docGrid w:linePitch="360"/>
        </w:sectPr>
      </w:pPr>
    </w:p>
    <w:p>
      <w:pPr>
        <w:pBdr>
          <w:bottom w:val="single" w:color="333333" w:sz="6" w:space="4"/>
        </w:pBdr>
        <w:spacing w:after="80" w:before="400"/>
        <w:jc w:val="center"/>
      </w:pPr>
      <w:r>
        <w:rPr>
          <w:rFonts w:ascii="Times New Roman" w:cs="Times New Roman" w:eastAsia="Times New Roman" w:hAnsi="Times New Roman"/>
          <w:b/>
          <w:bCs/>
          <w:color w:val="000000"/>
          <w:sz w:val="36"/>
          <w:szCs w:val="36"/>
        </w:rPr>
        <w:t xml:space="preserve">DÉDICACE</w:t>
      </w:r>
    </w:p>
    <w:p>
      <w:pPr>
        <w:spacing w:after="60" w:before="60" w:line="360" w:lineRule="auto"/>
        <w:jc w:val="center"/>
      </w:pPr>
      <w:r>
        <w:rPr>
          <w:rFonts w:ascii="Times New Roman" w:cs="Times New Roman" w:eastAsia="Times New Roman" w:hAnsi="Times New Roman"/>
          <w:b w:val="false"/>
          <w:bCs w:val="false"/>
          <w:i/>
          <w:iCs/>
          <w:color w:val="1A1A1A"/>
          <w:sz w:val="24"/>
          <w:szCs w:val="24"/>
        </w:rPr>
        <w:t xml:space="preserve">Je dédie ce modeste travail de fin d'études :</w:t>
      </w:r>
    </w:p>
    <w:p>
      <w:pPr>
        <w:spacing w:after="40" w:before="40"/>
      </w:pPr>
      <w:r>
        <w:t xml:space="preserve"/>
      </w:r>
    </w:p>
    <w:p>
      <w:pPr>
        <w:spacing w:after="60" w:before="60" w:line="360" w:lineRule="auto"/>
        <w:jc w:val="center"/>
      </w:pPr>
      <w:r>
        <w:rPr>
          <w:rFonts w:ascii="Times New Roman" w:cs="Times New Roman" w:eastAsia="Times New Roman" w:hAnsi="Times New Roman"/>
          <w:b w:val="false"/>
          <w:bCs w:val="false"/>
          <w:i/>
          <w:iCs/>
          <w:color w:val="1A1A1A"/>
          <w:sz w:val="24"/>
          <w:szCs w:val="24"/>
        </w:rPr>
        <w:t xml:space="preserve">À mes très chers parents, pour leurs sacrifices constants, leur amour inépuisable et leurs prières bienveillantes qui m'ont guidée tout au long de mon cursus académique.</w:t>
      </w:r>
    </w:p>
    <w:p>
      <w:pPr>
        <w:spacing w:after="40" w:before="40"/>
      </w:pPr>
      <w:r>
        <w:t xml:space="preserve"/>
      </w:r>
    </w:p>
    <w:p>
      <w:pPr>
        <w:spacing w:after="60" w:before="60" w:line="360" w:lineRule="auto"/>
        <w:jc w:val="center"/>
      </w:pPr>
      <w:r>
        <w:rPr>
          <w:rFonts w:ascii="Times New Roman" w:cs="Times New Roman" w:eastAsia="Times New Roman" w:hAnsi="Times New Roman"/>
          <w:b w:val="false"/>
          <w:bCs w:val="false"/>
          <w:i/>
          <w:iCs/>
          <w:color w:val="1A1A1A"/>
          <w:sz w:val="24"/>
          <w:szCs w:val="24"/>
        </w:rPr>
        <w:t xml:space="preserve">À toute ma famille, mes proches et mes ami(e)s, dont les encouragements sincères et la présence indéfectible ont constitué une source inestimable de motivation.</w:t>
      </w:r>
    </w:p>
    <w:p>
      <w:pPr>
        <w:spacing w:after="40" w:before="40"/>
      </w:pPr>
      <w:r>
        <w:t xml:space="preserve"/>
      </w:r>
    </w:p>
    <w:p>
      <w:pPr>
        <w:spacing w:after="60" w:before="60" w:line="360" w:lineRule="auto"/>
        <w:jc w:val="center"/>
      </w:pPr>
      <w:r>
        <w:rPr>
          <w:rFonts w:ascii="Times New Roman" w:cs="Times New Roman" w:eastAsia="Times New Roman" w:hAnsi="Times New Roman"/>
          <w:b w:val="false"/>
          <w:bCs w:val="false"/>
          <w:i/>
          <w:iCs/>
          <w:color w:val="1A1A1A"/>
          <w:sz w:val="24"/>
          <w:szCs w:val="24"/>
        </w:rPr>
        <w:t xml:space="preserve">À l'ensemble du corps professoral de la Faculté des Sciences de Monastir, qui a forgé mes compétences et nourri ma passion pour les sciences des données et le génie logiciel.</w:t>
      </w:r>
    </w:p>
    <w:p>
      <w:pPr>
        <w:spacing w:after="0" w:before="0"/>
      </w:pPr>
      <w:r>
        <w:br w:type="page"/>
      </w:r>
    </w:p>
    <w:p>
      <w:pPr>
        <w:pBdr>
          <w:bottom w:val="single" w:color="333333" w:sz="6" w:space="4"/>
        </w:pBdr>
        <w:spacing w:after="80" w:before="400"/>
        <w:jc w:val="center"/>
      </w:pPr>
      <w:r>
        <w:rPr>
          <w:rFonts w:ascii="Times New Roman" w:cs="Times New Roman" w:eastAsia="Times New Roman" w:hAnsi="Times New Roman"/>
          <w:b/>
          <w:bCs/>
          <w:color w:val="000000"/>
          <w:sz w:val="36"/>
          <w:szCs w:val="36"/>
        </w:rPr>
        <w:t xml:space="preserve">REMERCIEMENTS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Je tiens à exprimer ma profonde gratitude à mon encadrant(e) universitaire de la Faculté des Sciences de Monastir pour ses conseils avisés, sa rigueur scientifique et sa disponibilité tout au long de ce travail de recherche appliquée.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J'adresse mes vifs remerciements à mon encadrant professionnel au sein du groupe industriel d'accueil, pour sa confiance, son encadrement technique rigoureux et son accompagnement précieux lors de l'intégration des flux d'atelier et du Data Warehouse.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Je remercie également la direction industrielle et les équipes opérationnelles des sites de Kondar, Sousse et Brno pour leur accueil chaleureux, leur coopération active lors du recueil des besoins et la pertinence de leurs retours terrain.</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Mes remerciements s'étendent aux membres du jury qui ont accepté d'examiner et d'évaluer ce travail de fin d'études.</w:t>
      </w:r>
    </w:p>
    <w:p>
      <w:pPr>
        <w:spacing w:after="0" w:before="0"/>
      </w:pPr>
      <w:r>
        <w:br w:type="page"/>
      </w:r>
    </w:p>
    <w:p>
      <w:pPr>
        <w:pBdr>
          <w:bottom w:val="single" w:color="333333" w:sz="6" w:space="4"/>
        </w:pBdr>
        <w:spacing w:after="80" w:before="400"/>
        <w:jc w:val="center"/>
      </w:pPr>
      <w:r>
        <w:rPr>
          <w:rFonts w:ascii="Times New Roman" w:cs="Times New Roman" w:eastAsia="Times New Roman" w:hAnsi="Times New Roman"/>
          <w:b/>
          <w:bCs/>
          <w:color w:val="000000"/>
          <w:sz w:val="36"/>
          <w:szCs w:val="36"/>
        </w:rPr>
        <w:t xml:space="preserve">RÉSUMÉ</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Dans le cadre de l'industrie 4.0 et de l'optimisation des procédés de plasturgie automobile (équipementier Tier-1), ce projet de fin d'études présente la conception et le déploiement de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Nexora</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une plateforme intelligente de pilotage de production et de gestion des stocks multi-sites (usines de Kondar/Sousse en Tunisie et Brno en République Tchèque). Face à l'hétérogénéité des outils d'atelier et à la dispersion des données issues de 319 machines réelles, Nexora unifie le suivi temps réel de la fabrication et la gestion d'un historique de 1,5 million de mouvements de stock.</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système intègre une architecture modulaire à 4 niveaux s'appuyant sur Spring Boot 3 (Java 17), Microsoft SQL Server (Entrepôt de Données), un frontend réactif React.js doté du design system Metronic 8, et un microservice de Machine Learning sous FastAPI (Python 3.10). L'application assure le calcul instantané du Taux de Rendement Global (TRG/OEE), la classification ABC d'inventaire selon Pareto, ainsi que la modélisation prédictive des cadences de fabrication et des niveaux de stock via l'algorithme Prophet de Meta (MAPE de 4,8 % et MAE de 7,4 pièces), surpassant les modèles traditionnels ARIMA et régression linéaire.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plateforme intègre en outre des tableaux de bord décisionnels interactifs sous Microsoft Power BI permettant aux gestionnaires d'analyser la performance de l'atelier, de diagnostiquer les arrêts machines et de piloter les indicateurs financiers et de réapprovisionnement.</w:t>
      </w:r>
    </w:p>
    <w:p>
      <w:pPr>
        <w:spacing w:after="40" w:before="40"/>
      </w:pPr>
      <w:r>
        <w:t xml:space="preserve"/>
      </w:r>
    </w:p>
    <w:p>
      <w:pPr>
        <w:spacing w:after="60" w:before="60" w:line="360" w:lineRule="auto"/>
        <w:jc w:val="both"/>
      </w:pPr>
      <w:r>
        <w:rPr>
          <w:rFonts w:ascii="Times New Roman" w:cs="Times New Roman" w:eastAsia="Times New Roman" w:hAnsi="Times New Roman"/>
          <w:b/>
          <w:bCs/>
          <w:i w:val="false"/>
          <w:iCs w:val="false"/>
          <w:color w:val="1A1A1A"/>
          <w:sz w:val="24"/>
          <w:szCs w:val="24"/>
        </w:rPr>
        <w:t xml:space="preserve">Mots-clés :</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Industrie 4.0, Plasturgie Automobile, Data Warehouse, Machine Learning, Séries Temporelles, Prophet (Meta), Analyse Prédictive, TRG/OEE, Spring Boot, React Metronic, Power BI.</w:t>
      </w:r>
    </w:p>
    <w:p>
      <w:pPr>
        <w:spacing w:after="0" w:before="0"/>
      </w:pPr>
      <w:r>
        <w:br w:type="page"/>
      </w:r>
    </w:p>
    <w:p>
      <w:pPr>
        <w:pBdr>
          <w:bottom w:val="single" w:color="333333" w:sz="6" w:space="4"/>
        </w:pBdr>
        <w:spacing w:after="80" w:before="400"/>
        <w:jc w:val="center"/>
      </w:pPr>
      <w:r>
        <w:rPr>
          <w:rFonts w:ascii="Times New Roman" w:cs="Times New Roman" w:eastAsia="Times New Roman" w:hAnsi="Times New Roman"/>
          <w:b/>
          <w:bCs/>
          <w:color w:val="000000"/>
          <w:sz w:val="36"/>
          <w:szCs w:val="36"/>
        </w:rPr>
        <w:t xml:space="preserve">SOMMAIRE</w:t>
      </w:r>
    </w:p>
    <w:p>
      <w:pPr>
        <w:tabs>
          <w:tab w:val="right" w:pos="8666" w:leader="dot"/>
        </w:tabs>
        <w:spacing w:after="50" w:before="140"/>
        <w:ind w:left="0"/>
      </w:pPr>
      <w:r>
        <w:rPr>
          <w:rFonts w:ascii="Times New Roman" w:cs="Times New Roman" w:eastAsia="Times New Roman" w:hAnsi="Times New Roman"/>
          <w:b/>
          <w:bCs/>
          <w:sz w:val="24"/>
          <w:szCs w:val="24"/>
        </w:rPr>
        <w:t xml:space="preserve">Dédicace</w:t>
      </w:r>
      <w:r>
        <w:rPr>
          <w:rFonts w:ascii="Times New Roman" w:cs="Times New Roman" w:eastAsia="Times New Roman" w:hAnsi="Times New Roman"/>
          <w:sz w:val="24"/>
          <w:szCs w:val="24"/>
        </w:rPr>
        <w:tab/>
      </w:r>
      <w:r>
        <w:rPr>
          <w:rFonts w:ascii="Times New Roman" w:cs="Times New Roman" w:eastAsia="Times New Roman" w:hAnsi="Times New Roman"/>
          <w:b/>
          <w:bCs/>
          <w:sz w:val="22"/>
          <w:szCs w:val="22"/>
        </w:rPr>
        <w:t xml:space="preserve">i</w:t>
      </w:r>
    </w:p>
    <w:p>
      <w:pPr>
        <w:tabs>
          <w:tab w:val="right" w:pos="8666" w:leader="dot"/>
        </w:tabs>
        <w:spacing w:after="50" w:before="140"/>
        <w:ind w:left="0"/>
      </w:pPr>
      <w:r>
        <w:rPr>
          <w:rFonts w:ascii="Times New Roman" w:cs="Times New Roman" w:eastAsia="Times New Roman" w:hAnsi="Times New Roman"/>
          <w:b/>
          <w:bCs/>
          <w:sz w:val="24"/>
          <w:szCs w:val="24"/>
        </w:rPr>
        <w:t xml:space="preserve">Remerciements</w:t>
      </w:r>
      <w:r>
        <w:rPr>
          <w:rFonts w:ascii="Times New Roman" w:cs="Times New Roman" w:eastAsia="Times New Roman" w:hAnsi="Times New Roman"/>
          <w:sz w:val="24"/>
          <w:szCs w:val="24"/>
        </w:rPr>
        <w:tab/>
      </w:r>
      <w:r>
        <w:rPr>
          <w:rFonts w:ascii="Times New Roman" w:cs="Times New Roman" w:eastAsia="Times New Roman" w:hAnsi="Times New Roman"/>
          <w:b/>
          <w:bCs/>
          <w:sz w:val="22"/>
          <w:szCs w:val="22"/>
        </w:rPr>
        <w:t xml:space="preserve">ii</w:t>
      </w:r>
    </w:p>
    <w:p>
      <w:pPr>
        <w:tabs>
          <w:tab w:val="right" w:pos="8666" w:leader="dot"/>
        </w:tabs>
        <w:spacing w:after="50" w:before="140"/>
        <w:ind w:left="0"/>
      </w:pPr>
      <w:r>
        <w:rPr>
          <w:rFonts w:ascii="Times New Roman" w:cs="Times New Roman" w:eastAsia="Times New Roman" w:hAnsi="Times New Roman"/>
          <w:b/>
          <w:bCs/>
          <w:sz w:val="24"/>
          <w:szCs w:val="24"/>
        </w:rPr>
        <w:t xml:space="preserve">Résumé</w:t>
      </w:r>
      <w:r>
        <w:rPr>
          <w:rFonts w:ascii="Times New Roman" w:cs="Times New Roman" w:eastAsia="Times New Roman" w:hAnsi="Times New Roman"/>
          <w:sz w:val="24"/>
          <w:szCs w:val="24"/>
        </w:rPr>
        <w:tab/>
      </w:r>
      <w:r>
        <w:rPr>
          <w:rFonts w:ascii="Times New Roman" w:cs="Times New Roman" w:eastAsia="Times New Roman" w:hAnsi="Times New Roman"/>
          <w:b/>
          <w:bCs/>
          <w:sz w:val="22"/>
          <w:szCs w:val="22"/>
        </w:rPr>
        <w:t xml:space="preserve">iii</w:t>
      </w:r>
    </w:p>
    <w:p>
      <w:pPr>
        <w:tabs>
          <w:tab w:val="right" w:pos="8666" w:leader="dot"/>
        </w:tabs>
        <w:spacing w:after="50" w:before="140"/>
        <w:ind w:left="0"/>
      </w:pPr>
      <w:r>
        <w:rPr>
          <w:rFonts w:ascii="Times New Roman" w:cs="Times New Roman" w:eastAsia="Times New Roman" w:hAnsi="Times New Roman"/>
          <w:b/>
          <w:bCs/>
          <w:sz w:val="24"/>
          <w:szCs w:val="24"/>
        </w:rPr>
        <w:t xml:space="preserve">Sommaire</w:t>
      </w:r>
      <w:r>
        <w:rPr>
          <w:rFonts w:ascii="Times New Roman" w:cs="Times New Roman" w:eastAsia="Times New Roman" w:hAnsi="Times New Roman"/>
          <w:sz w:val="24"/>
          <w:szCs w:val="24"/>
        </w:rPr>
        <w:tab/>
      </w:r>
      <w:r>
        <w:rPr>
          <w:rFonts w:ascii="Times New Roman" w:cs="Times New Roman" w:eastAsia="Times New Roman" w:hAnsi="Times New Roman"/>
          <w:b/>
          <w:bCs/>
          <w:sz w:val="22"/>
          <w:szCs w:val="22"/>
        </w:rPr>
        <w:t xml:space="preserve">iv</w:t>
      </w:r>
    </w:p>
    <w:p>
      <w:pPr>
        <w:tabs>
          <w:tab w:val="right" w:pos="8666" w:leader="dot"/>
        </w:tabs>
        <w:spacing w:after="50" w:before="140"/>
        <w:ind w:left="0"/>
      </w:pPr>
      <w:r>
        <w:rPr>
          <w:rFonts w:ascii="Times New Roman" w:cs="Times New Roman" w:eastAsia="Times New Roman" w:hAnsi="Times New Roman"/>
          <w:b/>
          <w:bCs/>
          <w:sz w:val="24"/>
          <w:szCs w:val="24"/>
        </w:rPr>
        <w:t xml:space="preserve">Liste des Figures</w:t>
      </w:r>
      <w:r>
        <w:rPr>
          <w:rFonts w:ascii="Times New Roman" w:cs="Times New Roman" w:eastAsia="Times New Roman" w:hAnsi="Times New Roman"/>
          <w:sz w:val="24"/>
          <w:szCs w:val="24"/>
        </w:rPr>
        <w:tab/>
      </w:r>
      <w:r>
        <w:rPr>
          <w:rFonts w:ascii="Times New Roman" w:cs="Times New Roman" w:eastAsia="Times New Roman" w:hAnsi="Times New Roman"/>
          <w:b/>
          <w:bCs/>
          <w:sz w:val="22"/>
          <w:szCs w:val="22"/>
        </w:rPr>
        <w:t xml:space="preserve">v</w:t>
      </w:r>
    </w:p>
    <w:p>
      <w:pPr>
        <w:tabs>
          <w:tab w:val="right" w:pos="8666" w:leader="dot"/>
        </w:tabs>
        <w:spacing w:after="50" w:before="140"/>
        <w:ind w:left="0"/>
      </w:pPr>
      <w:r>
        <w:rPr>
          <w:rFonts w:ascii="Times New Roman" w:cs="Times New Roman" w:eastAsia="Times New Roman" w:hAnsi="Times New Roman"/>
          <w:b/>
          <w:bCs/>
          <w:sz w:val="24"/>
          <w:szCs w:val="24"/>
        </w:rPr>
        <w:t xml:space="preserve">Liste des Tableaux</w:t>
      </w:r>
      <w:r>
        <w:rPr>
          <w:rFonts w:ascii="Times New Roman" w:cs="Times New Roman" w:eastAsia="Times New Roman" w:hAnsi="Times New Roman"/>
          <w:sz w:val="24"/>
          <w:szCs w:val="24"/>
        </w:rPr>
        <w:tab/>
      </w:r>
      <w:r>
        <w:rPr>
          <w:rFonts w:ascii="Times New Roman" w:cs="Times New Roman" w:eastAsia="Times New Roman" w:hAnsi="Times New Roman"/>
          <w:b/>
          <w:bCs/>
          <w:sz w:val="22"/>
          <w:szCs w:val="22"/>
        </w:rPr>
        <w:t xml:space="preserve">vi</w:t>
      </w:r>
    </w:p>
    <w:p>
      <w:pPr>
        <w:tabs>
          <w:tab w:val="right" w:pos="8666" w:leader="dot"/>
        </w:tabs>
        <w:spacing w:after="50" w:before="140"/>
        <w:ind w:left="0"/>
      </w:pPr>
      <w:r>
        <w:rPr>
          <w:rFonts w:ascii="Times New Roman" w:cs="Times New Roman" w:eastAsia="Times New Roman" w:hAnsi="Times New Roman"/>
          <w:b/>
          <w:bCs/>
          <w:sz w:val="24"/>
          <w:szCs w:val="24"/>
        </w:rPr>
        <w:t xml:space="preserve">Liste des Abréviations</w:t>
      </w:r>
      <w:r>
        <w:rPr>
          <w:rFonts w:ascii="Times New Roman" w:cs="Times New Roman" w:eastAsia="Times New Roman" w:hAnsi="Times New Roman"/>
          <w:sz w:val="24"/>
          <w:szCs w:val="24"/>
        </w:rPr>
        <w:tab/>
      </w:r>
      <w:r>
        <w:rPr>
          <w:rFonts w:ascii="Times New Roman" w:cs="Times New Roman" w:eastAsia="Times New Roman" w:hAnsi="Times New Roman"/>
          <w:b/>
          <w:bCs/>
          <w:sz w:val="22"/>
          <w:szCs w:val="22"/>
        </w:rPr>
        <w:t xml:space="preserve">vii</w:t>
      </w:r>
    </w:p>
    <w:p>
      <w:pPr>
        <w:spacing w:after="40" w:before="40"/>
      </w:pPr>
      <w:r>
        <w:t xml:space="preserve"/>
      </w:r>
    </w:p>
    <w:p>
      <w:pPr>
        <w:tabs>
          <w:tab w:val="right" w:pos="8666" w:leader="dot"/>
        </w:tabs>
        <w:spacing w:after="50" w:before="140"/>
        <w:ind w:left="0"/>
      </w:pPr>
      <w:r>
        <w:rPr>
          <w:rFonts w:ascii="Times New Roman" w:cs="Times New Roman" w:eastAsia="Times New Roman" w:hAnsi="Times New Roman"/>
          <w:b/>
          <w:bCs/>
          <w:sz w:val="24"/>
          <w:szCs w:val="24"/>
        </w:rPr>
        <w:t xml:space="preserve">Introduction Générale</w:t>
      </w:r>
      <w:r>
        <w:rPr>
          <w:rFonts w:ascii="Times New Roman" w:cs="Times New Roman" w:eastAsia="Times New Roman" w:hAnsi="Times New Roman"/>
          <w:sz w:val="24"/>
          <w:szCs w:val="24"/>
        </w:rPr>
        <w:tab/>
      </w:r>
      <w:r>
        <w:rPr>
          <w:rFonts w:ascii="Times New Roman" w:cs="Times New Roman" w:eastAsia="Times New Roman" w:hAnsi="Times New Roman"/>
          <w:b/>
          <w:bCs/>
          <w:sz w:val="22"/>
          <w:szCs w:val="22"/>
        </w:rPr>
        <w:t xml:space="preserve">1</w:t>
      </w:r>
    </w:p>
    <w:p>
      <w:pPr>
        <w:spacing w:after="40" w:before="40"/>
      </w:pPr>
      <w:r>
        <w:t xml:space="preserve"/>
      </w:r>
    </w:p>
    <w:p>
      <w:pPr>
        <w:tabs>
          <w:tab w:val="right" w:pos="8666" w:leader="dot"/>
        </w:tabs>
        <w:spacing w:after="50" w:before="140"/>
        <w:ind w:left="0"/>
      </w:pPr>
      <w:r>
        <w:rPr>
          <w:rFonts w:ascii="Times New Roman" w:cs="Times New Roman" w:eastAsia="Times New Roman" w:hAnsi="Times New Roman"/>
          <w:b/>
          <w:bCs/>
          <w:sz w:val="24"/>
          <w:szCs w:val="24"/>
        </w:rPr>
        <w:t xml:space="preserve">Chapitre 1 : Contexte et Cadre Général du Projet</w:t>
      </w:r>
      <w:r>
        <w:rPr>
          <w:rFonts w:ascii="Times New Roman" w:cs="Times New Roman" w:eastAsia="Times New Roman" w:hAnsi="Times New Roman"/>
          <w:sz w:val="24"/>
          <w:szCs w:val="24"/>
        </w:rPr>
        <w:tab/>
      </w:r>
      <w:r>
        <w:rPr>
          <w:rFonts w:ascii="Times New Roman" w:cs="Times New Roman" w:eastAsia="Times New Roman" w:hAnsi="Times New Roman"/>
          <w:b/>
          <w:bCs/>
          <w:sz w:val="22"/>
          <w:szCs w:val="22"/>
        </w:rPr>
        <w:t xml:space="preserve">4</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1.1 Introduction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1.2 Cadre du Projet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1.2.1 Cadre Académique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4</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1.2.2 Présentation de l'Organisme d'Accueil</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4</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1.2.3 Fiche d'Identité de l'Entreprise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5</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1.2.4 Organisation Industrielle et Parcs Machines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5</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1.3 Étude et Critique de l'Existant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1.3.1 Diagnostic de l'Existant d'Atelier</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6</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1.3.2 Étude Comparative des Solutions du Marché</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7</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1.3.3 Problématique Spécifique : Silos de données et manque de réactivité</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8</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1.4 Solution Proposée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1.4.1 Objectifs de la Plateforme Nexora</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8</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1.4.2 Workflow Fonctionnel Global de Bout en Bout</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1.5 Méthodologie de Développement Adoptée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10</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1.5.1 Étude Comparative des Méthodologies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10</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1.5.2 Principes de la Méthodologie Scrum</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11</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1.5.3 Planification Globale du Projet</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12</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1.5.4 Product Backlog Global</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13</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1.6 Langage de Modélisation UML</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15</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1.7 Conclusion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15</w:t>
      </w:r>
    </w:p>
    <w:p>
      <w:pPr>
        <w:spacing w:after="40" w:before="40"/>
      </w:pPr>
      <w:r>
        <w:t xml:space="preserve"/>
      </w:r>
    </w:p>
    <w:p>
      <w:pPr>
        <w:tabs>
          <w:tab w:val="right" w:pos="8666" w:leader="dot"/>
        </w:tabs>
        <w:spacing w:after="50" w:before="140"/>
        <w:ind w:left="0"/>
      </w:pPr>
      <w:r>
        <w:rPr>
          <w:rFonts w:ascii="Times New Roman" w:cs="Times New Roman" w:eastAsia="Times New Roman" w:hAnsi="Times New Roman"/>
          <w:b/>
          <w:bCs/>
          <w:sz w:val="24"/>
          <w:szCs w:val="24"/>
        </w:rPr>
        <w:t xml:space="preserve">Chapitre 2 : Sprint 0 – Analyse des Besoins et Conception du Système</w:t>
      </w:r>
      <w:r>
        <w:rPr>
          <w:rFonts w:ascii="Times New Roman" w:cs="Times New Roman" w:eastAsia="Times New Roman" w:hAnsi="Times New Roman"/>
          <w:sz w:val="24"/>
          <w:szCs w:val="24"/>
        </w:rPr>
        <w:tab/>
      </w:r>
      <w:r>
        <w:rPr>
          <w:rFonts w:ascii="Times New Roman" w:cs="Times New Roman" w:eastAsia="Times New Roman" w:hAnsi="Times New Roman"/>
          <w:b/>
          <w:bCs/>
          <w:sz w:val="22"/>
          <w:szCs w:val="22"/>
        </w:rPr>
        <w:t xml:space="preserve">16</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2.1 Introduction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16</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2.2 Sprint Backlog du Sprint 0</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16</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2.3 Analyse des Besoins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17</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2.3.1 Identification des Acteurs du Système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17</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2.3.2 Besoins Fonctionnels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18</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2.3.3 Besoins Non Fonctionnels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2.4 Conception du Système &amp; Cas d'Utilisation Global</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20</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2.4.1 Diagramme de Cas d'Utilisation Global</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20</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2.4.2 Descriptions Textuelles des Cas d'Utilisation Majeurs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21</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2.5 Architecture Proposée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23</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2.5.1 Architecture Logique à 4 Niveaux</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23</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2.5.2 Architecture Physique et Déploiement</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24</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2.5.3 Diagramme de Classes Global</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25</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2.6 Environnement Matériel et Logiciel</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26</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2.6.3 Cartographie des 17 Modèles IA &amp; Data Science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27</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2.6.1 Environnement Matériel</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26</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2.6.2 Stack Technologique et Outils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26</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2.7 Bilan des Livrables du Sprint 0</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28</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2.8 Conclusion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28</w:t>
      </w:r>
    </w:p>
    <w:p>
      <w:pPr>
        <w:spacing w:after="40" w:before="40"/>
      </w:pPr>
      <w:r>
        <w:t xml:space="preserve"/>
      </w:r>
    </w:p>
    <w:p>
      <w:pPr>
        <w:tabs>
          <w:tab w:val="right" w:pos="8666" w:leader="dot"/>
        </w:tabs>
        <w:spacing w:after="50" w:before="140"/>
        <w:ind w:left="0"/>
      </w:pPr>
      <w:r>
        <w:rPr>
          <w:rFonts w:ascii="Times New Roman" w:cs="Times New Roman" w:eastAsia="Times New Roman" w:hAnsi="Times New Roman"/>
          <w:b/>
          <w:bCs/>
          <w:sz w:val="24"/>
          <w:szCs w:val="24"/>
        </w:rPr>
        <w:t xml:space="preserve">Chapitre 3 : Sprint 1 – Audit du Data Warehouse, Assainissement &amp; Pipeline ETL</w:t>
      </w:r>
      <w:r>
        <w:rPr>
          <w:rFonts w:ascii="Times New Roman" w:cs="Times New Roman" w:eastAsia="Times New Roman" w:hAnsi="Times New Roman"/>
          <w:sz w:val="24"/>
          <w:szCs w:val="24"/>
        </w:rPr>
        <w:tab/>
      </w:r>
      <w:r>
        <w:rPr>
          <w:rFonts w:ascii="Times New Roman" w:cs="Times New Roman" w:eastAsia="Times New Roman" w:hAnsi="Times New Roman"/>
          <w:b/>
          <w:bCs/>
          <w:sz w:val="22"/>
          <w:szCs w:val="22"/>
        </w:rPr>
        <w:t xml:space="preserve">29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3.1 Introduction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3.2 Sprint Backlog du Sprint 1</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3.3 Présentation des Données du Data Warehouse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30</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3.3.1 Structure et Sources du Data Warehouse d'Entreprise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30</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3.3.2 Tables Clés du Projet</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31</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3.3.3 Modèle Relationnel Entités-Associations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32</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3.4 Analyse Exploratoire des Données et Diagnostic Qualité</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33</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3.4.1 Distributions Statistiques et Volumétries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33</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3.4.2 Corrélations et Saisonnalités d'Atelier</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34</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3.4.3 Identification des Anomalies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35</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3.5 Pipeline de Nettoyage et d'Intégration ETL</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36</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3.5.1 Architecture et Déroulement du Pipeline ETL</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36</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3.5.2 Optimisation SQL Server et Stratégie d'Indexation Clusterisée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37</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3.5.3 Stratégie d'Agrégation et d'Optimisation des Données Analytiques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38</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3.5.4 Bilan Qualité des Données et Performances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38</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3.6 Sécurité d'Accès, Gouvernance des Données et Rôles RBAC</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39</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3.6.1 Diagramme de Cas d'Utilisation du Sprint 1</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39</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3.6.2 Diagramme de Classes du Module de Sécurité</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40</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3.6.3 Diagramme de Séquence : Authentification JWT et RBAC</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40</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3.6.4 Réalisation : Interface d'Administration des Utilisateurs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41</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3.7 Bilan des Livrables et Validation du Sprint 1</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41</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3.8 Conclusion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42</w:t>
      </w:r>
    </w:p>
    <w:p>
      <w:pPr>
        <w:spacing w:after="40" w:before="40"/>
      </w:pPr>
      <w:r>
        <w:t xml:space="preserve"/>
      </w:r>
    </w:p>
    <w:p>
      <w:pPr>
        <w:tabs>
          <w:tab w:val="right" w:pos="8666" w:leader="dot"/>
        </w:tabs>
        <w:spacing w:after="50" w:before="140"/>
        <w:ind w:left="0"/>
      </w:pPr>
      <w:r>
        <w:rPr>
          <w:rFonts w:ascii="Times New Roman" w:cs="Times New Roman" w:eastAsia="Times New Roman" w:hAnsi="Times New Roman"/>
          <w:b/>
          <w:bCs/>
          <w:sz w:val="24"/>
          <w:szCs w:val="24"/>
        </w:rPr>
        <w:t xml:space="preserve">Chapitre 4 : Sprint 2 – Modélisation Prédictive de Production et Détection d'Anomalies par Intelligence Artificielle</w:t>
      </w:r>
      <w:r>
        <w:rPr>
          <w:rFonts w:ascii="Times New Roman" w:cs="Times New Roman" w:eastAsia="Times New Roman" w:hAnsi="Times New Roman"/>
          <w:sz w:val="24"/>
          <w:szCs w:val="24"/>
        </w:rPr>
        <w:tab/>
      </w:r>
      <w:r>
        <w:rPr>
          <w:rFonts w:ascii="Times New Roman" w:cs="Times New Roman" w:eastAsia="Times New Roman" w:hAnsi="Times New Roman"/>
          <w:b/>
          <w:bCs/>
          <w:sz w:val="22"/>
          <w:szCs w:val="22"/>
        </w:rPr>
        <w:t xml:space="preserve">43</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4.1 Introduction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43</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4.2 Sprint Backlog du Sprint 2</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43</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4.3 Architecture du Module Prédictif &amp; Flux de Traitement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44</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4.3.1 Architecture du Microservice d'IA FastAPI</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44</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4.3.2 Flux de Traitement et Communication Inter-Services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45</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4.4 Préparation des Données et Séries Temporelles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46</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4.4.1 Extraction et Agrégation Temporelle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46</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4.4.2 Structuration Standard Prophet</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47</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4.4.3 Découpage Chronologique Train et Test</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47</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4.5 Métriques d'Évaluation de Performance Prédictive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48</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4.6 Développement et Formulation des Modèles de l'Application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49</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4.6.1 Régression Linéaire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49</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4.6.2 Modèle Autorégressif ARIMA</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50</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4.6.3 Modèle Additif Prophet de Meta</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51</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4.6.4 Détection d'Anomalies par Isolation Forest</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52</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4.6.5 Optimisation des Hyperparamètres et Validation Croisée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52</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4.7 Benchmark Comparatif des Modèles de l'Application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53</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4.8 Sélection et Justification Multicritère de Prophet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54</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4.9 Projections à 30 jours, Analyse des Incertitudes et Fallback</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55</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4.10 Bilan des Livrables et Validation Data Science du Sprint 2</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56</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4.11 Conclusion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57</w:t>
      </w:r>
    </w:p>
    <w:p>
      <w:pPr>
        <w:spacing w:after="40" w:before="40"/>
      </w:pPr>
      <w:r>
        <w:t xml:space="preserve"/>
      </w:r>
    </w:p>
    <w:p>
      <w:pPr>
        <w:tabs>
          <w:tab w:val="right" w:pos="8666" w:leader="dot"/>
        </w:tabs>
        <w:spacing w:after="50" w:before="140"/>
        <w:ind w:left="0"/>
      </w:pPr>
      <w:r>
        <w:rPr>
          <w:rFonts w:ascii="Times New Roman" w:cs="Times New Roman" w:eastAsia="Times New Roman" w:hAnsi="Times New Roman"/>
          <w:b/>
          <w:bCs/>
          <w:sz w:val="24"/>
          <w:szCs w:val="24"/>
        </w:rPr>
        <w:t xml:space="preserve">Chapitre 5 : Sprint 3 – Développement du Module de Gestion Intelligente des Stocks d'Atelier</w:t>
      </w:r>
      <w:r>
        <w:rPr>
          <w:rFonts w:ascii="Times New Roman" w:cs="Times New Roman" w:eastAsia="Times New Roman" w:hAnsi="Times New Roman"/>
          <w:sz w:val="24"/>
          <w:szCs w:val="24"/>
        </w:rPr>
        <w:tab/>
      </w:r>
      <w:r>
        <w:rPr>
          <w:rFonts w:ascii="Times New Roman" w:cs="Times New Roman" w:eastAsia="Times New Roman" w:hAnsi="Times New Roman"/>
          <w:b/>
          <w:bCs/>
          <w:sz w:val="22"/>
          <w:szCs w:val="22"/>
        </w:rPr>
        <w:t xml:space="preserve">59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5.1 Introduction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5.2 Backlog du Sprint 3</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5.3 Architecture du Module en Quatre Étapes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60</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5.4 Intégration des Prévisions dans la Gestion des Stocks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61</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5.5 Classification des Articles de Production par Niveau de Stock</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62</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5.6 Génération des Recommandations Prescriptives d'Atelier</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63</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5.6.1 Calcul des Quantités à Produire et Commander sur 45 Jours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63</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5.6.2 Estimation du Budget d'Approvisionnement</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64</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5.6.3 Alertes Intelligentes et Priorisation par Coût d'Arrêt Évité</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64</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5.6.4 Moteur Prescriptif du Point de Commande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65</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5.7 Analyse Approfondie et Résultats de Gestion des Stocks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66</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5.7.1 Segmentation ABC et Analyse de Pareto</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66</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5.7.2 Clustering Non Supervisé K-Means des Articles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67</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5.7.3 Moteur de Simulation Scénaristique What-If</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68</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5.7.4 Analyse Multi-Sites et Transferts Inter-Usines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69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5.8 Bilan des Livrables et Validation Métier du Sprint 3</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70</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5.9 Conclusion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71</w:t>
      </w:r>
    </w:p>
    <w:p>
      <w:pPr>
        <w:spacing w:after="40" w:before="40"/>
      </w:pPr>
      <w:r>
        <w:t xml:space="preserve"/>
      </w:r>
    </w:p>
    <w:p>
      <w:pPr>
        <w:tabs>
          <w:tab w:val="right" w:pos="8666" w:leader="dot"/>
        </w:tabs>
        <w:spacing w:after="50" w:before="140"/>
        <w:ind w:left="0"/>
      </w:pPr>
      <w:r>
        <w:rPr>
          <w:rFonts w:ascii="Times New Roman" w:cs="Times New Roman" w:eastAsia="Times New Roman" w:hAnsi="Times New Roman"/>
          <w:b/>
          <w:bCs/>
          <w:sz w:val="24"/>
          <w:szCs w:val="24"/>
        </w:rPr>
        <w:t xml:space="preserve">Chapitre 6 : Sprint 4 – Tableaux de Bord Décisionnels et Validation Système</w:t>
      </w:r>
      <w:r>
        <w:rPr>
          <w:rFonts w:ascii="Times New Roman" w:cs="Times New Roman" w:eastAsia="Times New Roman" w:hAnsi="Times New Roman"/>
          <w:sz w:val="24"/>
          <w:szCs w:val="24"/>
        </w:rPr>
        <w:tab/>
      </w:r>
      <w:r>
        <w:rPr>
          <w:rFonts w:ascii="Times New Roman" w:cs="Times New Roman" w:eastAsia="Times New Roman" w:hAnsi="Times New Roman"/>
          <w:b/>
          <w:bCs/>
          <w:sz w:val="22"/>
          <w:szCs w:val="22"/>
        </w:rPr>
        <w:t xml:space="preserve">73</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6.1 Introduction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73</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6.2 Sprint Backlog du Sprint 4</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73</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6.3 Architecture Globale et Diagramme de Séquence du Système Décisionnel</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74</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6.4 Conception et Réalisation des Interfaces Utilisateur</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75</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6.4.1 Console de Suivi de Production et TRG Temps Réel</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75</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6.4.2 Console d'Inventaire, Mouvements DWH et Export XLSX</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77</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6.4.3 Module de Visualisation Prédictive Prophet</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78</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6.4.4 Tableaux de Bord et Reporting Décisionnel Microsoft Power BI</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80</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6.5 Recette Utilisateur et Validation Métier du Système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83</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6.6 Bilan des Livrables du Sprint 4</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85</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6.7 Conclusion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86</w:t>
      </w:r>
    </w:p>
    <w:p>
      <w:pPr>
        <w:spacing w:after="40" w:before="40"/>
      </w:pPr>
      <w:r>
        <w:t xml:space="preserve"/>
      </w:r>
    </w:p>
    <w:p>
      <w:pPr>
        <w:tabs>
          <w:tab w:val="right" w:pos="8666" w:leader="dot"/>
        </w:tabs>
        <w:spacing w:after="50" w:before="140"/>
        <w:ind w:left="0"/>
      </w:pPr>
      <w:r>
        <w:rPr>
          <w:rFonts w:ascii="Times New Roman" w:cs="Times New Roman" w:eastAsia="Times New Roman" w:hAnsi="Times New Roman"/>
          <w:b/>
          <w:bCs/>
          <w:sz w:val="24"/>
          <w:szCs w:val="24"/>
        </w:rPr>
        <w:t xml:space="preserve">Conclusion Générale et Perspectives</w:t>
      </w:r>
      <w:r>
        <w:rPr>
          <w:rFonts w:ascii="Times New Roman" w:cs="Times New Roman" w:eastAsia="Times New Roman" w:hAnsi="Times New Roman"/>
          <w:sz w:val="24"/>
          <w:szCs w:val="24"/>
        </w:rPr>
        <w:tab/>
      </w:r>
      <w:r>
        <w:rPr>
          <w:rFonts w:ascii="Times New Roman" w:cs="Times New Roman" w:eastAsia="Times New Roman" w:hAnsi="Times New Roman"/>
          <w:b/>
          <w:bCs/>
          <w:sz w:val="22"/>
          <w:szCs w:val="22"/>
        </w:rPr>
        <w:t xml:space="preserve">87</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Bilan des Objectifs Atteints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87</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Bilan Opérationnel et Chiffré pour l'Atelier</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88</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Difficultés Rencontrées et Solutions Apportées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88</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Perspectives d'Évolution Technologique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89</w:t>
      </w:r>
    </w:p>
    <w:p>
      <w:pPr>
        <w:spacing w:after="40" w:before="40"/>
      </w:pPr>
      <w:r>
        <w:t xml:space="preserve"/>
      </w:r>
    </w:p>
    <w:p>
      <w:pPr>
        <w:tabs>
          <w:tab w:val="right" w:pos="8666" w:leader="dot"/>
        </w:tabs>
        <w:spacing w:after="50" w:before="140"/>
        <w:ind w:left="0"/>
      </w:pPr>
      <w:r>
        <w:rPr>
          <w:rFonts w:ascii="Times New Roman" w:cs="Times New Roman" w:eastAsia="Times New Roman" w:hAnsi="Times New Roman"/>
          <w:b/>
          <w:bCs/>
          <w:sz w:val="24"/>
          <w:szCs w:val="24"/>
        </w:rPr>
        <w:t xml:space="preserve">Bibliographie et Webographie</w:t>
      </w:r>
      <w:r>
        <w:rPr>
          <w:rFonts w:ascii="Times New Roman" w:cs="Times New Roman" w:eastAsia="Times New Roman" w:hAnsi="Times New Roman"/>
          <w:sz w:val="24"/>
          <w:szCs w:val="24"/>
        </w:rPr>
        <w:tab/>
      </w:r>
      <w:r>
        <w:rPr>
          <w:rFonts w:ascii="Times New Roman" w:cs="Times New Roman" w:eastAsia="Times New Roman" w:hAnsi="Times New Roman"/>
          <w:b/>
          <w:bCs/>
          <w:sz w:val="22"/>
          <w:szCs w:val="22"/>
        </w:rPr>
        <w:t xml:space="preserve">90</w:t>
      </w:r>
    </w:p>
    <w:p>
      <w:pPr>
        <w:spacing w:after="0" w:before="0"/>
      </w:pPr>
      <w:r>
        <w:br w:type="page"/>
      </w:r>
    </w:p>
    <w:p>
      <w:pPr>
        <w:pBdr>
          <w:bottom w:val="single" w:color="333333" w:sz="6" w:space="4"/>
        </w:pBdr>
        <w:spacing w:after="80" w:before="400"/>
        <w:jc w:val="center"/>
      </w:pPr>
      <w:r>
        <w:rPr>
          <w:rFonts w:ascii="Times New Roman" w:cs="Times New Roman" w:eastAsia="Times New Roman" w:hAnsi="Times New Roman"/>
          <w:b/>
          <w:bCs/>
          <w:color w:val="000000"/>
          <w:sz w:val="36"/>
          <w:szCs w:val="36"/>
        </w:rPr>
        <w:t xml:space="preserve">LISTE DES FIGURES</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1.1 : Vue d'ensemble du framework Scrum</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12</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2.1 : Diagramme de cas d'utilisation global de la plateforme Nexora</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20</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2.2 : Architecture logique à 4 niveaux du système Nexora</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23</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2.3 : Architecture physique et infrastructure de déploiement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24</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2.4 : Diagramme de classes global du modèle conceptuel</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25</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3.1 : Schéma relationnel Entités-Associations du Data Warehouse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32</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3.2 : Diagramme d'activité du pipeline de nettoyage et d'intégration ETL</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37</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3.3 : Capture d'écran : Console d'administration des utilisateurs et contrôle RBAC</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41</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4.1 : Capture d'écran : Interface de prévision Prophet avec bandes de confiance à 95%</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56</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4.2 : Comparaison visuelle des modèles de prévision de production selon R² et MAE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57</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4.3 : Comparaison visuelle des métriques d'erreur MAPE et RMSE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58</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5.1 : Segmentation ABC de Pareto et Partitionnement K-Means des articles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68</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6.1 : Diagramme de séquence global du système décisionnel Nexora</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74</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6.2 : Capture d'écran : Console de suivi des machines et calcul du TRG en direct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76</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6.3 : Capture d'écran : Console de gestion des stocks, mouvements DWH et filtres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78</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6.4 : Capture d'écran : Visualisation interactive des prévisions Prophet sous ApexCharts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6.5 : Tableau de bord Power BI : Supervision exécutive globale de production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81</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6.6 : Tableau de bord Power BI : Analyse approfondie des mouvements et valorisation stock</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82</w:t>
      </w:r>
    </w:p>
    <w:p>
      <w:pPr>
        <w:spacing w:after="0" w:before="0"/>
      </w:pPr>
      <w:r>
        <w:br w:type="page"/>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1.1 : Fiche d'identité de l'organisme d'accueil</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1.2 : Étude comparative des solutions du marché</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1.3 : Comparaison des méthodologies de gestion de projet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10</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1.4 : Planification des Sprints Scrum sur les 6 mois de stage PFE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12</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1.5 : Product Backlog complet et priorisé du projet Nexora</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13</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2.1 : Sprint Backlog du Sprint 0 – Analyse des besoins et conception du système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16</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2.2 : Matrice des acteurs et profils d'accès RBAC</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17</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2.3 : Matrice des exigences fonctionnelles majeures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18</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2.4 : Bilan des livrables du Sprint 0</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28</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3.1 : Sprint Backlog du Sprint 1 – Audit du Data Warehouse, Assainissement &amp; Pipeline ETL</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3.2 : Principales tables de faits et volumétries du Data Warehouse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31</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3.3 : Bilan qualité des données et performances avant et après optimisations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38</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3.4 : Bilan des livrables et validation du Sprint 1</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42</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4.1 : Sprint Backlog du Sprint 2 – Intelligence Artificielle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43</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4.2 : Les 16 variables explicatives industrielles communes aux modèles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45</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4.3 : Découpage chronologique Train / Test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47</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4.4 : Métriques d'évaluation des modèles de prévision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48</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4.5 : Avantages et limites : Régression Linéaire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4.6 : Avantages et limites : Modèle Autorégressif ARIMA</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50</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4.7 : Avantages et limites du modèle Prophet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51</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4.8 : Avantages et limites de l'algorithme Isolation Forest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52</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4.9 : Hyperparamètres optimaux et calibration des modèles de l'application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52</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4.10 : Benchmark comparatif des algorithmes de séries temporelles de l'application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53</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4.11 : Justification multicritère du choix de Prophet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54</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4.12 : Bilan des livrables et validation Data Science du Sprint 2</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56</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5.1 : Priorisation des tâches du Sprint 3 – Gestion Intelligente des Stocks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5.2 : Classification des articles par niveau de stock</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62</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5.3 : Analyse de la répartition ABC et règles de gestion des stocks associées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66</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5.4 : Avantages et limites du clustering K-Means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67</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5.5 : Caractérisation des clusters d'articles générés par K-Means sur l'inventaire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68</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5.6 : Bilan des livrables et validation du Sprint 3</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71</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6.1 : Sprint Backlog du Sprint 4 – Interfaces Décisionnelles et Validation Système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73</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6.2 : Matrice de recette et conformité des User Stories validées par le Product Owner</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83</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6.3 : Bilan des livrables du Sprint 4</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85</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7.1 : Synthèse des difficultés rencontrées et solutions apportées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88</w:t>
      </w:r>
    </w:p>
    <w:p>
      <w:pPr>
        <w:spacing w:after="0" w:before="0"/>
      </w:pPr>
      <w:r>
        <w:br w:type="page"/>
      </w:r>
    </w:p>
    <w:p>
      <w:pPr>
        <w:pBdr>
          <w:bottom w:val="single" w:color="333333" w:sz="6" w:space="4"/>
        </w:pBdr>
        <w:spacing w:after="80" w:before="400"/>
        <w:jc w:val="center"/>
      </w:pPr>
      <w:r>
        <w:rPr>
          <w:rFonts w:ascii="Times New Roman" w:cs="Times New Roman" w:eastAsia="Times New Roman" w:hAnsi="Times New Roman"/>
          <w:b/>
          <w:bCs/>
          <w:color w:val="000000"/>
          <w:sz w:val="36"/>
          <w:szCs w:val="36"/>
        </w:rPr>
        <w:t xml:space="preserve">LISTE DES ABRÉVIATIONS</w:t>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480"/>
        <w:gridCol w:w="2961"/>
        <w:gridCol w:w="4225"/>
      </w:tblGrid>
      <w:tr>
        <w:trPr>
          <w:tblHeader/>
        </w:trPr>
        <w:tc>
          <w:tcPr>
            <w:tcW w:type="dxa" w:w="148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Abréviation</w:t>
            </w:r>
          </w:p>
        </w:tc>
        <w:tc>
          <w:tcPr>
            <w:tcW w:type="dxa" w:w="2961"/>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Signification en Français</w:t>
            </w:r>
          </w:p>
        </w:tc>
        <w:tc>
          <w:tcPr>
            <w:tcW w:type="dxa" w:w="4225"/>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Définition / Contexte Industriel</w:t>
            </w:r>
          </w:p>
        </w:tc>
      </w:tr>
      <w:tr>
        <w:tc>
          <w:tcPr>
            <w:tcW w:type="dxa" w:w="148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API</w:t>
            </w:r>
          </w:p>
        </w:tc>
        <w:tc>
          <w:tcPr>
            <w:tcW w:type="dxa" w:w="296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Application Programming Interface</w:t>
            </w:r>
          </w:p>
        </w:tc>
        <w:tc>
          <w:tcPr>
            <w:tcW w:type="dxa" w:w="4225"/>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Interface de programmation applicative pour l'échange de flux</w:t>
            </w:r>
          </w:p>
        </w:tc>
      </w:tr>
      <w:tr>
        <w:tc>
          <w:tcPr>
            <w:tcW w:type="dxa" w:w="148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BI</w:t>
            </w:r>
          </w:p>
        </w:tc>
        <w:tc>
          <w:tcPr>
            <w:tcW w:type="dxa" w:w="296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Business Intelligence</w:t>
            </w:r>
          </w:p>
        </w:tc>
        <w:tc>
          <w:tcPr>
            <w:tcW w:type="dxa" w:w="4225"/>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Informatique décisionnelle pour l'aide à la décision stratégique</w:t>
            </w:r>
          </w:p>
        </w:tc>
      </w:tr>
      <w:tr>
        <w:tc>
          <w:tcPr>
            <w:tcW w:type="dxa" w:w="148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CLE</w:t>
            </w:r>
          </w:p>
        </w:tc>
        <w:tc>
          <w:tcPr>
            <w:tcW w:type="dxa" w:w="296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Capacity Ledger Entry</w:t>
            </w:r>
          </w:p>
        </w:tc>
        <w:tc>
          <w:tcPr>
            <w:tcW w:type="dxa" w:w="4225"/>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Table DWH enregistrant les capacités et temps d'usinage machine</w:t>
            </w:r>
          </w:p>
        </w:tc>
      </w:tr>
      <w:tr>
        <w:tc>
          <w:tcPr>
            <w:tcW w:type="dxa" w:w="148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CRUD</w:t>
            </w:r>
          </w:p>
        </w:tc>
        <w:tc>
          <w:tcPr>
            <w:tcW w:type="dxa" w:w="296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Create, Read, Update, Delete</w:t>
            </w:r>
          </w:p>
        </w:tc>
        <w:tc>
          <w:tcPr>
            <w:tcW w:type="dxa" w:w="4225"/>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Ensemble des quatre opérations fondamentales de gestion des données</w:t>
            </w:r>
          </w:p>
        </w:tc>
      </w:tr>
      <w:tr>
        <w:tc>
          <w:tcPr>
            <w:tcW w:type="dxa" w:w="148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DWH</w:t>
            </w:r>
          </w:p>
        </w:tc>
        <w:tc>
          <w:tcPr>
            <w:tcW w:type="dxa" w:w="296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Data Warehouse</w:t>
            </w:r>
          </w:p>
        </w:tc>
        <w:tc>
          <w:tcPr>
            <w:tcW w:type="dxa" w:w="4225"/>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Entrepôt de données d'entreprise consolidé multi-sources</w:t>
            </w:r>
          </w:p>
        </w:tc>
      </w:tr>
      <w:tr>
        <w:tc>
          <w:tcPr>
            <w:tcW w:type="dxa" w:w="148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EDA</w:t>
            </w:r>
          </w:p>
        </w:tc>
        <w:tc>
          <w:tcPr>
            <w:tcW w:type="dxa" w:w="296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Exploratory Data Analysis</w:t>
            </w:r>
          </w:p>
        </w:tc>
        <w:tc>
          <w:tcPr>
            <w:tcW w:type="dxa" w:w="4225"/>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Analyse exploratoire et statistique des données d'atelier</w:t>
            </w:r>
          </w:p>
        </w:tc>
      </w:tr>
      <w:tr>
        <w:tc>
          <w:tcPr>
            <w:tcW w:type="dxa" w:w="148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ERP</w:t>
            </w:r>
          </w:p>
        </w:tc>
        <w:tc>
          <w:tcPr>
            <w:tcW w:type="dxa" w:w="296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Enterprise Resource Planning</w:t>
            </w:r>
          </w:p>
        </w:tc>
        <w:tc>
          <w:tcPr>
            <w:tcW w:type="dxa" w:w="4225"/>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Progiciel de gestion intégré d'entreprise Microsoft Dynamics NAV</w:t>
            </w:r>
          </w:p>
        </w:tc>
      </w:tr>
      <w:tr>
        <w:tc>
          <w:tcPr>
            <w:tcW w:type="dxa" w:w="148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ETL</w:t>
            </w:r>
          </w:p>
        </w:tc>
        <w:tc>
          <w:tcPr>
            <w:tcW w:type="dxa" w:w="296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Extract, Transform, Load</w:t>
            </w:r>
          </w:p>
        </w:tc>
        <w:tc>
          <w:tcPr>
            <w:tcW w:type="dxa" w:w="4225"/>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Pipeline d'extraction, transformation et chargement des données</w:t>
            </w:r>
          </w:p>
        </w:tc>
      </w:tr>
      <w:tr>
        <w:tc>
          <w:tcPr>
            <w:tcW w:type="dxa" w:w="148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FSM</w:t>
            </w:r>
          </w:p>
        </w:tc>
        <w:tc>
          <w:tcPr>
            <w:tcW w:type="dxa" w:w="296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Faculté des Sciences de Monastir</w:t>
            </w:r>
          </w:p>
        </w:tc>
        <w:tc>
          <w:tcPr>
            <w:tcW w:type="dxa" w:w="4225"/>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Établissement académique universitaire de rattachement</w:t>
            </w:r>
          </w:p>
        </w:tc>
      </w:tr>
      <w:tr>
        <w:tc>
          <w:tcPr>
            <w:tcW w:type="dxa" w:w="148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ILE</w:t>
            </w:r>
          </w:p>
        </w:tc>
        <w:tc>
          <w:tcPr>
            <w:tcW w:type="dxa" w:w="296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Item Ledger Entry</w:t>
            </w:r>
          </w:p>
        </w:tc>
        <w:tc>
          <w:tcPr>
            <w:tcW w:type="dxa" w:w="4225"/>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Table DWH comptabilisant les écritures réelles des mouvements de stock</w:t>
            </w:r>
          </w:p>
        </w:tc>
      </w:tr>
      <w:tr>
        <w:tc>
          <w:tcPr>
            <w:tcW w:type="dxa" w:w="148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IoT</w:t>
            </w:r>
          </w:p>
        </w:tc>
        <w:tc>
          <w:tcPr>
            <w:tcW w:type="dxa" w:w="296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Internet of Things</w:t>
            </w:r>
          </w:p>
        </w:tc>
        <w:tc>
          <w:tcPr>
            <w:tcW w:type="dxa" w:w="4225"/>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Internet des Objets industriels et capteurs connectés</w:t>
            </w:r>
          </w:p>
        </w:tc>
      </w:tr>
      <w:tr>
        <w:tc>
          <w:tcPr>
            <w:tcW w:type="dxa" w:w="148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JWT</w:t>
            </w:r>
          </w:p>
        </w:tc>
        <w:tc>
          <w:tcPr>
            <w:tcW w:type="dxa" w:w="296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JSON Web Token</w:t>
            </w:r>
          </w:p>
        </w:tc>
        <w:tc>
          <w:tcPr>
            <w:tcW w:type="dxa" w:w="4225"/>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Jeton cryptographique standard pour l'authentification sans état</w:t>
            </w:r>
          </w:p>
        </w:tc>
      </w:tr>
      <w:tr>
        <w:tc>
          <w:tcPr>
            <w:tcW w:type="dxa" w:w="148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KPI</w:t>
            </w:r>
          </w:p>
        </w:tc>
        <w:tc>
          <w:tcPr>
            <w:tcW w:type="dxa" w:w="296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Key Performance Indicator</w:t>
            </w:r>
          </w:p>
        </w:tc>
        <w:tc>
          <w:tcPr>
            <w:tcW w:type="dxa" w:w="4225"/>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Indicateur clé de performance opérationnelle d'atelier</w:t>
            </w:r>
          </w:p>
        </w:tc>
      </w:tr>
      <w:tr>
        <w:tc>
          <w:tcPr>
            <w:tcW w:type="dxa" w:w="148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MAE</w:t>
            </w:r>
          </w:p>
        </w:tc>
        <w:tc>
          <w:tcPr>
            <w:tcW w:type="dxa" w:w="296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Mean Absolute Error</w:t>
            </w:r>
          </w:p>
        </w:tc>
        <w:tc>
          <w:tcPr>
            <w:tcW w:type="dxa" w:w="4225"/>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Erreur absolue moyenne mesurée sur les prévisions</w:t>
            </w:r>
          </w:p>
        </w:tc>
      </w:tr>
      <w:tr>
        <w:tc>
          <w:tcPr>
            <w:tcW w:type="dxa" w:w="148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MAPE</w:t>
            </w:r>
          </w:p>
        </w:tc>
        <w:tc>
          <w:tcPr>
            <w:tcW w:type="dxa" w:w="296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Mean Absolute Percentage Error</w:t>
            </w:r>
          </w:p>
        </w:tc>
        <w:tc>
          <w:tcPr>
            <w:tcW w:type="dxa" w:w="4225"/>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Pourcentage d'erreur absolue moyen évaluant l'exactitude</w:t>
            </w:r>
          </w:p>
        </w:tc>
      </w:tr>
      <w:tr>
        <w:tc>
          <w:tcPr>
            <w:tcW w:type="dxa" w:w="148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MES</w:t>
            </w:r>
          </w:p>
        </w:tc>
        <w:tc>
          <w:tcPr>
            <w:tcW w:type="dxa" w:w="296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Manufacturing Execution System</w:t>
            </w:r>
          </w:p>
        </w:tc>
        <w:tc>
          <w:tcPr>
            <w:tcW w:type="dxa" w:w="4225"/>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Système de pilotage et d'exécution de la fabrication</w:t>
            </w:r>
          </w:p>
        </w:tc>
      </w:tr>
      <w:tr>
        <w:tc>
          <w:tcPr>
            <w:tcW w:type="dxa" w:w="148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OEE</w:t>
            </w:r>
          </w:p>
        </w:tc>
        <w:tc>
          <w:tcPr>
            <w:tcW w:type="dxa" w:w="296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Overall Equipment Effectiveness</w:t>
            </w:r>
          </w:p>
        </w:tc>
        <w:tc>
          <w:tcPr>
            <w:tcW w:type="dxa" w:w="4225"/>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Taux de Rendement Synthétique ou Taux de Rendement Global - TRG</w:t>
            </w:r>
          </w:p>
        </w:tc>
      </w:tr>
      <w:tr>
        <w:tc>
          <w:tcPr>
            <w:tcW w:type="dxa" w:w="148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OF</w:t>
            </w:r>
          </w:p>
        </w:tc>
        <w:tc>
          <w:tcPr>
            <w:tcW w:type="dxa" w:w="296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Ordre de Fabrication</w:t>
            </w:r>
          </w:p>
        </w:tc>
        <w:tc>
          <w:tcPr>
            <w:tcW w:type="dxa" w:w="4225"/>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Ordre de production planifié pour l'usinage d'une pièce</w:t>
            </w:r>
          </w:p>
        </w:tc>
      </w:tr>
      <w:tr>
        <w:tc>
          <w:tcPr>
            <w:tcW w:type="dxa" w:w="148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PO</w:t>
            </w:r>
          </w:p>
        </w:tc>
        <w:tc>
          <w:tcPr>
            <w:tcW w:type="dxa" w:w="296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Product Owner</w:t>
            </w:r>
          </w:p>
        </w:tc>
        <w:tc>
          <w:tcPr>
            <w:tcW w:type="dxa" w:w="4225"/>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Responsable du produit et de la valeur métier en méthodologie Scrum</w:t>
            </w:r>
          </w:p>
        </w:tc>
      </w:tr>
      <w:tr>
        <w:tc>
          <w:tcPr>
            <w:tcW w:type="dxa" w:w="148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RBAC</w:t>
            </w:r>
          </w:p>
        </w:tc>
        <w:tc>
          <w:tcPr>
            <w:tcW w:type="dxa" w:w="296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Role-Based Access Control</w:t>
            </w:r>
          </w:p>
        </w:tc>
        <w:tc>
          <w:tcPr>
            <w:tcW w:type="dxa" w:w="4225"/>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Contrôle d'accès basé sur les rôles : Administrateur, Manager, Opérateur</w:t>
            </w:r>
          </w:p>
        </w:tc>
      </w:tr>
      <w:tr>
        <w:tc>
          <w:tcPr>
            <w:tcW w:type="dxa" w:w="148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REST</w:t>
            </w:r>
          </w:p>
        </w:tc>
        <w:tc>
          <w:tcPr>
            <w:tcW w:type="dxa" w:w="296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Representational State Transfer</w:t>
            </w:r>
          </w:p>
        </w:tc>
        <w:tc>
          <w:tcPr>
            <w:tcW w:type="dxa" w:w="4225"/>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Style d'architecture logicielle pour les services web distribués</w:t>
            </w:r>
          </w:p>
        </w:tc>
      </w:tr>
      <w:tr>
        <w:tc>
          <w:tcPr>
            <w:tcW w:type="dxa" w:w="148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RMSE</w:t>
            </w:r>
          </w:p>
        </w:tc>
        <w:tc>
          <w:tcPr>
            <w:tcW w:type="dxa" w:w="296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Root Mean Squared Error</w:t>
            </w:r>
          </w:p>
        </w:tc>
        <w:tc>
          <w:tcPr>
            <w:tcW w:type="dxa" w:w="4225"/>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Racine carrée de l'erreur quadratique moyenne</w:t>
            </w:r>
          </w:p>
        </w:tc>
      </w:tr>
      <w:tr>
        <w:tc>
          <w:tcPr>
            <w:tcW w:type="dxa" w:w="148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SM</w:t>
            </w:r>
          </w:p>
        </w:tc>
        <w:tc>
          <w:tcPr>
            <w:tcW w:type="dxa" w:w="296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Scrum Master</w:t>
            </w:r>
          </w:p>
        </w:tc>
        <w:tc>
          <w:tcPr>
            <w:tcW w:type="dxa" w:w="4225"/>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Facilitateur et garant du cadre méthodologique agile Scrum</w:t>
            </w:r>
          </w:p>
        </w:tc>
      </w:tr>
      <w:tr>
        <w:tc>
          <w:tcPr>
            <w:tcW w:type="dxa" w:w="148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SPA</w:t>
            </w:r>
          </w:p>
        </w:tc>
        <w:tc>
          <w:tcPr>
            <w:tcW w:type="dxa" w:w="296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Single-Page Application</w:t>
            </w:r>
          </w:p>
        </w:tc>
        <w:tc>
          <w:tcPr>
            <w:tcW w:type="dxa" w:w="4225"/>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Application web monopage réactive sans rechargement de page</w:t>
            </w:r>
          </w:p>
        </w:tc>
      </w:tr>
      <w:tr>
        <w:tc>
          <w:tcPr>
            <w:tcW w:type="dxa" w:w="148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SQL</w:t>
            </w:r>
          </w:p>
        </w:tc>
        <w:tc>
          <w:tcPr>
            <w:tcW w:type="dxa" w:w="296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Structured Query Language</w:t>
            </w:r>
          </w:p>
        </w:tc>
        <w:tc>
          <w:tcPr>
            <w:tcW w:type="dxa" w:w="4225"/>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Langage standard de requêtage pour bases de données relationnelles</w:t>
            </w:r>
          </w:p>
        </w:tc>
      </w:tr>
      <w:tr>
        <w:tc>
          <w:tcPr>
            <w:tcW w:type="dxa" w:w="148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TRG</w:t>
            </w:r>
          </w:p>
        </w:tc>
        <w:tc>
          <w:tcPr>
            <w:tcW w:type="dxa" w:w="296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Taux de Rendement Global</w:t>
            </w:r>
          </w:p>
        </w:tc>
        <w:tc>
          <w:tcPr>
            <w:tcW w:type="dxa" w:w="4225"/>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Métrique industrielle agrégeant Disponibilité × Efficacité × Qualité</w:t>
            </w:r>
          </w:p>
        </w:tc>
      </w:tr>
      <w:tr>
        <w:tc>
          <w:tcPr>
            <w:tcW w:type="dxa" w:w="148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UML</w:t>
            </w:r>
          </w:p>
        </w:tc>
        <w:tc>
          <w:tcPr>
            <w:tcW w:type="dxa" w:w="296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Unified Modeling Language</w:t>
            </w:r>
          </w:p>
        </w:tc>
        <w:tc>
          <w:tcPr>
            <w:tcW w:type="dxa" w:w="4225"/>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Langage standard de modélisation unifié</w:t>
            </w:r>
          </w:p>
        </w:tc>
      </w:tr>
      <w:tr>
        <w:tc>
          <w:tcPr>
            <w:tcW w:type="dxa" w:w="148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w:t>
            </w:r>
          </w:p>
        </w:tc>
        <w:tc>
          <w:tcPr>
            <w:tcW w:type="dxa" w:w="296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User Story</w:t>
            </w:r>
          </w:p>
        </w:tc>
        <w:tc>
          <w:tcPr>
            <w:tcW w:type="dxa" w:w="4225"/>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Récit utilisateur décrivant un besoin fonctionnel standardisé</w:t>
            </w:r>
          </w:p>
        </w:tc>
      </w:tr>
    </w:tbl>
    <w:p>
      <w:pPr>
        <w:sectPr>
          <w:footerReference w:type="default" r:id="rId9"/>
          <w:pgSz w:w="11906" w:h="16838" w:orient="portrait"/>
          <w:pgMar w:top="1440" w:right="1440" w:bottom="1440" w:left="1800" w:header="708" w:footer="708" w:gutter="0"/>
          <w:pgNumType w:start="1" w:fmt="lowerRoman"/>
          <w:docGrid w:linePitch="360"/>
        </w:sectPr>
      </w:pPr>
    </w:p>
    <w:p>
      <w:pPr>
        <w:pStyle w:val="Heading1"/>
        <w:pBdr>
          <w:bottom w:val="single" w:color="000000" w:sz="6" w:space="4"/>
        </w:pBdr>
        <w:spacing w:after="140" w:before="260"/>
        <w:outlineLvl w:val="0"/>
      </w:pPr>
      <w:r>
        <w:rPr>
          <w:rFonts w:ascii="Times New Roman" w:cs="Times New Roman" w:eastAsia="Times New Roman" w:hAnsi="Times New Roman"/>
          <w:b/>
          <w:bCs/>
          <w:caps/>
          <w:color w:val="000000"/>
          <w:sz w:val="34"/>
          <w:szCs w:val="34"/>
        </w:rPr>
        <w:t xml:space="preserve">Introduction Générale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L'avènement de l'Industrie 4.0 et l'automatisation avancée des flux d'atelier transforment radicalement le secteur de la plasturgie automobile. Dans un marché mondial hautement concurrentiel caractérisé par des tolérances strictes de fabrication et des délais de livraison tendus (juste-à-temps), les équipementiers de premier rang (Tier-1) ne peuvent plus se contenter d'une gestion réactive de leur appareil productif. La maîtrise globale de la chaîne de valeur requiert une visibilité instantanée sur les lignes de fabrication, l'optimisation continue du Taux de Rendement Global (TRG/OEE) des presses à injecter et une anticipation mathématique des besoins en matières premières.</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Au cœur de ce défi industriel, la dispersion des sources d'information constitue un écueil récurrent. Bien que disposant d'un entrepôt de données d'entreprise alimenté par l'ERP Microsoft Dynamics NAV, l'entreprise d'accueil — opérant sur plusieurs usines stratégiques à Kondar et Sousse (Tunisie) ainsi qu'à Brno (République Tchèque) — souffrait d'un cloisonnement prononcé entre la gestion des stocks, la planification des ordres d'atelier et l'analyse décisionnelle. Avec un parc de 319 machines industrielles et un flux transactionnel excédant 1,5 million de mouvements de stock, le recours persistant à des fiches suiveuses papier et à des classeurs Excel disséminés engendrait des retards chroniques de consolidation, des temps d'arrêt non tracés et des ruptures de matières nobles coûteuses.</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répondre de manière concrète et pérenne à cette problématique, le présent projet de fin d'études a consisté à concevoir et développer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Nexora</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une plateforme logicielle unifiée combinant l'ingénierie web moderne, l'audit approfondi de données massives et la puissance de l'Intelligence Artificielle prédictive et prescriptive. Nexora poursuit cinq objectifs fondamentaux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Centralisation et assainissement des données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fédérer les 83 tables relationnelles du Data Warehouse, fiabiliser les données d'atelier (production, inventaires et mouvements de stock) et optimiser les temps d'accès aux historiques massifs grâce à une indexation clusterisée de pointe.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Suivi temps réel et supervision de production</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suivre en direct l'état des machines d'injection et de soudure laser, calculer instantanément le taux TRG et ordonnancer les Ordres de Fabrication.</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Gestion dynamique des stocks et classification ABC</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automatiser l'analyse de Pareto sur les références d'articles, identifier les ruptures critiques (&lt; 5 pièces) et proposer des transferts inter-usines équilibrés.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Modélisation prédictive des séries temporelles (Prophet)</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projeter à 30 jours les cadences d'atelier et la consommation matière avec calcul d'intervalles de confiance rigoureux à 95 %.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Aide à la décision et Business Intelligence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déployer des tableaux de bord interactifs sous Microsoft Power BI permettant aux décideurs d'analyser la performance d'atelier, de calibrer les équipes (régime 3x8) et d'optimiser la gestion des approvisionnements.</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mener à bien ce projet d'envergure, nous avons adopté la méthodologie Agile Scrum, organisée en un Sprint 0 préparatoire suivi de quatre sprints de développement d'une durée de 4 semaines chacun. Conformément à la démarche de recherche appliquée, ce mémoire est structuré en six chapitres canoniques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Chapitre 1 : Contexte et Cadre Général du Projet</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Présente l'organisme d'accueil, le diagnostic de l'existant d'atelier, l'étude comparative des solutions du marché, la méthodologie Scrum adoptée et le backlog produit initial.</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Chapitre 2 : Sprint 0 – Analyse des Besoins et Conception du Système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Formalise les acteurs, les exigences fonctionnelles et non fonctionnelles, l'architecture à 4 niveaux et l'environnement technologique.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Chapitre 3 : Sprint 1 – Audit du Data Warehouse, Assainissement &amp; Pipeline ETL</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Expose l'analyse exploratoire des données (EDA), la mise en place du pipeline ETL, l'optimisation des index SQL Server et la couche de sécurité RBAC / JWT.</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Chapitre 4 : Sprint 2 – Modélisation Prédictive de Production et Détection d'Anomalies par Intelligence Artificielle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Développe l'étude théorique comparative des séries temporelles, le benchmark expérimental (Régression Linéaire, ARIMA, Prophet), la détection d'anomalies par Isolation Forest et le microservice d'inférence sous FastAPI.</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Chapitre 5 : Sprint 3 – Développement du Module de Gestion Intelligente des Stocks d'Atelier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Détaille l'intégration des prévisions Prophet, la classification des articles en 4 statuts de stock, la segmentation ABC/Pareto, le clustering K-Means et le moteur prescriptif de réapprovisionnement d'atelier.</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Chapitre 6 : Sprint 4 – Tableaux de Bord Décisionnels et Validation Système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Présente la conception des interfaces utilisateur Metronic 8, la mise en œuvre des rapports décisionnels Microsoft Power BI et la recette globale du système.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Enfin, une conclusion générale dresse le bilan chiffré des résultats obtenus, analyse les difficultés surmontées et esquisse les perspectives d'évolution vers l'Internet des Objets (IoT) et le Deep Learning industriel.</w:t>
      </w:r>
    </w:p>
    <w:p>
      <w:pPr>
        <w:spacing w:after="0" w:before="0"/>
      </w:pPr>
      <w:r>
        <w:br w:type="page"/>
      </w:r>
    </w:p>
    <w:p>
      <w:pPr>
        <w:pStyle w:val="Heading1"/>
        <w:pageBreakBefore/>
        <w:pBdr>
          <w:bottom w:val="single" w:color="000000" w:sz="6" w:space="4"/>
        </w:pBdr>
        <w:spacing w:after="140" w:before="260"/>
        <w:outlineLvl w:val="0"/>
      </w:pPr>
      <w:r>
        <w:rPr>
          <w:rFonts w:ascii="Times New Roman" w:cs="Times New Roman" w:eastAsia="Times New Roman" w:hAnsi="Times New Roman"/>
          <w:b/>
          <w:bCs/>
          <w:caps/>
          <w:color w:val="000000"/>
          <w:sz w:val="34"/>
          <w:szCs w:val="34"/>
        </w:rPr>
        <w:t xml:space="preserve">Chapitre 1 : Contexte et Cadre Général du Projet</w:t>
      </w:r>
    </w:p>
    <w:p>
      <w:pPr>
        <w:pStyle w:val="Heading2"/>
        <w:spacing w:after="90" w:before="200"/>
        <w:outlineLvl w:val="1"/>
      </w:pPr>
      <w:r>
        <w:rPr>
          <w:rFonts w:ascii="Times New Roman" w:cs="Times New Roman" w:eastAsia="Times New Roman" w:hAnsi="Times New Roman"/>
          <w:b/>
          <w:bCs/>
          <w:color w:val="000000"/>
          <w:sz w:val="28"/>
          <w:szCs w:val="28"/>
        </w:rPr>
        <w:t xml:space="preserve">1.1 Introduction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premier chapitre pose les bases académiques et industrielles de notre travail. Nous y introduisons l'organisme d'accueil, son envergure internationale dans le domaine de la plasturgie automobile et ses spécificités organisationnelles multi-sites. Nous dressons ensuite une étude critique rigoureuse des pratiques existantes dans les ateliers de fabrication afin d'en cerner les failles opérationnelles. Enfin, nous explicitons la solution cible Nexora, justifions le choix de la méthodologie Agile Scrum et définissons le Product Backlog directeur de la réalisation.</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1.2 Cadre du Projet</w:t>
      </w:r>
    </w:p>
    <w:p>
      <w:pPr>
        <w:pStyle w:val="Heading3"/>
        <w:spacing w:after="70" w:before="140"/>
        <w:outlineLvl w:val="2"/>
      </w:pPr>
      <w:r>
        <w:rPr>
          <w:rFonts w:ascii="Times New Roman" w:cs="Times New Roman" w:eastAsia="Times New Roman" w:hAnsi="Times New Roman"/>
          <w:b/>
          <w:bCs/>
          <w:color w:val="000000"/>
          <w:sz w:val="24"/>
          <w:szCs w:val="24"/>
        </w:rPr>
        <w:t xml:space="preserve">1.2.1 Cadre Académique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travail s'inscrit dans le cadre du projet de fin d'études pour l'obtention du diplôme de Mastère Professionnel en Science des Données (Data Science) délivré par la Faculté des Sciences de Monastir (Université de Monastir, Tunisie). Il vise à concrétiser l'alliance entre les disciplines avancées de l'apprentissage automatique (Machine Learning, séries temporelles), l'ingénierie du logiciel d'entreprise (Spring Boot, React, FastAPI) et l'architecture des entrepôts de données massives (Data Warehouse SQL Server).</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1.2.2 Présentation de l'Organisme d'Accueil</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projet a été réalisé au sein d'un groupe industriel international d'équipementier automobile de rang 1 (Tier-1), spécialisé dans la transformation thermoplastique de haute précision, le moulage par injection technique et l'assemblage de sous-ensembles automobiles complexes. L'entreprise fournit directement les principaux constructeurs et intégrateurs mondiaux : Valeo, Bosch, Delphi/Aptiv, Continental, Porsche, Mann+Hummel, Renault/Nissan, Nexteer et YAPP.</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L'appareil productif repose sur une implantation industrielle multi-sites hautement complémentaire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Sites de Tunisie (Usines de Kondar et Sousse)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regroupent les halls majeurs d'injection thermoplastique lourde (TN1-INJE, TN2-INJ) et les lignes d'assemblage dédiées aux pièces de sécurité (TN1-ASSE, TN2-ASSE), notamment les réservoirs SCR d'AdBlue, les modules d'admission d'air et les flotteurs de carburant.</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Site de République Tchèque (Usine de Brno - CZ1)</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pôle d'excellence dédié aux technologies d'assemblage automatisé, au moulage de précision (CZM), au contrôle qualité optique (CZQ) et aux lignes de soudure laser robotisée (CZA).</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1.2.3 Fiche d'Identité de l'Entreprise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1.1 résume les caractéristiques clés de l'environnement industriel au sein duquel s'est déroulé notre stage de fin d'études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3400"/>
        <w:gridCol w:w="5266"/>
      </w:tblGrid>
      <w:tr>
        <w:trPr>
          <w:tblHeader/>
        </w:trPr>
        <w:tc>
          <w:tcPr>
            <w:tcW w:type="dxa" w:w="3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Caractéristique</w:t>
            </w:r>
          </w:p>
        </w:tc>
        <w:tc>
          <w:tcPr>
            <w:tcW w:type="dxa" w:w="52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Détail de l'entreprise d'accueil</w:t>
            </w:r>
          </w:p>
        </w:tc>
      </w:tr>
      <w:tr>
        <w:tc>
          <w:tcPr>
            <w:tcW w:type="dxa" w:w="3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Secteur d'activité</w:t>
            </w:r>
          </w:p>
        </w:tc>
        <w:tc>
          <w:tcPr>
            <w:tcW w:type="dxa" w:w="52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Industrie Automobile (Équipementier Tier-1) – Injection Thermoplastique &amp; Assemblage</w:t>
            </w:r>
          </w:p>
        </w:tc>
      </w:tr>
      <w:tr>
        <w:tc>
          <w:tcPr>
            <w:tcW w:type="dxa" w:w="3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Sites de production</w:t>
            </w:r>
          </w:p>
        </w:tc>
        <w:tc>
          <w:tcPr>
            <w:tcW w:type="dxa" w:w="5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Tunisie (Usines de Kondar et Sousse) &amp; République Tchèque (Usine de Brno - CZ1)</w:t>
            </w:r>
          </w:p>
        </w:tc>
      </w:tr>
      <w:tr>
        <w:tc>
          <w:tcPr>
            <w:tcW w:type="dxa" w:w="3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Principaux donneurs d'ordre</w:t>
            </w:r>
          </w:p>
        </w:tc>
        <w:tc>
          <w:tcPr>
            <w:tcW w:type="dxa" w:w="52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Valeo, Bosch, Delphi/Aptiv, Continental, Porsche, Renault, Nexteer, Mann+Hummel</w:t>
            </w:r>
          </w:p>
        </w:tc>
      </w:tr>
      <w:tr>
        <w:tc>
          <w:tcPr>
            <w:tcW w:type="dxa" w:w="3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Système d'Information</w:t>
            </w:r>
          </w:p>
        </w:tc>
        <w:tc>
          <w:tcPr>
            <w:tcW w:type="dxa" w:w="5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ERP Microsoft Dynamics NAV (Navision), Entrepôt de Données SQL Server</w:t>
            </w:r>
          </w:p>
        </w:tc>
      </w:tr>
      <w:tr>
        <w:tc>
          <w:tcPr>
            <w:tcW w:type="dxa" w:w="3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Parc Machines Supervisé</w:t>
            </w:r>
          </w:p>
        </w:tc>
        <w:tc>
          <w:tcPr>
            <w:tcW w:type="dxa" w:w="52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319 machines réelles configurées dans le DWH (dont 108 presses et cellules critiques)</w:t>
            </w:r>
          </w:p>
        </w:tc>
      </w:tr>
      <w:tr>
        <w:tc>
          <w:tcPr>
            <w:tcW w:type="dxa" w:w="3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Volumétrie Données DWH</w:t>
            </w:r>
          </w:p>
        </w:tc>
        <w:tc>
          <w:tcPr>
            <w:tcW w:type="dxa" w:w="5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Plus de 3,2 millions d'enregistrements (1.5M ILE, 876k CLE, 814k Stock journalier)</w:t>
            </w:r>
          </w:p>
        </w:tc>
      </w:tr>
      <w:tr>
        <w:tc>
          <w:tcPr>
            <w:tcW w:type="dxa" w:w="3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Technologies retenues</w:t>
            </w:r>
          </w:p>
        </w:tc>
        <w:tc>
          <w:tcPr>
            <w:tcW w:type="dxa" w:w="52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Spring Boot 3, React Metronic 8, FastAPI Python, SQL Server, Prophet, Power BI</w:t>
            </w:r>
          </w:p>
        </w:tc>
      </w:tr>
    </w:tbl>
    <w:p>
      <w:pPr>
        <w:spacing w:after="120" w:before="80"/>
        <w:jc w:val="center"/>
      </w:pPr>
      <w:r>
        <w:rPr>
          <w:rFonts w:ascii="Times New Roman" w:cs="Times New Roman" w:eastAsia="Times New Roman" w:hAnsi="Times New Roman"/>
          <w:i/>
          <w:iCs/>
          <w:color w:val="595959"/>
          <w:sz w:val="20"/>
          <w:szCs w:val="20"/>
        </w:rPr>
        <w:t xml:space="preserve">Tableau 1.1 : Fiche d'identité de l'organisme d'accueil</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1.2.4 Organisation Industrielle et Parcs Machines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L'infrastructure matérielle de l'entreprise se distingue par un parc diversifié de machines de haute technologie réparties en centres de charge (</w:t>
      </w:r>
      <w:r>
        <w:rPr>
          <w:rFonts w:ascii="Times New Roman" w:cs="Times New Roman" w:eastAsia="Times New Roman" w:hAnsi="Times New Roman"/>
          <w:b w:val="false"/>
          <w:bCs w:val="false"/>
          <w:i/>
          <w:iCs/>
          <w:color w:val="1A1A1A"/>
          <w:sz w:val="24"/>
          <w:szCs w:val="24"/>
        </w:rPr>
        <w:t xml:space="preserve">Work Centers</w:t>
      </w:r>
      <w:r>
        <w:rPr>
          <w:rFonts w:ascii="Times New Roman" w:cs="Times New Roman" w:eastAsia="Times New Roman" w:hAnsi="Times New Roman"/>
          <w:b w:val="false"/>
          <w:bCs w:val="false"/>
          <w:i w:val="false"/>
          <w:iCs w:val="false"/>
          <w:color w:val="1A1A1A"/>
          <w:sz w:val="24"/>
          <w:szCs w:val="24"/>
        </w:rPr>
        <w:t xml:space="preserve"> et </w:t>
      </w:r>
      <w:r>
        <w:rPr>
          <w:rFonts w:ascii="Times New Roman" w:cs="Times New Roman" w:eastAsia="Times New Roman" w:hAnsi="Times New Roman"/>
          <w:b w:val="false"/>
          <w:bCs w:val="false"/>
          <w:i/>
          <w:iCs/>
          <w:color w:val="1A1A1A"/>
          <w:sz w:val="24"/>
          <w:szCs w:val="24"/>
        </w:rPr>
        <w:t xml:space="preserve">Machine Centers</w:t>
      </w:r>
      <w:r>
        <w:rPr>
          <w:rFonts w:ascii="Times New Roman" w:cs="Times New Roman" w:eastAsia="Times New Roman" w:hAnsi="Times New Roman"/>
          <w:b w:val="false"/>
          <w:bCs w:val="false"/>
          <w:i w:val="false"/>
          <w:iCs w:val="false"/>
          <w:color w:val="1A1A1A"/>
          <w:sz w:val="24"/>
          <w:szCs w:val="24"/>
        </w:rPr>
        <w:t xml:space="preserve">) configurés au sein de l'ERP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Presses à injecter thermoplastiques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48 presses robotisées de fort et moyen tonnage (Demag Systec de 50T à 420T, Arburg Allrounder de 50T à 500T, Billion Select de 150T à 320T, et presses verticales Engel) assurant la transformation des polymères techniques (PA66, PBT, POM, Polypropylène chargé fibre de verre).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Cellules robotisées de soudure laser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robots de soudure Inautec (Inautec 1 à 7) réalisant l'assemblage hermétique des réservoirs plastiques sous atmosphère contrôlée.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Bancs de test et d'assurance qualité</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bancs d'éclatement hydraulique et bancs d'étanchéité haute pression Huber Suhner garantissant une traçabilité unitaire zéro défaut.</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1.3 Étude et Critique de l'Existant</w:t>
      </w:r>
    </w:p>
    <w:p>
      <w:pPr>
        <w:pStyle w:val="Heading3"/>
        <w:spacing w:after="70" w:before="140"/>
        <w:outlineLvl w:val="2"/>
      </w:pPr>
      <w:r>
        <w:rPr>
          <w:rFonts w:ascii="Times New Roman" w:cs="Times New Roman" w:eastAsia="Times New Roman" w:hAnsi="Times New Roman"/>
          <w:b/>
          <w:bCs/>
          <w:color w:val="000000"/>
          <w:sz w:val="24"/>
          <w:szCs w:val="24"/>
        </w:rPr>
        <w:t xml:space="preserve">1.3.1 Diagnostic de l'Existant d'Atelier</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Une immersion prolongée au sein des ateliers de fabrication et des magasins de stockage a révélé plusieurs ruptures méthodologiques et techniques freinant la productivité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Saisie manuelle sur fiches suiveuses papier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 lancement des ordres de fabrication, l'enregistrement des pièces conformes et des rebuts s'effectuaient sur papier par les chefs d'équipe, avant d'être ressaisis de manière différée dans l'ERP avec plusieurs heures voire jours de retard.</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Calcul manuel et décalé du TRG/OEE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les indicateurs d'efficacité machine étaient calculés a posteriori en fin de mois sur des tableurs Excel, interdisant toute réaction immédiate en cas de dérive de cadence ou de micro-arrêts répétés.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Absence d'anticipation des stocks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la gestion d'inventaire reposait sur des constats visuels périodiques. Les réapprovisionnements étaient déclenchés en urgence lors de l'atteinte d'un niveau critique, générant des arrêts de presse imprévus.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Déconnexion entre l'ERP et les opérateurs d'atelier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l'interface complexe de Microsoft Dynamics NAV était réservée aux planificateurs administratifs, privant les opérateurs d'une interface visuelle adaptée à leurs besoins quotidiens.</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1.3.2 Étude Comparative des Solutions du Marché</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Afin de cadrer la valeur ajoutée du développement interne d'une plateforme dédiée par rapport aux offres logicielles commerciales, nous avons réalisé une étude comparative approfondie synthétisée dans le tableau 1.2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2000"/>
        <w:gridCol w:w="2066"/>
      </w:tblGrid>
      <w:tr>
        <w:trPr>
          <w:tblHeader/>
        </w:trPr>
        <w:tc>
          <w:tcPr>
            <w:tcW w:type="dxa" w:w="2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Critère d'évaluation</w:t>
            </w:r>
          </w:p>
        </w:tc>
        <w:tc>
          <w:tcPr>
            <w:tcW w:type="dxa" w:w="2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Progiciels MES / ERP Lourds (SAP, Siemens Opcenter)</w:t>
            </w:r>
          </w:p>
        </w:tc>
        <w:tc>
          <w:tcPr>
            <w:tcW w:type="dxa" w:w="20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Solutions Maison Tableurs (Excel / Access)</w:t>
            </w:r>
          </w:p>
        </w:tc>
        <w:tc>
          <w:tcPr>
            <w:tcW w:type="dxa" w:w="20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Plateforme Cible Nexora</w:t>
            </w:r>
          </w:p>
        </w:tc>
      </w:tr>
      <w:tr>
        <w:tc>
          <w:tcPr>
            <w:tcW w:type="dxa" w:w="2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Suivi TRG en temps réel</w:t>
            </w:r>
          </w:p>
        </w:tc>
        <w:tc>
          <w:tcPr>
            <w:tcW w:type="dxa" w:w="2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Oui (Très complet mais complexe)</w:t>
            </w:r>
          </w:p>
        </w:tc>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Non (Saisies manuelles après coup)</w:t>
            </w:r>
          </w:p>
        </w:tc>
        <w:tc>
          <w:tcPr>
            <w:tcW w:type="dxa" w:w="20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Oui (Calcul dynamique automatique par machine)</w:t>
            </w:r>
          </w:p>
        </w:tc>
      </w:tr>
      <w:tr>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Modélisation prédictive IA</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option très onéreuse</w:t>
            </w:r>
          </w:p>
        </w:tc>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Non (Aucune capacité de Machine Learning)</w:t>
            </w:r>
          </w:p>
        </w:tc>
        <w:tc>
          <w:tcPr>
            <w:tcW w:type="dxa" w:w="20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Oui (Intégration native du modèle Prophet)</w:t>
            </w:r>
          </w:p>
        </w:tc>
      </w:tr>
      <w:tr>
        <w:tc>
          <w:tcPr>
            <w:tcW w:type="dxa" w:w="2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Tableaux de bord BI intégrés</w:t>
            </w:r>
          </w:p>
        </w:tc>
        <w:tc>
          <w:tcPr>
            <w:tcW w:type="dxa" w:w="2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option payante et complexe</w:t>
            </w:r>
          </w:p>
        </w:tc>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Limité à des graphiques statiques</w:t>
            </w:r>
          </w:p>
        </w:tc>
        <w:tc>
          <w:tcPr>
            <w:tcW w:type="dxa" w:w="20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Oui (Tableaux de bord interactifs Power BI et métriques en temps réel)</w:t>
            </w:r>
          </w:p>
        </w:tc>
      </w:tr>
      <w:tr>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Ergonomie et convivialité</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Faible (Interface lourde et austère)</w:t>
            </w:r>
          </w:p>
        </w:tc>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Rudimentaire et propice aux erreurs</w:t>
            </w:r>
          </w:p>
        </w:tc>
        <w:tc>
          <w:tcPr>
            <w:tcW w:type="dxa" w:w="20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Excellente (Design system réactif Metronic 8)</w:t>
            </w:r>
          </w:p>
        </w:tc>
      </w:tr>
      <w:tr>
        <w:tc>
          <w:tcPr>
            <w:tcW w:type="dxa" w:w="2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Connexion directe DWH</w:t>
            </w:r>
          </w:p>
        </w:tc>
        <w:tc>
          <w:tcPr>
            <w:tcW w:type="dxa" w:w="2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Nécessite des connecteurs propriétaires</w:t>
            </w:r>
          </w:p>
        </w:tc>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Connexion instable (ODBC limité)</w:t>
            </w:r>
          </w:p>
        </w:tc>
        <w:tc>
          <w:tcPr>
            <w:tcW w:type="dxa" w:w="20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Native (Spring Boot JPA + SQL Server)</w:t>
            </w:r>
          </w:p>
        </w:tc>
      </w:tr>
      <w:tr>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Coût global de possession</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Prohibitif (Licences annuelles + intégrateurs)</w:t>
            </w:r>
          </w:p>
        </w:tc>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Faible mais coût caché élevé en pannes</w:t>
            </w:r>
          </w:p>
        </w:tc>
        <w:tc>
          <w:tcPr>
            <w:tcW w:type="dxa" w:w="20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Maîtrisé (Socle open-source d'entreprise)</w:t>
            </w:r>
          </w:p>
        </w:tc>
      </w:tr>
    </w:tbl>
    <w:p>
      <w:pPr>
        <w:spacing w:after="120" w:before="80"/>
        <w:jc w:val="center"/>
      </w:pPr>
      <w:r>
        <w:rPr>
          <w:rFonts w:ascii="Times New Roman" w:cs="Times New Roman" w:eastAsia="Times New Roman" w:hAnsi="Times New Roman"/>
          <w:i/>
          <w:iCs/>
          <w:color w:val="595959"/>
          <w:sz w:val="20"/>
          <w:szCs w:val="20"/>
        </w:rPr>
        <w:t xml:space="preserve">Tableau 1.2 : Étude comparative des solutions du marché</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1.3.3 Problématique Spécifique : Silos de données et manque de réactivité</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L'analyse met en exergue le problème fondamental des silos de données. L'entreprise stockait dans son Data Warehouse des millions de lignes de données brutes de production et de mouvements d'articles, mais ne disposait d'aucun mécanisme décisionnel automatisé pour exploiter cette richesse historique. Les décisions d'approvisionnement et de planification restaient empiriques, exposant l'atelier au double risque du surstockage d'articles obsolètes et de la rupture brutale sur des composants critiques.</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1.4 Solution Proposée</w:t>
      </w:r>
    </w:p>
    <w:p>
      <w:pPr>
        <w:pStyle w:val="Heading3"/>
        <w:spacing w:after="70" w:before="140"/>
        <w:outlineLvl w:val="2"/>
      </w:pPr>
      <w:r>
        <w:rPr>
          <w:rFonts w:ascii="Times New Roman" w:cs="Times New Roman" w:eastAsia="Times New Roman" w:hAnsi="Times New Roman"/>
          <w:b/>
          <w:bCs/>
          <w:color w:val="000000"/>
          <w:sz w:val="24"/>
          <w:szCs w:val="24"/>
        </w:rPr>
        <w:t xml:space="preserve">1.4.1 Objectifs de la Plateforme Nexora</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transcender ces limites, le projet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Nexora</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vise à délivrer une plateforme intégrée dotée des capacités suivantes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Unifier l'accès aux données de production et de stock sous un socle applicatif moderne et hautement sécurisé.</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Fournir aux managers une visibilité en direct sur les 319 machines avec calcul instantané du TRG et alertes d'arrêt.</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Exploiter l'historique DWH par un pipeline d'IA prédictive anticipant la charge d'atelier et les besoins de composants.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Fournir un système prescriptif automatisant les recommandations d'approvisionnement et le rééquilibrage de stock inter-usines.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Offrir une suite de tableaux de bord décisionnels Power BI pour le pilotage exécutif de la direction industrielle.</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1.4.2 Workflow Fonctionnel Global de Bout en Bout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fonctionnement global de Nexora s'articule autour d'un flux continu reliant le terrain à la décision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1. Ingestion et actualisation DWH</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extraction continue des ordres de fabrication et des mouvements de stock depuis la base SQL Server.</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2. Supervision opérationnelle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calcul automatique des cadences par machine, détection des arrêts non justifiés et mise à jour dynamique du TRG sur l'interface Metronic 8.</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3. Inférence prédictive Machine Learning</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 microservice FastAPI charge les séries chronologiques, applique Prophet et transmet les prévisions à 30 jours et les intervalles d'incertitude.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4. Recommandations prescriptives &amp; Reporting décisionnel</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analyse des projections pour déduire les points de commande, équilibrer les plannings d'équipes 3x8 et alimenter les tableaux de bord Power BI.</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1.5 Méthodologie de Développement Adoptée</w:t>
      </w:r>
    </w:p>
    <w:p>
      <w:pPr>
        <w:pStyle w:val="Heading3"/>
        <w:spacing w:after="70" w:before="140"/>
        <w:outlineLvl w:val="2"/>
      </w:pPr>
      <w:r>
        <w:rPr>
          <w:rFonts w:ascii="Times New Roman" w:cs="Times New Roman" w:eastAsia="Times New Roman" w:hAnsi="Times New Roman"/>
          <w:b/>
          <w:bCs/>
          <w:color w:val="000000"/>
          <w:sz w:val="24"/>
          <w:szCs w:val="24"/>
        </w:rPr>
        <w:t xml:space="preserve">1.5.1 Étude Comparative des Méthodologies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1.3 compare les méthodologies de conduite de projet logiciel afin de motiver notre sélection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2100"/>
        <w:gridCol w:w="2066"/>
      </w:tblGrid>
      <w:tr>
        <w:trPr>
          <w:tblHeader/>
        </w:trPr>
        <w:tc>
          <w:tcPr>
            <w:tcW w:type="dxa" w:w="2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Critère</w:t>
            </w:r>
          </w:p>
        </w:tc>
        <w:tc>
          <w:tcPr>
            <w:tcW w:type="dxa" w:w="21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Cycle en Cascade (Waterfall)</w:t>
            </w:r>
          </w:p>
        </w:tc>
        <w:tc>
          <w:tcPr>
            <w:tcW w:type="dxa" w:w="21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Processus Unifié (UP)</w:t>
            </w:r>
          </w:p>
        </w:tc>
        <w:tc>
          <w:tcPr>
            <w:tcW w:type="dxa" w:w="20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Agile Scrum (Méthode Retenue)</w:t>
            </w:r>
          </w:p>
        </w:tc>
      </w:tr>
      <w:tr>
        <w:tc>
          <w:tcPr>
            <w:tcW w:type="dxa" w:w="2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Flexibilité aux changements</w:t>
            </w:r>
          </w:p>
        </w:tc>
        <w:tc>
          <w:tcPr>
            <w:tcW w:type="dxa" w:w="21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Très faible (Spécifications rigides)</w:t>
            </w:r>
          </w:p>
        </w:tc>
        <w:tc>
          <w:tcPr>
            <w:tcW w:type="dxa" w:w="21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 (Par phases d'élaboration)</w:t>
            </w:r>
          </w:p>
        </w:tc>
        <w:tc>
          <w:tcPr>
            <w:tcW w:type="dxa" w:w="20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Maximale (Réajustement à chaque sprint)</w:t>
            </w:r>
          </w:p>
        </w:tc>
      </w:tr>
      <w:tr>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Visibilité client / métier</w:t>
            </w:r>
          </w:p>
        </w:tc>
        <w:tc>
          <w:tcPr>
            <w:tcW w:type="dxa" w:w="2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Tardive (Recette en fin de projet)</w:t>
            </w:r>
          </w:p>
        </w:tc>
        <w:tc>
          <w:tcPr>
            <w:tcW w:type="dxa" w:w="2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Intermédiaire (Jalons formels)</w:t>
            </w:r>
          </w:p>
        </w:tc>
        <w:tc>
          <w:tcPr>
            <w:tcW w:type="dxa" w:w="20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Permanente (Démonstration à chaque sprint)</w:t>
            </w:r>
          </w:p>
        </w:tc>
      </w:tr>
      <w:tr>
        <w:tc>
          <w:tcPr>
            <w:tcW w:type="dxa" w:w="2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des risques techniques</w:t>
            </w:r>
          </w:p>
        </w:tc>
        <w:tc>
          <w:tcPr>
            <w:tcW w:type="dxa" w:w="21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Reportée lors de l'intégration finale</w:t>
            </w:r>
          </w:p>
        </w:tc>
        <w:tc>
          <w:tcPr>
            <w:tcW w:type="dxa" w:w="21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Traitée durant l'architecture</w:t>
            </w:r>
          </w:p>
        </w:tc>
        <w:tc>
          <w:tcPr>
            <w:tcW w:type="dxa" w:w="20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Continue (Tests et livraisons itératifs)</w:t>
            </w:r>
          </w:p>
        </w:tc>
      </w:tr>
      <w:tr>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Adéquation Data Science &amp; IA</w:t>
            </w:r>
          </w:p>
        </w:tc>
        <w:tc>
          <w:tcPr>
            <w:tcW w:type="dxa" w:w="2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Inadaptée à la démarche itérative</w:t>
            </w:r>
          </w:p>
        </w:tc>
        <w:tc>
          <w:tcPr>
            <w:tcW w:type="dxa" w:w="2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Partiellement adaptée</w:t>
            </w:r>
          </w:p>
        </w:tc>
        <w:tc>
          <w:tcPr>
            <w:tcW w:type="dxa" w:w="20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Excellente (Affinement continu des modèles)</w:t>
            </w:r>
          </w:p>
        </w:tc>
      </w:tr>
    </w:tbl>
    <w:p>
      <w:pPr>
        <w:spacing w:after="120" w:before="80"/>
        <w:jc w:val="center"/>
      </w:pPr>
      <w:r>
        <w:rPr>
          <w:rFonts w:ascii="Times New Roman" w:cs="Times New Roman" w:eastAsia="Times New Roman" w:hAnsi="Times New Roman"/>
          <w:i/>
          <w:iCs/>
          <w:color w:val="595959"/>
          <w:sz w:val="20"/>
          <w:szCs w:val="20"/>
        </w:rPr>
        <w:t xml:space="preserve">Tableau 1.3 : Comparaison des méthodologies de gestion de projet</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1.5.2 Principes de la Méthodologie Scrum</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méthodologie Agile Scrum [1] a été retenue pour sa capacité à délivrer régulièrement des incréments logiciels testés et exploitables. L'équipe projet est structurée comme suit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Product Owner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 responsable industriel de l'entreprise d'accueil, garant de la vision métier et de la priorisation du backlog.</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Scrum Master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l'encadrant technique assurant le respect des règles agiles et la levée des blocages.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Équipe de Développement</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assurée par l'étudiante ingénieure/chercheuse, responsable de la conception, de l'implémentation et des tests.</w:t>
      </w:r>
    </w:p>
    <w:p>
      <w:pPr>
        <w:spacing w:after="40" w:before="40"/>
      </w:pPr>
      <w:r>
        <w:t xml:space="preserve"/>
      </w:r>
    </w:p>
    <w:p>
      <w:pPr>
        <w:spacing w:after="60" w:before="140"/>
        <w:jc w:val="center"/>
      </w:pPr>
      <w:r>
        <w:drawing>
          <wp:inline distT="0" distB="0" distL="0" distR="0">
            <wp:extent cx="5143500"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257175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1.1 : Vue d'ensemble du framework Scrum</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1.5.3 Planification Globale du Projet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projet s'est déployé sur une durée totale de 6 mois (24 semaines), découpé en un Sprint 0 préparatoire et quatre sprints de réalisation de 4 semaines (tableau 1.4)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600"/>
        <w:gridCol w:w="3200"/>
        <w:gridCol w:w="1400"/>
        <w:gridCol w:w="1100"/>
        <w:gridCol w:w="1366"/>
      </w:tblGrid>
      <w:tr>
        <w:trPr>
          <w:tblHeader/>
        </w:trPr>
        <w:tc>
          <w:tcPr>
            <w:tcW w:type="dxa" w:w="16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Cycle / Sprint</w:t>
            </w:r>
          </w:p>
        </w:tc>
        <w:tc>
          <w:tcPr>
            <w:tcW w:type="dxa" w:w="3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Objectif Principal</w:t>
            </w:r>
          </w:p>
        </w:tc>
        <w:tc>
          <w:tcPr>
            <w:tcW w:type="dxa" w:w="1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Période</w:t>
            </w:r>
          </w:p>
        </w:tc>
        <w:tc>
          <w:tcPr>
            <w:tcW w:type="dxa" w:w="11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Durée</w:t>
            </w:r>
          </w:p>
        </w:tc>
        <w:tc>
          <w:tcPr>
            <w:tcW w:type="dxa" w:w="13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Charge estimée</w:t>
            </w:r>
          </w:p>
        </w:tc>
      </w:tr>
      <w:tr>
        <w:tc>
          <w:tcPr>
            <w:tcW w:type="dxa" w:w="1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0</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Analyse des besoins, architecture 4 tiers &amp; socle technique</w:t>
            </w:r>
          </w:p>
        </w:tc>
        <w:tc>
          <w:tcPr>
            <w:tcW w:type="dxa" w:w="1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Semaines 1 à 4</w:t>
            </w:r>
          </w:p>
        </w:tc>
        <w:tc>
          <w:tcPr>
            <w:tcW w:type="dxa" w:w="11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 semaines</w:t>
            </w:r>
          </w:p>
        </w:tc>
        <w:tc>
          <w:tcPr>
            <w:tcW w:type="dxa" w:w="13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Cahier des charges &amp; Stack</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1</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Audit Data Warehouse, assainissement ETL &amp; sécurité RBAC</w:t>
            </w:r>
          </w:p>
        </w:tc>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Semaines 5 à 8</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 semaines</w:t>
            </w:r>
          </w:p>
        </w:tc>
        <w:tc>
          <w:tcPr>
            <w:tcW w:type="dxa" w:w="13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22 Story Points (SP)</w:t>
            </w:r>
          </w:p>
        </w:tc>
      </w:tr>
      <w:tr>
        <w:tc>
          <w:tcPr>
            <w:tcW w:type="dxa" w:w="1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2</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Modélisation prédictive de production par IA (Prophet)</w:t>
            </w:r>
          </w:p>
        </w:tc>
        <w:tc>
          <w:tcPr>
            <w:tcW w:type="dxa" w:w="1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Semaines 9 à 12</w:t>
            </w:r>
          </w:p>
        </w:tc>
        <w:tc>
          <w:tcPr>
            <w:tcW w:type="dxa" w:w="11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 semaines</w:t>
            </w:r>
          </w:p>
        </w:tc>
        <w:tc>
          <w:tcPr>
            <w:tcW w:type="dxa" w:w="13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25 Story Points (SP)</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3</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intelligente des stocks &amp; moteur prescriptif</w:t>
            </w:r>
          </w:p>
        </w:tc>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Semaines 13 à 16</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 semaines</w:t>
            </w:r>
          </w:p>
        </w:tc>
        <w:tc>
          <w:tcPr>
            <w:tcW w:type="dxa" w:w="13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24 Story Points (SP)</w:t>
            </w:r>
          </w:p>
        </w:tc>
      </w:tr>
      <w:tr>
        <w:tc>
          <w:tcPr>
            <w:tcW w:type="dxa" w:w="1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4</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Tableaux de bord Metronic, Power BI &amp; recette globale</w:t>
            </w:r>
          </w:p>
        </w:tc>
        <w:tc>
          <w:tcPr>
            <w:tcW w:type="dxa" w:w="1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Semaines 17 à 20</w:t>
            </w:r>
          </w:p>
        </w:tc>
        <w:tc>
          <w:tcPr>
            <w:tcW w:type="dxa" w:w="11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 semaines</w:t>
            </w:r>
          </w:p>
        </w:tc>
        <w:tc>
          <w:tcPr>
            <w:tcW w:type="dxa" w:w="13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27 Story Points (SP)</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Phase Finale</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Recette industrielle multi-sites &amp; rédaction du mémoire</w:t>
            </w:r>
          </w:p>
        </w:tc>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Semaines 21 à 24</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 semaines</w:t>
            </w:r>
          </w:p>
        </w:tc>
        <w:tc>
          <w:tcPr>
            <w:tcW w:type="dxa" w:w="13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Validation finale</w:t>
            </w:r>
          </w:p>
        </w:tc>
      </w:tr>
    </w:tbl>
    <w:p>
      <w:pPr>
        <w:spacing w:after="120" w:before="80"/>
        <w:jc w:val="center"/>
      </w:pPr>
      <w:r>
        <w:rPr>
          <w:rFonts w:ascii="Times New Roman" w:cs="Times New Roman" w:eastAsia="Times New Roman" w:hAnsi="Times New Roman"/>
          <w:i/>
          <w:iCs/>
          <w:color w:val="595959"/>
          <w:sz w:val="20"/>
          <w:szCs w:val="20"/>
        </w:rPr>
        <w:t xml:space="preserve">Tableau 1.4 : Planification des Sprints Scrum sur les 6 mois de stage PFE</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1.5.4 Product Backlog Global</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Product Backlog regroupe l'ensemble des 24 récits utilisateurs (</w:t>
      </w:r>
      <w:r>
        <w:rPr>
          <w:rFonts w:ascii="Times New Roman" w:cs="Times New Roman" w:eastAsia="Times New Roman" w:hAnsi="Times New Roman"/>
          <w:b w:val="false"/>
          <w:bCs w:val="false"/>
          <w:i/>
          <w:iCs/>
          <w:color w:val="1A1A1A"/>
          <w:sz w:val="24"/>
          <w:szCs w:val="24"/>
        </w:rPr>
        <w:t xml:space="preserve">User Stories</w:t>
      </w:r>
      <w:r>
        <w:rPr>
          <w:rFonts w:ascii="Times New Roman" w:cs="Times New Roman" w:eastAsia="Times New Roman" w:hAnsi="Times New Roman"/>
          <w:b w:val="false"/>
          <w:bCs w:val="false"/>
          <w:i w:val="false"/>
          <w:iCs w:val="false"/>
          <w:color w:val="1A1A1A"/>
          <w:sz w:val="24"/>
          <w:szCs w:val="24"/>
        </w:rPr>
        <w:t xml:space="preserve">) [2] couvrant les besoins validés par le Product Owner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600"/>
        <w:gridCol w:w="5200"/>
        <w:gridCol w:w="1000"/>
        <w:gridCol w:w="900"/>
        <w:gridCol w:w="966"/>
      </w:tblGrid>
      <w:tr>
        <w:trPr>
          <w:tblHeader/>
        </w:trPr>
        <w:tc>
          <w:tcPr>
            <w:tcW w:type="dxa" w:w="6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ID</w:t>
            </w:r>
          </w:p>
        </w:tc>
        <w:tc>
          <w:tcPr>
            <w:tcW w:type="dxa" w:w="5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Récit Utilisateur (User Story)</w:t>
            </w:r>
          </w:p>
        </w:tc>
        <w:tc>
          <w:tcPr>
            <w:tcW w:type="dxa" w:w="10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Priorité</w:t>
            </w:r>
          </w:p>
        </w:tc>
        <w:tc>
          <w:tcPr>
            <w:tcW w:type="dxa" w:w="9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Estimation</w:t>
            </w:r>
          </w:p>
        </w:tc>
        <w:tc>
          <w:tcPr>
            <w:tcW w:type="dxa" w:w="9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Sprint Associé</w:t>
            </w:r>
          </w:p>
        </w:tc>
      </w:tr>
      <w:tr>
        <w:tc>
          <w:tcPr>
            <w:tcW w:type="dxa" w:w="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US01</w:t>
            </w:r>
          </w:p>
        </w:tc>
        <w:tc>
          <w:tcPr>
            <w:tcW w:type="dxa" w:w="5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qu'utilisateur, je veux m'authentifier par jeton JWT afin d'accéder aux fonctions autorisées</w:t>
            </w:r>
          </w:p>
        </w:tc>
        <w:tc>
          <w:tcPr>
            <w:tcW w:type="dxa" w:w="1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9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 SP</w:t>
            </w:r>
          </w:p>
        </w:tc>
        <w:tc>
          <w:tcPr>
            <w:tcW w:type="dxa" w:w="9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1</w:t>
            </w:r>
          </w:p>
        </w:tc>
      </w:tr>
      <w:tr>
        <w:tc>
          <w:tcPr>
            <w:tcW w:type="dxa" w:w="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US02</w:t>
            </w:r>
          </w:p>
        </w:tc>
        <w:tc>
          <w:tcPr>
            <w:tcW w:type="dxa" w:w="5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configurer les rôles RBAC pour restreindre les accès aux API</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 SP</w:t>
            </w:r>
          </w:p>
        </w:tc>
        <w:tc>
          <w:tcPr>
            <w:tcW w:type="dxa" w:w="9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1</w:t>
            </w:r>
          </w:p>
        </w:tc>
      </w:tr>
      <w:tr>
        <w:tc>
          <w:tcPr>
            <w:tcW w:type="dxa" w:w="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US03</w:t>
            </w:r>
          </w:p>
        </w:tc>
        <w:tc>
          <w:tcPr>
            <w:tcW w:type="dxa" w:w="5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auditer le DWH afin de cartographier les tables de faits</w:t>
            </w:r>
          </w:p>
        </w:tc>
        <w:tc>
          <w:tcPr>
            <w:tcW w:type="dxa" w:w="1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9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8 SP</w:t>
            </w:r>
          </w:p>
        </w:tc>
        <w:tc>
          <w:tcPr>
            <w:tcW w:type="dxa" w:w="9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1</w:t>
            </w:r>
          </w:p>
        </w:tc>
      </w:tr>
      <w:tr>
        <w:tc>
          <w:tcPr>
            <w:tcW w:type="dxa" w:w="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US04</w:t>
            </w:r>
          </w:p>
        </w:tc>
        <w:tc>
          <w:tcPr>
            <w:tcW w:type="dxa" w:w="5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assainir les données de mouvements de stock afin d'éliminer les anomalies</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 SP</w:t>
            </w:r>
          </w:p>
        </w:tc>
        <w:tc>
          <w:tcPr>
            <w:tcW w:type="dxa" w:w="9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1</w:t>
            </w:r>
          </w:p>
        </w:tc>
      </w:tr>
      <w:tr>
        <w:tc>
          <w:tcPr>
            <w:tcW w:type="dxa" w:w="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US05</w:t>
            </w:r>
          </w:p>
        </w:tc>
        <w:tc>
          <w:tcPr>
            <w:tcW w:type="dxa" w:w="5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suivre les 319 machines d'atelier en temps réel</w:t>
            </w:r>
          </w:p>
        </w:tc>
        <w:tc>
          <w:tcPr>
            <w:tcW w:type="dxa" w:w="1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9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8 SP</w:t>
            </w:r>
          </w:p>
        </w:tc>
        <w:tc>
          <w:tcPr>
            <w:tcW w:type="dxa" w:w="9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2</w:t>
            </w:r>
          </w:p>
        </w:tc>
      </w:tr>
      <w:tr>
        <w:tc>
          <w:tcPr>
            <w:tcW w:type="dxa" w:w="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US06</w:t>
            </w:r>
          </w:p>
        </w:tc>
        <w:tc>
          <w:tcPr>
            <w:tcW w:type="dxa" w:w="5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calculer automatiquement le TRG en direct par centre de charge</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8 SP</w:t>
            </w:r>
          </w:p>
        </w:tc>
        <w:tc>
          <w:tcPr>
            <w:tcW w:type="dxa" w:w="9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2</w:t>
            </w:r>
          </w:p>
        </w:tc>
      </w:tr>
      <w:tr>
        <w:tc>
          <w:tcPr>
            <w:tcW w:type="dxa" w:w="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US07</w:t>
            </w:r>
          </w:p>
        </w:tc>
        <w:tc>
          <w:tcPr>
            <w:tcW w:type="dxa" w:w="5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qu'opérateur, je veux déclarer le statut des Ordres de Fabrication</w:t>
            </w:r>
          </w:p>
        </w:tc>
        <w:tc>
          <w:tcPr>
            <w:tcW w:type="dxa" w:w="1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w:t>
            </w:r>
          </w:p>
        </w:tc>
        <w:tc>
          <w:tcPr>
            <w:tcW w:type="dxa" w:w="9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 SP</w:t>
            </w:r>
          </w:p>
        </w:tc>
        <w:tc>
          <w:tcPr>
            <w:tcW w:type="dxa" w:w="9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2</w:t>
            </w:r>
          </w:p>
        </w:tc>
      </w:tr>
      <w:tr>
        <w:tc>
          <w:tcPr>
            <w:tcW w:type="dxa" w:w="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US08</w:t>
            </w:r>
          </w:p>
        </w:tc>
        <w:tc>
          <w:tcPr>
            <w:tcW w:type="dxa" w:w="5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extraire et agréger l'historique de production afin d'alimenter les modèles d'IA</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 SP</w:t>
            </w:r>
          </w:p>
        </w:tc>
        <w:tc>
          <w:tcPr>
            <w:tcW w:type="dxa" w:w="9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2</w:t>
            </w:r>
          </w:p>
        </w:tc>
      </w:tr>
      <w:tr>
        <w:tc>
          <w:tcPr>
            <w:tcW w:type="dxa" w:w="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US09</w:t>
            </w:r>
          </w:p>
        </w:tc>
        <w:tc>
          <w:tcPr>
            <w:tcW w:type="dxa" w:w="5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entraîner le modèle Prophet et comparer avec ARIMA pour fiabiliser les prévisions</w:t>
            </w:r>
          </w:p>
        </w:tc>
        <w:tc>
          <w:tcPr>
            <w:tcW w:type="dxa" w:w="1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9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8 SP</w:t>
            </w:r>
          </w:p>
        </w:tc>
        <w:tc>
          <w:tcPr>
            <w:tcW w:type="dxa" w:w="9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2</w:t>
            </w:r>
          </w:p>
        </w:tc>
      </w:tr>
      <w:tr>
        <w:tc>
          <w:tcPr>
            <w:tcW w:type="dxa" w:w="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US10</w:t>
            </w:r>
          </w:p>
        </w:tc>
        <w:tc>
          <w:tcPr>
            <w:tcW w:type="dxa" w:w="5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visualiser les prévisions de production à 30 jours et bornes à 95%</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 SP</w:t>
            </w:r>
          </w:p>
        </w:tc>
        <w:tc>
          <w:tcPr>
            <w:tcW w:type="dxa" w:w="9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2</w:t>
            </w:r>
          </w:p>
        </w:tc>
      </w:tr>
      <w:tr>
        <w:tc>
          <w:tcPr>
            <w:tcW w:type="dxa" w:w="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US11</w:t>
            </w:r>
          </w:p>
        </w:tc>
        <w:tc>
          <w:tcPr>
            <w:tcW w:type="dxa" w:w="5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classer les articles selon la méthode ABC de Pareto afin d'optimiser le stockage</w:t>
            </w:r>
          </w:p>
        </w:tc>
        <w:tc>
          <w:tcPr>
            <w:tcW w:type="dxa" w:w="1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9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8 SP</w:t>
            </w:r>
          </w:p>
        </w:tc>
        <w:tc>
          <w:tcPr>
            <w:tcW w:type="dxa" w:w="9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3</w:t>
            </w:r>
          </w:p>
        </w:tc>
      </w:tr>
      <w:tr>
        <w:tc>
          <w:tcPr>
            <w:tcW w:type="dxa" w:w="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US12</w:t>
            </w:r>
          </w:p>
        </w:tc>
        <w:tc>
          <w:tcPr>
            <w:tcW w:type="dxa" w:w="5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recevoir des alertes automatiques de rupture critique (&lt; 5 pcs)</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 SP</w:t>
            </w:r>
          </w:p>
        </w:tc>
        <w:tc>
          <w:tcPr>
            <w:tcW w:type="dxa" w:w="9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3</w:t>
            </w:r>
          </w:p>
        </w:tc>
      </w:tr>
      <w:tr>
        <w:tc>
          <w:tcPr>
            <w:tcW w:type="dxa" w:w="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US13</w:t>
            </w:r>
          </w:p>
        </w:tc>
        <w:tc>
          <w:tcPr>
            <w:tcW w:type="dxa" w:w="5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qu'opérateur, je veux enregistrer des entrées/sorties de stock conformes au DWH</w:t>
            </w:r>
          </w:p>
        </w:tc>
        <w:tc>
          <w:tcPr>
            <w:tcW w:type="dxa" w:w="1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w:t>
            </w:r>
          </w:p>
        </w:tc>
        <w:tc>
          <w:tcPr>
            <w:tcW w:type="dxa" w:w="9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 SP</w:t>
            </w:r>
          </w:p>
        </w:tc>
        <w:tc>
          <w:tcPr>
            <w:tcW w:type="dxa" w:w="9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3</w:t>
            </w:r>
          </w:p>
        </w:tc>
      </w:tr>
      <w:tr>
        <w:tc>
          <w:tcPr>
            <w:tcW w:type="dxa" w:w="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US14</w:t>
            </w:r>
          </w:p>
        </w:tc>
        <w:tc>
          <w:tcPr>
            <w:tcW w:type="dxa" w:w="5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obtenir des recommandations de commande d'approvisionnement</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 SP</w:t>
            </w:r>
          </w:p>
        </w:tc>
        <w:tc>
          <w:tcPr>
            <w:tcW w:type="dxa" w:w="9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3</w:t>
            </w:r>
          </w:p>
        </w:tc>
      </w:tr>
      <w:tr>
        <w:tc>
          <w:tcPr>
            <w:tcW w:type="dxa" w:w="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US15</w:t>
            </w:r>
          </w:p>
        </w:tc>
        <w:tc>
          <w:tcPr>
            <w:tcW w:type="dxa" w:w="5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adapter les équipes (3x8) selon les prévisions de cadence</w:t>
            </w:r>
          </w:p>
        </w:tc>
        <w:tc>
          <w:tcPr>
            <w:tcW w:type="dxa" w:w="1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w:t>
            </w:r>
          </w:p>
        </w:tc>
        <w:tc>
          <w:tcPr>
            <w:tcW w:type="dxa" w:w="9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 SP</w:t>
            </w:r>
          </w:p>
        </w:tc>
        <w:tc>
          <w:tcPr>
            <w:tcW w:type="dxa" w:w="9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3</w:t>
            </w:r>
          </w:p>
        </w:tc>
      </w:tr>
      <w:tr>
        <w:tc>
          <w:tcPr>
            <w:tcW w:type="dxa" w:w="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US16</w:t>
            </w:r>
          </w:p>
        </w:tc>
        <w:tc>
          <w:tcPr>
            <w:tcW w:type="dxa" w:w="5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planifier des transferts inter-usines Tunisie-Brno</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Basse</w:t>
            </w:r>
          </w:p>
        </w:tc>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 SP</w:t>
            </w:r>
          </w:p>
        </w:tc>
        <w:tc>
          <w:tcPr>
            <w:tcW w:type="dxa" w:w="9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3</w:t>
            </w:r>
          </w:p>
        </w:tc>
      </w:tr>
      <w:tr>
        <w:tc>
          <w:tcPr>
            <w:tcW w:type="dxa" w:w="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US17</w:t>
            </w:r>
          </w:p>
        </w:tc>
        <w:tc>
          <w:tcPr>
            <w:tcW w:type="dxa" w:w="5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disposer d'une console Metronic 8 avec filtres multi-critères</w:t>
            </w:r>
          </w:p>
        </w:tc>
        <w:tc>
          <w:tcPr>
            <w:tcW w:type="dxa" w:w="1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9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 SP</w:t>
            </w:r>
          </w:p>
        </w:tc>
        <w:tc>
          <w:tcPr>
            <w:tcW w:type="dxa" w:w="9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4</w:t>
            </w:r>
          </w:p>
        </w:tc>
      </w:tr>
      <w:tr>
        <w:tc>
          <w:tcPr>
            <w:tcW w:type="dxa" w:w="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US18</w:t>
            </w:r>
          </w:p>
        </w:tc>
        <w:tc>
          <w:tcPr>
            <w:tcW w:type="dxa" w:w="5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exporter les données filtrées sous format Excel (.xlsx)</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w:t>
            </w:r>
          </w:p>
        </w:tc>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 SP</w:t>
            </w:r>
          </w:p>
        </w:tc>
        <w:tc>
          <w:tcPr>
            <w:tcW w:type="dxa" w:w="9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4</w:t>
            </w:r>
          </w:p>
        </w:tc>
      </w:tr>
      <w:tr>
        <w:tc>
          <w:tcPr>
            <w:tcW w:type="dxa" w:w="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US19</w:t>
            </w:r>
          </w:p>
        </w:tc>
        <w:tc>
          <w:tcPr>
            <w:tcW w:type="dxa" w:w="5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superviser la production globale sur un tableau de bord exécutif Power BI</w:t>
            </w:r>
          </w:p>
        </w:tc>
        <w:tc>
          <w:tcPr>
            <w:tcW w:type="dxa" w:w="1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9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8 SP</w:t>
            </w:r>
          </w:p>
        </w:tc>
        <w:tc>
          <w:tcPr>
            <w:tcW w:type="dxa" w:w="9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4</w:t>
            </w:r>
          </w:p>
        </w:tc>
      </w:tr>
      <w:tr>
        <w:tc>
          <w:tcPr>
            <w:tcW w:type="dxa" w:w="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US20</w:t>
            </w:r>
          </w:p>
        </w:tc>
        <w:tc>
          <w:tcPr>
            <w:tcW w:type="dxa" w:w="5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analyser la valorisation et les mouvements de stock sur Power BI</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 SP</w:t>
            </w:r>
          </w:p>
        </w:tc>
        <w:tc>
          <w:tcPr>
            <w:tcW w:type="dxa" w:w="9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4</w:t>
            </w:r>
          </w:p>
        </w:tc>
      </w:tr>
    </w:tbl>
    <w:p>
      <w:pPr>
        <w:spacing w:after="120" w:before="80"/>
        <w:jc w:val="center"/>
      </w:pPr>
      <w:r>
        <w:rPr>
          <w:rFonts w:ascii="Times New Roman" w:cs="Times New Roman" w:eastAsia="Times New Roman" w:hAnsi="Times New Roman"/>
          <w:i/>
          <w:iCs/>
          <w:color w:val="595959"/>
          <w:sz w:val="20"/>
          <w:szCs w:val="20"/>
        </w:rPr>
        <w:t xml:space="preserve">Tableau 1.5 : Product Backlog complet et priorisé du projet Nexora</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1.6 Langage de Modélisation UML</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formaliser rigoureusement l'analyse et la conception, le langage de modélisation unifié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UML</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[15] a été retenu. Nous exploitons ses deux grandes familles de diagrammes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Diagrammes structurels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diagrammes de classes pour concevoir les modèles d'entités, diagramme relationnel Entités-Associations pour le Data Warehouse, et diagramme de déploiement pour l'architecture physique.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Diagrammes comportementaux</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diagrammes de cas d'utilisation pour exprimer les interactions fonctionnelles, diagrammes de séquence pour orchestrer les échanges asynchrones entre microservices, et diagrammes d'activité pour détailler les règles métiers et le pipeline ETL.</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1.7 Conclusion</w:t>
      </w:r>
    </w:p>
    <w:p>
      <w:pPr>
        <w:spacing w:after="160" w:before="160" w:line="360" w:lineRule="auto"/>
        <w:jc w:val="both"/>
      </w:pPr>
      <w:r>
        <w:rPr>
          <w:rFonts w:ascii="Times New Roman" w:cs="Times New Roman" w:eastAsia="Times New Roman" w:hAnsi="Times New Roman"/>
          <w:b w:val="false"/>
          <w:bCs w:val="false"/>
          <w:i w:val="false"/>
          <w:iCs w:val="false"/>
          <w:color w:val="1A1A1A"/>
          <w:sz w:val="24"/>
          <w:szCs w:val="24"/>
        </w:rPr>
        <w:t xml:space="preserve">Ce chapitre a exposé le cadre général du projet au sein d'un grand équipementier de plasturgie automobile. L'analyse critique de l'existant a confirmé l'urgence d'une solution unifiée et intelligente pour surmonter le cloisonnement des données. Grâce au cadre méthodologique Scrum et à la modélisation UML, le périmètre du projet est clairement balisé en 20 User Stories. Le chapitre suivant présente les résultats du Sprint 0, consacré à l'analyse détaillée des besoins et à la conception architecturale globale.</w:t>
      </w:r>
    </w:p>
    <w:p>
      <w:pPr>
        <w:spacing w:after="0" w:before="0"/>
      </w:pPr>
      <w:r>
        <w:br w:type="page"/>
      </w:r>
    </w:p>
    <w:p>
      <w:pPr>
        <w:pStyle w:val="Heading1"/>
        <w:pageBreakBefore/>
        <w:pBdr>
          <w:bottom w:val="single" w:color="000000" w:sz="6" w:space="4"/>
        </w:pBdr>
        <w:spacing w:after="140" w:before="260"/>
        <w:outlineLvl w:val="0"/>
      </w:pPr>
      <w:r>
        <w:rPr>
          <w:rFonts w:ascii="Times New Roman" w:cs="Times New Roman" w:eastAsia="Times New Roman" w:hAnsi="Times New Roman"/>
          <w:b/>
          <w:bCs/>
          <w:caps/>
          <w:color w:val="000000"/>
          <w:sz w:val="34"/>
          <w:szCs w:val="34"/>
        </w:rPr>
        <w:t xml:space="preserve">Chapitre 2 : Sprint 0 – Analyse des Besoins et Conception du Système</w:t>
      </w:r>
    </w:p>
    <w:p>
      <w:pPr>
        <w:pStyle w:val="Heading2"/>
        <w:spacing w:after="90" w:before="200"/>
        <w:outlineLvl w:val="1"/>
      </w:pPr>
      <w:r>
        <w:rPr>
          <w:rFonts w:ascii="Times New Roman" w:cs="Times New Roman" w:eastAsia="Times New Roman" w:hAnsi="Times New Roman"/>
          <w:b/>
          <w:bCs/>
          <w:color w:val="000000"/>
          <w:sz w:val="28"/>
          <w:szCs w:val="28"/>
        </w:rPr>
        <w:t xml:space="preserve">2.1 Introduction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Sprint 0 constitue une étape fondatrice indispensable dans tout projet logiciel complexe. Loin d'être une simple formalité, il permet d'aligner l'équipe de développement et les experts métiers sur les spécifications fonctionnelles détaillées, d'élaborer l'architecture technique à 4 niveaux et de valider les choix technologiques garantissant scalabilité, sécurité et performance.</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2.2 Sprint Backlog du Sprint 0</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2.1 présente le Sprint Backlog du Sprint 0, découpé en tâches d'ingénierie préliminaire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900"/>
        <w:gridCol w:w="3200"/>
        <w:gridCol w:w="1400"/>
        <w:gridCol w:w="2000"/>
        <w:gridCol w:w="1166"/>
      </w:tblGrid>
      <w:tr>
        <w:trPr>
          <w:tblHeader/>
        </w:trPr>
        <w:tc>
          <w:tcPr>
            <w:tcW w:type="dxa" w:w="9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ID Tâche</w:t>
            </w:r>
          </w:p>
        </w:tc>
        <w:tc>
          <w:tcPr>
            <w:tcW w:type="dxa" w:w="3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Description de la tâche de conception</w:t>
            </w:r>
          </w:p>
        </w:tc>
        <w:tc>
          <w:tcPr>
            <w:tcW w:type="dxa" w:w="1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Responsable</w:t>
            </w:r>
          </w:p>
        </w:tc>
        <w:tc>
          <w:tcPr>
            <w:tcW w:type="dxa" w:w="20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Livrable produit</w:t>
            </w:r>
          </w:p>
        </w:tc>
        <w:tc>
          <w:tcPr>
            <w:tcW w:type="dxa" w:w="11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w:t>
            </w:r>
          </w:p>
        </w:tc>
      </w:tr>
      <w:tr>
        <w:tc>
          <w:tcPr>
            <w:tcW w:type="dxa" w:w="9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T0.1</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Recueil et modélisation des exigences des profils d'atelier</w:t>
            </w:r>
          </w:p>
        </w:tc>
        <w:tc>
          <w:tcPr>
            <w:tcW w:type="dxa" w:w="1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Développeur / PO</w:t>
            </w:r>
          </w:p>
        </w:tc>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Matrice des besoins fonctionnels</w:t>
            </w:r>
          </w:p>
        </w:tc>
        <w:tc>
          <w:tcPr>
            <w:tcW w:type="dxa" w:w="11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T0.2</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Formalisation des cas d'utilisation globaux et scénarios textuels</w:t>
            </w:r>
          </w:p>
        </w:tc>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Développeur</w:t>
            </w:r>
          </w:p>
        </w:tc>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Diagramme de cas d'utilisation UML</w:t>
            </w:r>
          </w:p>
        </w:tc>
        <w:tc>
          <w:tcPr>
            <w:tcW w:type="dxa" w:w="11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9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T0.3</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Conception de l'architecture logicielle 4 tiers et physique</w:t>
            </w:r>
          </w:p>
        </w:tc>
        <w:tc>
          <w:tcPr>
            <w:tcW w:type="dxa" w:w="1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Développeur / SM</w:t>
            </w:r>
          </w:p>
        </w:tc>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Diagrammes d'architecture</w:t>
            </w:r>
          </w:p>
        </w:tc>
        <w:tc>
          <w:tcPr>
            <w:tcW w:type="dxa" w:w="11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T0.4</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Benchmarking et sélection de la stack technologique complète</w:t>
            </w:r>
          </w:p>
        </w:tc>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Développeur</w:t>
            </w:r>
          </w:p>
        </w:tc>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Fiches technologiques et prototypes</w:t>
            </w:r>
          </w:p>
        </w:tc>
        <w:tc>
          <w:tcPr>
            <w:tcW w:type="dxa" w:w="11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9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T0.5</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Mise en place de l'environnement matériel, IDE et serveurs de test</w:t>
            </w:r>
          </w:p>
        </w:tc>
        <w:tc>
          <w:tcPr>
            <w:tcW w:type="dxa" w:w="1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Développeur</w:t>
            </w:r>
          </w:p>
        </w:tc>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Environnement configuré opérationnel</w:t>
            </w:r>
          </w:p>
        </w:tc>
        <w:tc>
          <w:tcPr>
            <w:tcW w:type="dxa" w:w="11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bl>
    <w:p>
      <w:pPr>
        <w:spacing w:after="120" w:before="80"/>
        <w:jc w:val="center"/>
      </w:pPr>
      <w:r>
        <w:rPr>
          <w:rFonts w:ascii="Times New Roman" w:cs="Times New Roman" w:eastAsia="Times New Roman" w:hAnsi="Times New Roman"/>
          <w:i/>
          <w:iCs/>
          <w:color w:val="595959"/>
          <w:sz w:val="20"/>
          <w:szCs w:val="20"/>
        </w:rPr>
        <w:t xml:space="preserve">Tableau 2.1 : Sprint Backlog du Sprint 0 – Spécification et Architecture</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2.3 Analyse des Besoins</w:t>
      </w:r>
    </w:p>
    <w:p>
      <w:pPr>
        <w:pStyle w:val="Heading3"/>
        <w:spacing w:after="70" w:before="140"/>
        <w:outlineLvl w:val="2"/>
      </w:pPr>
      <w:r>
        <w:rPr>
          <w:rFonts w:ascii="Times New Roman" w:cs="Times New Roman" w:eastAsia="Times New Roman" w:hAnsi="Times New Roman"/>
          <w:b/>
          <w:bCs/>
          <w:color w:val="000000"/>
          <w:sz w:val="24"/>
          <w:szCs w:val="24"/>
        </w:rPr>
        <w:t xml:space="preserve">2.3.1 Identification des Acteurs du Système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gouvernance des accès au sein de Nexora s'appuie sur une politique de contrôle d'accès basée sur les rôles (RBAC) distinguant trois profils majeurs (tableau 2.2)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4666"/>
      </w:tblGrid>
      <w:tr>
        <w:trPr>
          <w:tblHeader/>
        </w:trPr>
        <w:tc>
          <w:tcPr>
            <w:tcW w:type="dxa" w:w="2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Acteur / Profil</w:t>
            </w:r>
          </w:p>
        </w:tc>
        <w:tc>
          <w:tcPr>
            <w:tcW w:type="dxa" w:w="18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Rôle Applicatif</w:t>
            </w:r>
          </w:p>
        </w:tc>
        <w:tc>
          <w:tcPr>
            <w:tcW w:type="dxa" w:w="46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Périmètre de responsabilités et droits d'accès</w:t>
            </w:r>
          </w:p>
        </w:tc>
      </w:tr>
      <w:tr>
        <w:tc>
          <w:tcPr>
            <w:tcW w:type="dxa" w:w="2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Administrateur Système</w:t>
            </w:r>
          </w:p>
        </w:tc>
        <w:tc>
          <w:tcPr>
            <w:tcW w:type="dxa" w:w="1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ROLE_ADMIN</w:t>
            </w:r>
          </w:p>
        </w:tc>
        <w:tc>
          <w:tcPr>
            <w:tcW w:type="dxa" w:w="46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globale des comptes, attribution des habilitations RBAC et garantie de la sécurité et de l'intégrité de la plateforme.</w:t>
            </w:r>
          </w:p>
        </w:tc>
      </w:tr>
      <w:tr>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Responsable Production / Manager</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ROLE_MANAGER</w:t>
            </w:r>
          </w:p>
        </w:tc>
        <w:tc>
          <w:tcPr>
            <w:tcW w:type="dxa" w:w="4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Supervision des 319 machines, suivi temps réel du TRG, affectation des ordres de fabrication, paramétrage des seuils de stock, consultation des prévisions Prophet et reporting décisionnel Power BI.</w:t>
            </w:r>
          </w:p>
        </w:tc>
      </w:tr>
      <w:tr>
        <w:tc>
          <w:tcPr>
            <w:tcW w:type="dxa" w:w="2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Opérateur d'Atelier / Magasinier</w:t>
            </w:r>
          </w:p>
        </w:tc>
        <w:tc>
          <w:tcPr>
            <w:tcW w:type="dxa" w:w="1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ROLE_OPERATEUR</w:t>
            </w:r>
          </w:p>
        </w:tc>
        <w:tc>
          <w:tcPr>
            <w:tcW w:type="dxa" w:w="46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Pointage des ordres de fabrication (début, fin, rebuts), déclaration des arrêts machines, saisie des mouvements d'entrée/sortie d'inventaire et consultation des alertes critiques.</w:t>
            </w:r>
          </w:p>
        </w:tc>
      </w:tr>
    </w:tbl>
    <w:p>
      <w:pPr>
        <w:spacing w:after="120" w:before="80"/>
        <w:jc w:val="center"/>
      </w:pPr>
      <w:r>
        <w:rPr>
          <w:rFonts w:ascii="Times New Roman" w:cs="Times New Roman" w:eastAsia="Times New Roman" w:hAnsi="Times New Roman"/>
          <w:i/>
          <w:iCs/>
          <w:color w:val="595959"/>
          <w:sz w:val="20"/>
          <w:szCs w:val="20"/>
        </w:rPr>
        <w:t xml:space="preserve">Tableau 2.2 : Matrice des acteurs et profils d'accès RBAC</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2.3.2 Besoins Fonctionnels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exigences fonctionnelles du système ont été regroupées en dix modules structurants (tableau 2.3)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700"/>
        <w:gridCol w:w="2500"/>
        <w:gridCol w:w="5466"/>
      </w:tblGrid>
      <w:tr>
        <w:trPr>
          <w:tblHeader/>
        </w:trPr>
        <w:tc>
          <w:tcPr>
            <w:tcW w:type="dxa" w:w="7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Code</w:t>
            </w:r>
          </w:p>
        </w:tc>
        <w:tc>
          <w:tcPr>
            <w:tcW w:type="dxa" w:w="25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Module Fonctionnel</w:t>
            </w:r>
          </w:p>
        </w:tc>
        <w:tc>
          <w:tcPr>
            <w:tcW w:type="dxa" w:w="54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Description détaillée de l'exigence</w:t>
            </w:r>
          </w:p>
        </w:tc>
      </w:tr>
      <w:tr>
        <w:tc>
          <w:tcPr>
            <w:tcW w:type="dxa" w:w="7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F01</w:t>
            </w:r>
          </w:p>
        </w:tc>
        <w:tc>
          <w:tcPr>
            <w:tcW w:type="dxa" w:w="25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Sécurité &amp; Contrôle d'Accès</w:t>
            </w:r>
          </w:p>
        </w:tc>
        <w:tc>
          <w:tcPr>
            <w:tcW w:type="dxa" w:w="54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Authentification sans état par jetons JWT, chiffrement BCrypt, politique de mots de passe forts et gestion des sessions.</w:t>
            </w:r>
          </w:p>
        </w:tc>
      </w:tr>
      <w:tr>
        <w:tc>
          <w:tcPr>
            <w:tcW w:type="dxa" w:w="7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F02</w:t>
            </w:r>
          </w:p>
        </w:tc>
        <w:tc>
          <w:tcPr>
            <w:tcW w:type="dxa" w:w="25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Supervision des Machines</w:t>
            </w:r>
          </w:p>
        </w:tc>
        <w:tc>
          <w:tcPr>
            <w:tcW w:type="dxa" w:w="5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Cartographie des 319 machines d'atelier, affichage des statuts (En marche, En panne, En réglage) et durée de fonctionnement.</w:t>
            </w:r>
          </w:p>
        </w:tc>
      </w:tr>
      <w:tr>
        <w:tc>
          <w:tcPr>
            <w:tcW w:type="dxa" w:w="7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F03</w:t>
            </w:r>
          </w:p>
        </w:tc>
        <w:tc>
          <w:tcPr>
            <w:tcW w:type="dxa" w:w="25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Calcul Automatique du TRG</w:t>
            </w:r>
          </w:p>
        </w:tc>
        <w:tc>
          <w:tcPr>
            <w:tcW w:type="dxa" w:w="54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Agrégation en temps réel du taux de disponibilité, de performance et de qualité avec alertes visuelles de dérive.</w:t>
            </w:r>
          </w:p>
        </w:tc>
      </w:tr>
      <w:tr>
        <w:tc>
          <w:tcPr>
            <w:tcW w:type="dxa" w:w="7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F04</w:t>
            </w:r>
          </w:p>
        </w:tc>
        <w:tc>
          <w:tcPr>
            <w:tcW w:type="dxa" w:w="25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des Ordres de Fabrication</w:t>
            </w:r>
          </w:p>
        </w:tc>
        <w:tc>
          <w:tcPr>
            <w:tcW w:type="dxa" w:w="5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Planification, ordonnancement et suivi d'avancement des ordres de fabrication d'atelier.</w:t>
            </w:r>
          </w:p>
        </w:tc>
      </w:tr>
      <w:tr>
        <w:tc>
          <w:tcPr>
            <w:tcW w:type="dxa" w:w="7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F05</w:t>
            </w:r>
          </w:p>
        </w:tc>
        <w:tc>
          <w:tcPr>
            <w:tcW w:type="dxa" w:w="25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Dynamique de l'Inventaire</w:t>
            </w:r>
          </w:p>
        </w:tc>
        <w:tc>
          <w:tcPr>
            <w:tcW w:type="dxa" w:w="54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Suivi en temps réel des niveaux de stock d'articles, historique des mouvements et alertes de seuils critiques.</w:t>
            </w:r>
          </w:p>
        </w:tc>
      </w:tr>
      <w:tr>
        <w:tc>
          <w:tcPr>
            <w:tcW w:type="dxa" w:w="7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F06</w:t>
            </w:r>
          </w:p>
        </w:tc>
        <w:tc>
          <w:tcPr>
            <w:tcW w:type="dxa" w:w="25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Modélisation Prédictive Prophet</w:t>
            </w:r>
          </w:p>
        </w:tc>
        <w:tc>
          <w:tcPr>
            <w:tcW w:type="dxa" w:w="5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Génération de prévisions temporelles à 30 jours pour la production et le stock avec décomposition des composantes saisonnières.</w:t>
            </w:r>
          </w:p>
        </w:tc>
      </w:tr>
      <w:tr>
        <w:tc>
          <w:tcPr>
            <w:tcW w:type="dxa" w:w="7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F07</w:t>
            </w:r>
          </w:p>
        </w:tc>
        <w:tc>
          <w:tcPr>
            <w:tcW w:type="dxa" w:w="25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Calcul des Intervalles de Confiance</w:t>
            </w:r>
          </w:p>
        </w:tc>
        <w:tc>
          <w:tcPr>
            <w:tcW w:type="dxa" w:w="54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Restitution des bornes d'incertitude à 95% (yhat_lower, yhat_upper) pour anticiper les capacités maximales d'atelier.</w:t>
            </w:r>
          </w:p>
        </w:tc>
      </w:tr>
      <w:tr>
        <w:tc>
          <w:tcPr>
            <w:tcW w:type="dxa" w:w="7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F08</w:t>
            </w:r>
          </w:p>
        </w:tc>
        <w:tc>
          <w:tcPr>
            <w:tcW w:type="dxa" w:w="25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Moteur Prescriptif d'Atelier</w:t>
            </w:r>
          </w:p>
        </w:tc>
        <w:tc>
          <w:tcPr>
            <w:tcW w:type="dxa" w:w="5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Génération automatique de recommandations de réapprovisionnement, planification d'équipes 3x8 et maintenance préventive.</w:t>
            </w:r>
          </w:p>
        </w:tc>
      </w:tr>
      <w:tr>
        <w:tc>
          <w:tcPr>
            <w:tcW w:type="dxa" w:w="7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F09</w:t>
            </w:r>
          </w:p>
        </w:tc>
        <w:tc>
          <w:tcPr>
            <w:tcW w:type="dxa" w:w="25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Tableaux de Bord Power BI</w:t>
            </w:r>
          </w:p>
        </w:tc>
        <w:tc>
          <w:tcPr>
            <w:tcW w:type="dxa" w:w="54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Intégration de rapports décisionnels multi-dimensionnels connectés directement au Data Warehouse SQL Server.</w:t>
            </w:r>
          </w:p>
        </w:tc>
      </w:tr>
      <w:tr>
        <w:tc>
          <w:tcPr>
            <w:tcW w:type="dxa" w:w="7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F10</w:t>
            </w:r>
          </w:p>
        </w:tc>
        <w:tc>
          <w:tcPr>
            <w:tcW w:type="dxa" w:w="25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Reporting et Export Analytique XLSX</w:t>
            </w:r>
          </w:p>
        </w:tc>
        <w:tc>
          <w:tcPr>
            <w:tcW w:type="dxa" w:w="5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Filtrage multicritères avancé et génération automatique de rapports tabulaires Excel formatés.</w:t>
            </w:r>
          </w:p>
        </w:tc>
      </w:tr>
    </w:tbl>
    <w:p>
      <w:pPr>
        <w:spacing w:after="120" w:before="80"/>
        <w:jc w:val="center"/>
      </w:pPr>
      <w:r>
        <w:rPr>
          <w:rFonts w:ascii="Times New Roman" w:cs="Times New Roman" w:eastAsia="Times New Roman" w:hAnsi="Times New Roman"/>
          <w:i/>
          <w:iCs/>
          <w:color w:val="595959"/>
          <w:sz w:val="20"/>
          <w:szCs w:val="20"/>
        </w:rPr>
        <w:t xml:space="preserve">Tableau 2.3 : Matrice des exigences fonctionnelles majeures</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2.3.3 Besoins Non Fonctionnels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Volumétrie et passage à l'échelle analytique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 système doit être capable d'ingérer, d'assainir et d'agréger efficacement les historiques massifs du Data Warehouse (plus de 3,2 millions d'enregistrements) avec un temps de réponse inférieur à la seconde lors des extractions de séries temporelles et des calculs d'agrégats statistiques.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Précision et conformité métrique des modèles d'IA</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les algorithmes prédictifs de séries temporelles doivent garantir une erreur relative moyenne (MAPE) strictement inférieure au seuil industriel de 5 % et un coefficient de détermination R² supérieur à 0,90 sur les cadences journalières d'atelier.</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Intégrité, complétude et gouvernance des données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 pipeline ETL doit assurer un taux de complétude de 100 % sur les séries d'atelier (imputation rigoureuse des valeurs aberrantes, suppression des stocks négatifs) et garantir une stricte traçabilité des accès aux données industrielles sensibles via le protocole RBAC.</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Interprétabilité et aide à la décision industrielle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la restitution visuelle des indicateurs décisionnels (courbes de prévision avec bandes d'incertitude à 95 %, segmentation Pareto ABC, clustering K-Means et détection d'anomalies) doit être claire, explicable et directement exploitable pour le pilotage opérationnel d'atelier.</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2.4 Conception du Système &amp; Cas d'Utilisation Global</w:t>
      </w:r>
    </w:p>
    <w:p>
      <w:pPr>
        <w:pStyle w:val="Heading3"/>
        <w:spacing w:after="70" w:before="140"/>
        <w:outlineLvl w:val="2"/>
      </w:pPr>
      <w:r>
        <w:rPr>
          <w:rFonts w:ascii="Times New Roman" w:cs="Times New Roman" w:eastAsia="Times New Roman" w:hAnsi="Times New Roman"/>
          <w:b/>
          <w:bCs/>
          <w:color w:val="000000"/>
          <w:sz w:val="24"/>
          <w:szCs w:val="24"/>
        </w:rPr>
        <w:t xml:space="preserve">2.4.1 Diagramme de Cas d'Utilisation Global</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figure 2.1 modélise le diagramme de cas d'utilisation global illustrant les frontières du système et les interactions entre les trois profils d'utilisateurs :</w:t>
      </w:r>
    </w:p>
    <w:p>
      <w:pPr>
        <w:spacing w:after="40" w:before="40"/>
      </w:pPr>
      <w:r>
        <w:t xml:space="preserve"/>
      </w:r>
    </w:p>
    <w:p>
      <w:pPr>
        <w:spacing w:after="60" w:before="140"/>
        <w:jc w:val="center"/>
      </w:pPr>
      <w:r>
        <w:drawing>
          <wp:inline distT="0" distB="0" distL="0" distR="0">
            <wp:extent cx="28956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895600" cy="361950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2.1 : Diagramme de cas d'utilisation global de la plateforme Nexora</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2.4.2 Descriptions Textuelles des Cas d'Utilisation Majeurs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Conformément aux normes du génie logiciel [15], nous formalisons ci-dessous les fiches descriptives des cas d'utilisation structurants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037"/>
        <w:gridCol w:w="6629"/>
      </w:tblGrid>
      <w:tr>
        <w:tc>
          <w:tcPr>
            <w:gridSpan w:val="2"/>
            <w:tcBorders>
              <w:top w:val="single" w:color="AAAAAA" w:sz="1"/>
              <w:left w:val="single" w:color="AAAAAA" w:sz="1"/>
              <w:bottom w:val="single" w:color="AAAAAA" w:sz="1"/>
              <w:right w:val="single" w:color="AAAAAA" w:sz="1"/>
            </w:tcBorders>
            <w:shd w:fill="333333" w:val="clear"/>
            <w:tcMar>
              <w:top w:type="dxa" w:w="60"/>
              <w:left w:type="dxa" w:w="100"/>
              <w:bottom w:type="dxa" w:w="60"/>
              <w:right w:type="dxa" w:w="100"/>
            </w:tcMar>
          </w:tcPr>
          <w:p>
            <w:pPr>
              <w:spacing w:after="30" w:before="30"/>
            </w:pPr>
            <w:r>
              <w:rPr>
                <w:rFonts w:ascii="Times New Roman" w:cs="Times New Roman" w:eastAsia="Times New Roman" w:hAnsi="Times New Roman"/>
                <w:b/>
                <w:bCs/>
                <w:color w:val="FFFFFF"/>
                <w:sz w:val="22"/>
                <w:szCs w:val="22"/>
              </w:rPr>
              <w:t xml:space="preserve">Cas d'utilisation : S'authentifier et naviguer selon les rôles RBAC</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Acteurs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Administrateur, Responsable Production (Manager), Opérateur d'Atelier</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Préconditions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L'utilisateur dispose d'un compte actif avec mot de passe chiffré dans la base SQL Server.</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Scénario nominal</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1. L'utilisateur saisit son adresse e-mail et son mot de passe sur la mire Metronic.</w:t>
            </w:r>
          </w:p>
          <w:p>
            <w:pPr>
              <w:spacing w:after="20" w:before="20" w:line="240" w:lineRule="auto"/>
            </w:pPr>
            <w:r>
              <w:rPr>
                <w:rFonts w:ascii="Times New Roman" w:cs="Times New Roman" w:eastAsia="Times New Roman" w:hAnsi="Times New Roman"/>
                <w:sz w:val="20"/>
                <w:szCs w:val="20"/>
              </w:rPr>
              <w:t xml:space="preserve">2. Le backend Spring Boot valide les informations via le AuthenticationManager et BCrypt.</w:t>
            </w:r>
          </w:p>
          <w:p>
            <w:pPr>
              <w:spacing w:after="20" w:before="20" w:line="240" w:lineRule="auto"/>
            </w:pPr>
            <w:r>
              <w:rPr>
                <w:rFonts w:ascii="Times New Roman" w:cs="Times New Roman" w:eastAsia="Times New Roman" w:hAnsi="Times New Roman"/>
                <w:sz w:val="20"/>
                <w:szCs w:val="20"/>
              </w:rPr>
              <w:t xml:space="preserve">3. Le serveur génère un jeton signé JWT contenant le rôle et les privilèges de l'utilisateur.</w:t>
            </w:r>
          </w:p>
          <w:p>
            <w:pPr>
              <w:spacing w:after="20" w:before="20" w:line="240" w:lineRule="auto"/>
            </w:pPr>
            <w:r>
              <w:rPr>
                <w:rFonts w:ascii="Times New Roman" w:cs="Times New Roman" w:eastAsia="Times New Roman" w:hAnsi="Times New Roman"/>
                <w:sz w:val="20"/>
                <w:szCs w:val="20"/>
              </w:rPr>
              <w:t xml:space="preserve">4. Le frontend React stocke le jeton et adapte dynamiquement le menu latéral de navigation.</w:t>
            </w:r>
          </w:p>
          <w:p>
            <w:pPr>
              <w:spacing w:after="20" w:before="20" w:line="240" w:lineRule="auto"/>
            </w:pPr>
            <w:r>
              <w:rPr>
                <w:rFonts w:ascii="Times New Roman" w:cs="Times New Roman" w:eastAsia="Times New Roman" w:hAnsi="Times New Roman"/>
                <w:sz w:val="20"/>
                <w:szCs w:val="20"/>
              </w:rPr>
              <w:t xml:space="preserve">5. L'utilisateur est redirigé vers son tableau de bord métier personnalisé.</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Postconditions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La session est active et sécurisée ; toutes les requêtes subséquentes portent le jeton en en-tête Bearer.</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Exceptions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Identifiants invalides : message d'erreur explicite. Compte désactivé : accès refusé avec alerte sécurité.</w:t>
            </w:r>
          </w:p>
        </w:tc>
      </w:tr>
    </w:tbl>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037"/>
        <w:gridCol w:w="6629"/>
      </w:tblGrid>
      <w:tr>
        <w:tc>
          <w:tcPr>
            <w:gridSpan w:val="2"/>
            <w:tcBorders>
              <w:top w:val="single" w:color="AAAAAA" w:sz="1"/>
              <w:left w:val="single" w:color="AAAAAA" w:sz="1"/>
              <w:bottom w:val="single" w:color="AAAAAA" w:sz="1"/>
              <w:right w:val="single" w:color="AAAAAA" w:sz="1"/>
            </w:tcBorders>
            <w:shd w:fill="333333" w:val="clear"/>
            <w:tcMar>
              <w:top w:type="dxa" w:w="60"/>
              <w:left w:type="dxa" w:w="100"/>
              <w:bottom w:type="dxa" w:w="60"/>
              <w:right w:type="dxa" w:w="100"/>
            </w:tcMar>
          </w:tcPr>
          <w:p>
            <w:pPr>
              <w:spacing w:after="30" w:before="30"/>
            </w:pPr>
            <w:r>
              <w:rPr>
                <w:rFonts w:ascii="Times New Roman" w:cs="Times New Roman" w:eastAsia="Times New Roman" w:hAnsi="Times New Roman"/>
                <w:b/>
                <w:bCs/>
                <w:color w:val="FFFFFF"/>
                <w:sz w:val="22"/>
                <w:szCs w:val="22"/>
              </w:rPr>
              <w:t xml:space="preserve">Cas d'utilisation : Superviser les machines d'atelier et calculer le TRG en direct</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Acteurs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Responsable Production (Manager)</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Préconditions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Les 319 machines sont configurées dans le référentiel des machines du Data Warehouse.</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Scénario nominal</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1. Le manager accède à la console de suivi de production.</w:t>
            </w:r>
          </w:p>
          <w:p>
            <w:pPr>
              <w:spacing w:after="20" w:before="20" w:line="240" w:lineRule="auto"/>
            </w:pPr>
            <w:r>
              <w:rPr>
                <w:rFonts w:ascii="Times New Roman" w:cs="Times New Roman" w:eastAsia="Times New Roman" w:hAnsi="Times New Roman"/>
                <w:sz w:val="20"/>
                <w:szCs w:val="20"/>
              </w:rPr>
              <w:t xml:space="preserve">2. Le système extrait l'état de fonctionnement de chaque centre de charge (En marche, En panne, En réglage).</w:t>
            </w:r>
          </w:p>
          <w:p>
            <w:pPr>
              <w:spacing w:after="20" w:before="20" w:line="240" w:lineRule="auto"/>
            </w:pPr>
            <w:r>
              <w:rPr>
                <w:rFonts w:ascii="Times New Roman" w:cs="Times New Roman" w:eastAsia="Times New Roman" w:hAnsi="Times New Roman"/>
                <w:sz w:val="20"/>
                <w:szCs w:val="20"/>
              </w:rPr>
              <w:t xml:space="preserve">3. Le backend agrège les durées utiles et les temps d'arrêt pour calculer le TRG instantané.</w:t>
            </w:r>
          </w:p>
          <w:p>
            <w:pPr>
              <w:spacing w:after="20" w:before="20" w:line="240" w:lineRule="auto"/>
            </w:pPr>
            <w:r>
              <w:rPr>
                <w:rFonts w:ascii="Times New Roman" w:cs="Times New Roman" w:eastAsia="Times New Roman" w:hAnsi="Times New Roman"/>
                <w:sz w:val="20"/>
                <w:szCs w:val="20"/>
              </w:rPr>
              <w:t xml:space="preserve">4. L'interface affiche les jauges graphiques de performance et colore les alertes en rouge en cas de TRG &lt; 65%.</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Postconditions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La situation d'atelier est actualisée et visualisée en temps réel.</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Exceptions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Donnée machine temporairement non remontée : affichage du dernier état connu avec icône d'avertissement.</w:t>
            </w:r>
          </w:p>
        </w:tc>
      </w:tr>
    </w:tbl>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037"/>
        <w:gridCol w:w="6629"/>
      </w:tblGrid>
      <w:tr>
        <w:tc>
          <w:tcPr>
            <w:gridSpan w:val="2"/>
            <w:tcBorders>
              <w:top w:val="single" w:color="AAAAAA" w:sz="1"/>
              <w:left w:val="single" w:color="AAAAAA" w:sz="1"/>
              <w:bottom w:val="single" w:color="AAAAAA" w:sz="1"/>
              <w:right w:val="single" w:color="AAAAAA" w:sz="1"/>
            </w:tcBorders>
            <w:shd w:fill="333333" w:val="clear"/>
            <w:tcMar>
              <w:top w:type="dxa" w:w="60"/>
              <w:left w:type="dxa" w:w="100"/>
              <w:bottom w:type="dxa" w:w="60"/>
              <w:right w:type="dxa" w:w="100"/>
            </w:tcMar>
          </w:tcPr>
          <w:p>
            <w:pPr>
              <w:spacing w:after="30" w:before="30"/>
            </w:pPr>
            <w:r>
              <w:rPr>
                <w:rFonts w:ascii="Times New Roman" w:cs="Times New Roman" w:eastAsia="Times New Roman" w:hAnsi="Times New Roman"/>
                <w:b/>
                <w:bCs/>
                <w:color w:val="FFFFFF"/>
                <w:sz w:val="22"/>
                <w:szCs w:val="22"/>
              </w:rPr>
              <w:t xml:space="preserve">Cas d'utilisation : Générer les prévisions Prophet et analyser les tendances d'atelier</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Acteurs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Responsable Production (Manager), Décideur Industriel</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Préconditions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L'historique de production d'atelier est synchronisé et le microservice FastAPI est opérationnel.</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Scénario nominal</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1. Le manager sélectionne l'horizon prévisionnel (7, 14 ou 30 jours) sur l'interface d'IA.</w:t>
            </w:r>
          </w:p>
          <w:p>
            <w:pPr>
              <w:spacing w:after="20" w:before="20" w:line="240" w:lineRule="auto"/>
            </w:pPr>
            <w:r>
              <w:rPr>
                <w:rFonts w:ascii="Times New Roman" w:cs="Times New Roman" w:eastAsia="Times New Roman" w:hAnsi="Times New Roman"/>
                <w:sz w:val="20"/>
                <w:szCs w:val="20"/>
              </w:rPr>
              <w:t xml:space="preserve">2. Le service FastAPI entraîne le modèle additif Prophet sur la série temporelle journalière.</w:t>
            </w:r>
          </w:p>
          <w:p>
            <w:pPr>
              <w:spacing w:after="20" w:before="20" w:line="240" w:lineRule="auto"/>
            </w:pPr>
            <w:r>
              <w:rPr>
                <w:rFonts w:ascii="Times New Roman" w:cs="Times New Roman" w:eastAsia="Times New Roman" w:hAnsi="Times New Roman"/>
                <w:sz w:val="20"/>
                <w:szCs w:val="20"/>
              </w:rPr>
              <w:t xml:space="preserve">3. Le modèle génère la courbe tendancielle, les cycles hebdomadaires et l'intervalle de confiance à 95%.</w:t>
            </w:r>
          </w:p>
          <w:p>
            <w:pPr>
              <w:spacing w:after="20" w:before="20" w:line="240" w:lineRule="auto"/>
            </w:pPr>
            <w:r>
              <w:rPr>
                <w:rFonts w:ascii="Times New Roman" w:cs="Times New Roman" w:eastAsia="Times New Roman" w:hAnsi="Times New Roman"/>
                <w:sz w:val="20"/>
                <w:szCs w:val="20"/>
              </w:rPr>
              <w:t xml:space="preserve">4. L'interface ApexCharts affiche les projections de cadences et met en évidence les points de retournement.</w:t>
            </w:r>
          </w:p>
          <w:p>
            <w:pPr>
              <w:spacing w:after="20" w:before="20" w:line="240" w:lineRule="auto"/>
            </w:pPr>
            <w:r>
              <w:rPr>
                <w:rFonts w:ascii="Times New Roman" w:cs="Times New Roman" w:eastAsia="Times New Roman" w:hAnsi="Times New Roman"/>
                <w:sz w:val="20"/>
                <w:szCs w:val="20"/>
              </w:rPr>
              <w:t xml:space="preserve">5. Le système formule des préconisations d'ordonnancement d'équipes (régime 3x8) et de maintenance préventive.</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Postconditions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Les prévisions sont visualisées sur ApexCharts et les recommandations d'atelier sont exploitables.</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Exceptions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Indisponibilité temporaire du microservice Python : bascule automatique vers le moteur de calcul local React.</w:t>
            </w:r>
          </w:p>
        </w:tc>
      </w:tr>
    </w:tbl>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2.5 Architecture Proposée</w:t>
      </w:r>
    </w:p>
    <w:p>
      <w:pPr>
        <w:pStyle w:val="Heading3"/>
        <w:spacing w:after="70" w:before="140"/>
        <w:outlineLvl w:val="2"/>
      </w:pPr>
      <w:r>
        <w:rPr>
          <w:rFonts w:ascii="Times New Roman" w:cs="Times New Roman" w:eastAsia="Times New Roman" w:hAnsi="Times New Roman"/>
          <w:b/>
          <w:bCs/>
          <w:color w:val="000000"/>
          <w:sz w:val="24"/>
          <w:szCs w:val="24"/>
        </w:rPr>
        <w:t xml:space="preserve">2.5.1 Architecture Logique à 4 Niveaux</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Afin de garantir une indépendance stricte entre le traitement de données massives, la logique d'entreprise et l'interface utilisateur, la plateforme Nexora adopte une architecture logique découplée en quatre couches étanches (figure 2.2)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1. Couche Données / Data Warehouse (DWH)</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base relationnelle Microsoft SQL Server hébergeant l'entrepôt de données d'atelier (historiques de production, inventaires journaliers et mouvements d'articles).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2. Couche Ingestion et Pipeline ETL</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procédures d'assainissement, d'agrégation et d'indexation clusterisée assurant la cohérence des flux.</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3. Couche Métier, Sécurité &amp; IA</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API REST d'entreprise sous Spring Boot 3 (Java 17) couplée de manière asynchrone au microservice de Data Science sous FastAPI (Python 3.10).</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4. Couche Présentation &amp; Décision</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application monopage (SPA) réactive sous React 18 / TypeScript avec le design system Metronic 8, complétée par les rapports Microsoft Power BI.</w:t>
      </w:r>
    </w:p>
    <w:p>
      <w:pPr>
        <w:spacing w:after="40" w:before="40"/>
      </w:pPr>
      <w:r>
        <w:t xml:space="preserve"/>
      </w:r>
    </w:p>
    <w:p>
      <w:pPr>
        <w:spacing w:after="60" w:before="140"/>
        <w:jc w:val="center"/>
      </w:pPr>
      <w:r>
        <w:drawing>
          <wp:inline distT="0" distB="0" distL="0" distR="0">
            <wp:extent cx="48006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800600" cy="361950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2.2 : Architecture logique à 4 niveaux du système Nexora</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2.5.2 Architecture Physique et Déploiement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figure 2.3 détaille l'infrastructure matérielle et réseau d'hébergement. Le serveur de base de données SQL Server (port 1433) est déployé sur le réseau d'entreprise protégé. Le serveur d'application héberge le backend Spring Boot (port 8080) communiquant par réseau local avec le service d'IA FastAPI Uvicorn (port 8000). Les postes de travail et tablettes d'atelier accèdent à l'interface React via des liaisons HTTPS sécurisées.</w:t>
      </w:r>
    </w:p>
    <w:p>
      <w:pPr>
        <w:spacing w:after="40" w:before="40"/>
      </w:pPr>
      <w:r>
        <w:t xml:space="preserve"/>
      </w:r>
    </w:p>
    <w:p>
      <w:pPr>
        <w:spacing w:after="60" w:before="140"/>
        <w:jc w:val="center"/>
      </w:pPr>
      <w:r>
        <w:drawing>
          <wp:inline distT="0" distB="0" distL="0" distR="0">
            <wp:extent cx="4962525"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62525" cy="342900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2.3 : Architecture physique et infrastructure de déploiement</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2.5.3 Diagramme de Classes Global</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structure des entités persistantes est représentée par le diagramme de classes global (figure 2.4). Il modélise les entités maîtresses : `Utilisateur`, `Role`, `Machine`, `OrdreProduction`, `ArretMachine`, `Article`, `MouvementStock` et `PredictionProphet`.</w:t>
      </w:r>
    </w:p>
    <w:p>
      <w:pPr>
        <w:spacing w:after="40" w:before="40"/>
      </w:pPr>
      <w:r>
        <w:t xml:space="preserve"/>
      </w:r>
    </w:p>
    <w:p>
      <w:pPr>
        <w:spacing w:after="60" w:before="140"/>
        <w:jc w:val="center"/>
      </w:pPr>
      <w:r>
        <w:drawing>
          <wp:inline distT="0" distB="0" distL="0" distR="0">
            <wp:extent cx="4714875"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14875" cy="361950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2.4 : Diagramme de classes global du modèle conceptuel</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2.6 Environnement Matériel et Logiciel</w:t>
      </w:r>
    </w:p>
    <w:p>
      <w:pPr>
        <w:pStyle w:val="Heading3"/>
        <w:spacing w:after="70" w:before="140"/>
        <w:outlineLvl w:val="2"/>
      </w:pPr>
      <w:r>
        <w:rPr>
          <w:rFonts w:ascii="Times New Roman" w:cs="Times New Roman" w:eastAsia="Times New Roman" w:hAnsi="Times New Roman"/>
          <w:b/>
          <w:bCs/>
          <w:color w:val="000000"/>
          <w:sz w:val="24"/>
          <w:szCs w:val="24"/>
        </w:rPr>
        <w:t xml:space="preserve">2.6.1 Environnement Matériel</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L'environnement matériel utilisé pour le développement, l'apprentissage des modèles et les tests de validation comprend un poste haute performance doté d'un processeur multi-cœurs (16 threads), de 32 Go de mémoire RAM DDR5 pour le traitement en mémoire des séries massives, et de disques NVMe offrant des débits supérieurs à 5 000 Mo/s pour la manipulation fluide des sauvegardes du Data Warehouse.</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2.6.2 Stack Technologique et Outils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Cette section présente les technologies clés retenues pour la conception et l'implémentation de Nexora :</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2.6.2.1 Spring Boot 3 et Java 17</w:t>
      </w:r>
    </w:p>
    <w:p>
      <w:pPr>
        <w:spacing w:after="100" w:before="80"/>
        <w:jc w:val="center"/>
      </w:pPr>
      <w:r>
        <w:drawing>
          <wp:inline distT="0" distB="0" distL="0" distR="0">
            <wp:extent cx="85725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857250" cy="857250"/>
                    </a:xfrm>
                    <a:prstGeom prst="rect">
                      <a:avLst/>
                    </a:prstGeom>
                  </pic:spPr>
                </pic:pic>
              </a:graphicData>
            </a:graphic>
          </wp:inline>
        </w:drawing>
      </w:r>
    </w:p>
    <w:p>
      <w:pPr>
        <w:spacing w:after="100" w:before="60" w:line="340" w:lineRule="auto"/>
        <w:jc w:val="both"/>
      </w:pPr>
      <w:r>
        <w:rPr>
          <w:rFonts w:ascii="Times New Roman" w:cs="Times New Roman" w:eastAsia="Times New Roman" w:hAnsi="Times New Roman"/>
          <w:b w:val="false"/>
          <w:bCs w:val="false"/>
          <w:i w:val="false"/>
          <w:iCs w:val="false"/>
          <w:color w:val="1A1A1A"/>
          <w:sz w:val="24"/>
          <w:szCs w:val="24"/>
        </w:rPr>
        <w:t xml:space="preserve">Spring Boot 3 est le framework d'entreprise de référence pour la construction d'architectures backend robustes, modulaires et sécurisées. Dans Nexora, il assure la gestion de la sécurité par jetons JWT, la persistance relationnelle via Spring Data JPA, l'exposition des API REST et l'orchestration des flux d'atelier.</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2.6.2.2 React 18 et TypeScript sous Metronic 8</w:t>
      </w:r>
    </w:p>
    <w:p>
      <w:pPr>
        <w:spacing w:after="100" w:before="80"/>
        <w:jc w:val="center"/>
      </w:pPr>
      <w:r>
        <w:drawing>
          <wp:inline distT="0" distB="0" distL="0" distR="0">
            <wp:extent cx="85725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857250" cy="857250"/>
                    </a:xfrm>
                    <a:prstGeom prst="rect">
                      <a:avLst/>
                    </a:prstGeom>
                  </pic:spPr>
                </pic:pic>
              </a:graphicData>
            </a:graphic>
          </wp:inline>
        </w:drawing>
      </w:r>
    </w:p>
    <w:p>
      <w:pPr>
        <w:spacing w:after="100" w:before="60" w:line="340" w:lineRule="auto"/>
        <w:jc w:val="both"/>
      </w:pPr>
      <w:r>
        <w:rPr>
          <w:rFonts w:ascii="Times New Roman" w:cs="Times New Roman" w:eastAsia="Times New Roman" w:hAnsi="Times New Roman"/>
          <w:b w:val="false"/>
          <w:bCs w:val="false"/>
          <w:i w:val="false"/>
          <w:iCs w:val="false"/>
          <w:color w:val="1A1A1A"/>
          <w:sz w:val="24"/>
          <w:szCs w:val="24"/>
        </w:rPr>
        <w:t xml:space="preserve">React 18 est la bibliothèque JavaScript leader pour la création d'interfaces utilisateur monopages dynamiques et hautement réactives. Couplé au design system industriel Metronic 8 et au typage strict TypeScript, il offre aux opérateurs d'atelier une ergonomie sans faille avec composants interactifs, badges colorés et filtres avancés.</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2.6.2.3 FastAPI &amp; Python 3.10</w:t>
      </w:r>
    </w:p>
    <w:p>
      <w:pPr>
        <w:spacing w:after="100" w:before="80"/>
        <w:jc w:val="center"/>
      </w:pPr>
      <w:r>
        <w:drawing>
          <wp:inline distT="0" distB="0" distL="0" distR="0">
            <wp:extent cx="85725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857250" cy="857250"/>
                    </a:xfrm>
                    <a:prstGeom prst="rect">
                      <a:avLst/>
                    </a:prstGeom>
                  </pic:spPr>
                </pic:pic>
              </a:graphicData>
            </a:graphic>
          </wp:inline>
        </w:drawing>
      </w:r>
    </w:p>
    <w:p>
      <w:pPr>
        <w:spacing w:after="100" w:before="60" w:line="340" w:lineRule="auto"/>
        <w:jc w:val="both"/>
      </w:pPr>
      <w:r>
        <w:rPr>
          <w:rFonts w:ascii="Times New Roman" w:cs="Times New Roman" w:eastAsia="Times New Roman" w:hAnsi="Times New Roman"/>
          <w:b w:val="false"/>
          <w:bCs w:val="false"/>
          <w:i w:val="false"/>
          <w:iCs w:val="false"/>
          <w:color w:val="1A1A1A"/>
          <w:sz w:val="24"/>
          <w:szCs w:val="24"/>
        </w:rPr>
        <w:t xml:space="preserve">FastAPI est un framework web asynchrone moderne à très haute performance, conçu spécifiquement pour l'exposition d'algorithmes de Machine Learning. Il héberge le microservice de Data Science et exécute les calculs de séries temporelles avec une latence d'inférence minimale.</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2.6.2.4 Microsoft SQL Server &amp; Entrepôt de Données</w:t>
      </w:r>
    </w:p>
    <w:p>
      <w:pPr>
        <w:spacing w:after="100" w:before="80"/>
        <w:jc w:val="center"/>
      </w:pPr>
      <w:r>
        <w:drawing>
          <wp:inline distT="0" distB="0" distL="0" distR="0">
            <wp:extent cx="85725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857250" cy="857250"/>
                    </a:xfrm>
                    <a:prstGeom prst="rect">
                      <a:avLst/>
                    </a:prstGeom>
                  </pic:spPr>
                </pic:pic>
              </a:graphicData>
            </a:graphic>
          </wp:inline>
        </w:drawing>
      </w:r>
    </w:p>
    <w:p>
      <w:pPr>
        <w:spacing w:after="100" w:before="60" w:line="340" w:lineRule="auto"/>
        <w:jc w:val="both"/>
      </w:pPr>
      <w:r>
        <w:rPr>
          <w:rFonts w:ascii="Times New Roman" w:cs="Times New Roman" w:eastAsia="Times New Roman" w:hAnsi="Times New Roman"/>
          <w:b w:val="false"/>
          <w:bCs w:val="false"/>
          <w:i w:val="false"/>
          <w:iCs w:val="false"/>
          <w:color w:val="1A1A1A"/>
          <w:sz w:val="24"/>
          <w:szCs w:val="24"/>
        </w:rPr>
        <w:t xml:space="preserve">Microsoft SQL Server est un système de gestion de bases de données relationnelles éprouvé pour les charges analytiques lourdes. Il héberge l'entrepôt de données comprenant 83 tables et des millions de transactions industrielles issues de Microsoft Dynamics NAV.</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2.6.2.5 Microsoft Power BI</w:t>
      </w:r>
    </w:p>
    <w:p>
      <w:pPr>
        <w:spacing w:after="100" w:before="80"/>
        <w:jc w:val="center"/>
      </w:pPr>
      <w:r>
        <w:drawing>
          <wp:inline distT="0" distB="0" distL="0" distR="0">
            <wp:extent cx="85725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857250" cy="857250"/>
                    </a:xfrm>
                    <a:prstGeom prst="rect">
                      <a:avLst/>
                    </a:prstGeom>
                  </pic:spPr>
                </pic:pic>
              </a:graphicData>
            </a:graphic>
          </wp:inline>
        </w:drawing>
      </w:r>
    </w:p>
    <w:p>
      <w:pPr>
        <w:spacing w:after="100" w:before="60" w:line="340" w:lineRule="auto"/>
        <w:jc w:val="both"/>
      </w:pPr>
      <w:r>
        <w:rPr>
          <w:rFonts w:ascii="Times New Roman" w:cs="Times New Roman" w:eastAsia="Times New Roman" w:hAnsi="Times New Roman"/>
          <w:b w:val="false"/>
          <w:bCs w:val="false"/>
          <w:i w:val="false"/>
          <w:iCs w:val="false"/>
          <w:color w:val="1A1A1A"/>
          <w:sz w:val="24"/>
          <w:szCs w:val="24"/>
        </w:rPr>
        <w:t xml:space="preserve">Microsoft Power BI est la solution de Business Intelligence reconnue pour la modélisation multi-dimensionnelle et la restitution visuelle de KPIs. Directement interconnecté à l'entrepôt de données, il alimente les tableaux de bord exécutifs destinés à la direction industrielle.</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2.6.2.6 Git &amp; GitHub</w:t>
      </w:r>
    </w:p>
    <w:p>
      <w:pPr>
        <w:spacing w:after="100" w:before="80"/>
        <w:jc w:val="center"/>
      </w:pPr>
      <w:r>
        <w:drawing>
          <wp:inline distT="0" distB="0" distL="0" distR="0">
            <wp:extent cx="85725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857250" cy="857250"/>
                    </a:xfrm>
                    <a:prstGeom prst="rect">
                      <a:avLst/>
                    </a:prstGeom>
                  </pic:spPr>
                </pic:pic>
              </a:graphicData>
            </a:graphic>
          </wp:inline>
        </w:drawing>
      </w:r>
    </w:p>
    <w:p>
      <w:pPr>
        <w:spacing w:after="100" w:before="60" w:line="340" w:lineRule="auto"/>
        <w:jc w:val="both"/>
      </w:pPr>
      <w:r>
        <w:rPr>
          <w:rFonts w:ascii="Times New Roman" w:cs="Times New Roman" w:eastAsia="Times New Roman" w:hAnsi="Times New Roman"/>
          <w:b w:val="false"/>
          <w:bCs w:val="false"/>
          <w:i w:val="false"/>
          <w:iCs w:val="false"/>
          <w:color w:val="1A1A1A"/>
          <w:sz w:val="24"/>
          <w:szCs w:val="24"/>
        </w:rPr>
        <w:t xml:space="preserve">Git et GitHub constituent le standard universel de contrôle de version décentralisé et d'intégration continue. Ils ont garanti une traçabilité rigoureuse de chaque incrément logiciel développé au fil des sprints Scrum.</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2.6.3 Cartographie Exhaustive des Modèles d'Intelligence Artificielle et de Data Science de Nexora</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L'innovation majeure de la plateforme Nexora réside dans son écosystème algorithmique unifié, articulant sept modèles et méthodes d'intelligence artificielle et de science des données complémentaires répartis entre les microservices FastAPI et Spring Boot (tableau 2.4)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600"/>
        <w:gridCol w:w="1800"/>
        <w:gridCol w:w="1600"/>
        <w:gridCol w:w="2300"/>
        <w:gridCol w:w="1300"/>
        <w:gridCol w:w="1066"/>
      </w:tblGrid>
      <w:tr>
        <w:trPr>
          <w:tblHeader/>
        </w:trPr>
        <w:tc>
          <w:tcPr>
            <w:tcW w:type="dxa" w:w="6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ID</w:t>
            </w:r>
          </w:p>
        </w:tc>
        <w:tc>
          <w:tcPr>
            <w:tcW w:type="dxa" w:w="18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Modèle / Algorithme</w:t>
            </w:r>
          </w:p>
        </w:tc>
        <w:tc>
          <w:tcPr>
            <w:tcW w:type="dxa" w:w="16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Type d'IA</w:t>
            </w:r>
          </w:p>
        </w:tc>
        <w:tc>
          <w:tcPr>
            <w:tcW w:type="dxa" w:w="23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Rôle Opérationnel dans Nexora</w:t>
            </w:r>
          </w:p>
        </w:tc>
        <w:tc>
          <w:tcPr>
            <w:tcW w:type="dxa" w:w="13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Module / Endpoint</w:t>
            </w:r>
          </w:p>
        </w:tc>
        <w:tc>
          <w:tcPr>
            <w:tcW w:type="dxa" w:w="10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 Applicatif</w:t>
            </w:r>
          </w:p>
        </w:tc>
      </w:tr>
      <w:tr>
        <w:tc>
          <w:tcPr>
            <w:tcW w:type="dxa" w:w="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M01</w:t>
            </w:r>
          </w:p>
        </w:tc>
        <w:tc>
          <w:tcPr>
            <w:tcW w:type="dxa" w:w="1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Prophet (Meta)</w:t>
            </w:r>
          </w:p>
        </w:tc>
        <w:tc>
          <w:tcPr>
            <w:tcW w:type="dxa" w:w="1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Séries Temporelles Additives</w:t>
            </w:r>
          </w:p>
        </w:tc>
        <w:tc>
          <w:tcPr>
            <w:tcW w:type="dxa" w:w="23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Prévision de production journalière (changepoints, saisonnalités, intervalles 95%)</w:t>
            </w:r>
          </w:p>
        </w:tc>
        <w:tc>
          <w:tcPr>
            <w:tcW w:type="dxa" w:w="13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FastAPI /predict/production</w:t>
            </w:r>
          </w:p>
        </w:tc>
        <w:tc>
          <w:tcPr>
            <w:tcW w:type="dxa" w:w="10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Champion Déployé ⋆</w:t>
            </w:r>
          </w:p>
        </w:tc>
      </w:tr>
      <w:tr>
        <w:tc>
          <w:tcPr>
            <w:tcW w:type="dxa" w:w="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M02</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ARIMA</w:t>
            </w:r>
          </w:p>
        </w:tc>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Séries Temporelles Autorégressives</w:t>
            </w:r>
          </w:p>
        </w:tc>
        <w:tc>
          <w:tcPr>
            <w:tcW w:type="dxa" w:w="23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Modèle autorégressif de comparaison statistique court terme (Box-Jenkins)</w:t>
            </w:r>
          </w:p>
        </w:tc>
        <w:tc>
          <w:tcPr>
            <w:tcW w:type="dxa" w:w="13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FastAPI /predict/production</w:t>
            </w:r>
          </w:p>
        </w:tc>
        <w:tc>
          <w:tcPr>
            <w:tcW w:type="dxa" w:w="10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Intégré dans l'App ✓</w:t>
            </w:r>
          </w:p>
        </w:tc>
      </w:tr>
      <w:tr>
        <w:tc>
          <w:tcPr>
            <w:tcW w:type="dxa" w:w="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M03</w:t>
            </w:r>
          </w:p>
        </w:tc>
        <w:tc>
          <w:tcPr>
            <w:tcW w:type="dxa" w:w="1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Régression Linéaire (MCO)</w:t>
            </w:r>
          </w:p>
        </w:tc>
        <w:tc>
          <w:tcPr>
            <w:tcW w:type="dxa" w:w="1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Apprentissage Supervisé (ML)</w:t>
            </w:r>
          </w:p>
        </w:tc>
        <w:tc>
          <w:tcPr>
            <w:tcW w:type="dxa" w:w="23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Modélisation de tendance de référence (baseline)</w:t>
            </w:r>
          </w:p>
        </w:tc>
        <w:tc>
          <w:tcPr>
            <w:tcW w:type="dxa" w:w="13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FastAPI /predict/custom</w:t>
            </w:r>
          </w:p>
        </w:tc>
        <w:tc>
          <w:tcPr>
            <w:tcW w:type="dxa" w:w="10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Intégré dans l'App ✓</w:t>
            </w:r>
          </w:p>
        </w:tc>
      </w:tr>
      <w:tr>
        <w:tc>
          <w:tcPr>
            <w:tcW w:type="dxa" w:w="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M04</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Isolation Forest</w:t>
            </w:r>
          </w:p>
        </w:tc>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Apprentissage Non Supervisé (ML)</w:t>
            </w:r>
          </w:p>
        </w:tc>
        <w:tc>
          <w:tcPr>
            <w:tcW w:type="dxa" w:w="23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Détection en temps réel des anomalies d'usinage et dérives de cadence</w:t>
            </w:r>
          </w:p>
        </w:tc>
        <w:tc>
          <w:tcPr>
            <w:tcW w:type="dxa" w:w="13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FastAPI /detect/anomaly</w:t>
            </w:r>
          </w:p>
        </w:tc>
        <w:tc>
          <w:tcPr>
            <w:tcW w:type="dxa" w:w="10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Opérationnel Live ✓</w:t>
            </w:r>
          </w:p>
        </w:tc>
      </w:tr>
      <w:tr>
        <w:tc>
          <w:tcPr>
            <w:tcW w:type="dxa" w:w="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M05</w:t>
            </w:r>
          </w:p>
        </w:tc>
        <w:tc>
          <w:tcPr>
            <w:tcW w:type="dxa" w:w="1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K-Means Clustering</w:t>
            </w:r>
          </w:p>
        </w:tc>
        <w:tc>
          <w:tcPr>
            <w:tcW w:type="dxa" w:w="1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Apprentissage Non Supervisé (ML)</w:t>
            </w:r>
          </w:p>
        </w:tc>
        <w:tc>
          <w:tcPr>
            <w:tcW w:type="dxa" w:w="23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Partitionnement multi-critères des articles de stock en 3 classes de gestion</w:t>
            </w:r>
          </w:p>
        </w:tc>
        <w:tc>
          <w:tcPr>
            <w:tcW w:type="dxa" w:w="13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FastAPI /cluster/items</w:t>
            </w:r>
          </w:p>
        </w:tc>
        <w:tc>
          <w:tcPr>
            <w:tcW w:type="dxa" w:w="10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Opérationnel Live ✓</w:t>
            </w:r>
          </w:p>
        </w:tc>
      </w:tr>
      <w:tr>
        <w:tc>
          <w:tcPr>
            <w:tcW w:type="dxa" w:w="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M06</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Classification ABC de Pareto</w:t>
            </w:r>
          </w:p>
        </w:tc>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Data Science Analytique</w:t>
            </w:r>
          </w:p>
        </w:tc>
        <w:tc>
          <w:tcPr>
            <w:tcW w:type="dxa" w:w="23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Hiérarchisation 80/15/5 de la valeur financière des stocks sur les données d'inventaire</w:t>
            </w:r>
          </w:p>
        </w:tc>
        <w:tc>
          <w:tcPr>
            <w:tcW w:type="dxa" w:w="13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FastAPI /analyze/abc</w:t>
            </w:r>
          </w:p>
        </w:tc>
        <w:tc>
          <w:tcPr>
            <w:tcW w:type="dxa" w:w="10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Opérationnel Live ✓</w:t>
            </w:r>
          </w:p>
        </w:tc>
      </w:tr>
      <w:tr>
        <w:tc>
          <w:tcPr>
            <w:tcW w:type="dxa" w:w="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M07</w:t>
            </w:r>
          </w:p>
        </w:tc>
        <w:tc>
          <w:tcPr>
            <w:tcW w:type="dxa" w:w="1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Simulation Scénaristique What-If</w:t>
            </w:r>
          </w:p>
        </w:tc>
        <w:tc>
          <w:tcPr>
            <w:tcW w:type="dxa" w:w="1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Modélisation Prescriptive</w:t>
            </w:r>
          </w:p>
        </w:tc>
        <w:tc>
          <w:tcPr>
            <w:tcW w:type="dxa" w:w="23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Analyse de sensibilité aux variations de demande (+/- X%) et risque de rupture</w:t>
            </w:r>
          </w:p>
        </w:tc>
        <w:tc>
          <w:tcPr>
            <w:tcW w:type="dxa" w:w="13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FastAPI /simulate/scenario</w:t>
            </w:r>
          </w:p>
        </w:tc>
        <w:tc>
          <w:tcPr>
            <w:tcW w:type="dxa" w:w="10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Opérationnel Live ✓</w:t>
            </w:r>
          </w:p>
        </w:tc>
      </w:tr>
    </w:tbl>
    <w:p>
      <w:pPr>
        <w:spacing w:after="120" w:before="80"/>
        <w:jc w:val="center"/>
      </w:pPr>
      <w:r>
        <w:rPr>
          <w:rFonts w:ascii="Times New Roman" w:cs="Times New Roman" w:eastAsia="Times New Roman" w:hAnsi="Times New Roman"/>
          <w:i/>
          <w:iCs/>
          <w:color w:val="595959"/>
          <w:sz w:val="20"/>
          <w:szCs w:val="20"/>
        </w:rPr>
        <w:t xml:space="preserve">Tableau 2.4 : Cartographie exhaustive des modèles d'IA et de Data Science déployés dans Nexora</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2.7 Bilan des Livrables du Sprint 0</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2.5 dresse le bilan des livrables validés à l'issue du Sprint 0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2200"/>
        <w:gridCol w:w="1666"/>
      </w:tblGrid>
      <w:tr>
        <w:trPr>
          <w:tblHeader/>
        </w:trPr>
        <w:tc>
          <w:tcPr>
            <w:tcW w:type="dxa" w:w="20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Tâche Réalisée</w:t>
            </w:r>
          </w:p>
        </w:tc>
        <w:tc>
          <w:tcPr>
            <w:tcW w:type="dxa" w:w="28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Livrable Associé</w:t>
            </w:r>
          </w:p>
        </w:tc>
        <w:tc>
          <w:tcPr>
            <w:tcW w:type="dxa" w:w="2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Validation Métier &amp; Technique</w:t>
            </w:r>
          </w:p>
        </w:tc>
        <w:tc>
          <w:tcPr>
            <w:tcW w:type="dxa" w:w="16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w:t>
            </w:r>
          </w:p>
        </w:tc>
      </w:tr>
      <w:tr>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Spécification des besoins</w:t>
            </w:r>
          </w:p>
        </w:tc>
        <w:tc>
          <w:tcPr>
            <w:tcW w:type="dxa" w:w="2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Matrice des exigences fonctionnelles et non fonctionnelles</w:t>
            </w:r>
          </w:p>
        </w:tc>
        <w:tc>
          <w:tcPr>
            <w:tcW w:type="dxa" w:w="2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par le Product Owner</w:t>
            </w:r>
          </w:p>
        </w:tc>
        <w:tc>
          <w:tcPr>
            <w:tcW w:type="dxa" w:w="16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100% Conforme</w:t>
            </w:r>
          </w:p>
        </w:tc>
      </w:tr>
      <w:tr>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Modélisation conceptuelle</w:t>
            </w:r>
          </w:p>
        </w:tc>
        <w:tc>
          <w:tcPr>
            <w:tcW w:type="dxa" w:w="2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Diagrammes de cas d'utilisation, séquence et classes globales UML</w:t>
            </w:r>
          </w:p>
        </w:tc>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par l'encadrement</w:t>
            </w:r>
          </w:p>
        </w:tc>
        <w:tc>
          <w:tcPr>
            <w:tcW w:type="dxa" w:w="1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100% Conforme</w:t>
            </w:r>
          </w:p>
        </w:tc>
      </w:tr>
      <w:tr>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Architecture système</w:t>
            </w:r>
          </w:p>
        </w:tc>
        <w:tc>
          <w:tcPr>
            <w:tcW w:type="dxa" w:w="2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Spécification de l'architecture 4 tiers et physique de déploiement</w:t>
            </w:r>
          </w:p>
        </w:tc>
        <w:tc>
          <w:tcPr>
            <w:tcW w:type="dxa" w:w="2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par l'architecte</w:t>
            </w:r>
          </w:p>
        </w:tc>
        <w:tc>
          <w:tcPr>
            <w:tcW w:type="dxa" w:w="16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100% Conforme</w:t>
            </w:r>
          </w:p>
        </w:tc>
      </w:tr>
      <w:tr>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Sélection de la stack</w:t>
            </w:r>
          </w:p>
        </w:tc>
        <w:tc>
          <w:tcPr>
            <w:tcW w:type="dxa" w:w="2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Fiches technologiques et benchmarks de faisabilité</w:t>
            </w:r>
          </w:p>
        </w:tc>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par l'équipe projet</w:t>
            </w:r>
          </w:p>
        </w:tc>
        <w:tc>
          <w:tcPr>
            <w:tcW w:type="dxa" w:w="1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100% Conforme</w:t>
            </w:r>
          </w:p>
        </w:tc>
      </w:tr>
      <w:tr>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Environnement de test</w:t>
            </w:r>
          </w:p>
        </w:tc>
        <w:tc>
          <w:tcPr>
            <w:tcW w:type="dxa" w:w="2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Serveurs SQL Server, Spring Boot et FastAPI configurés</w:t>
            </w:r>
          </w:p>
        </w:tc>
        <w:tc>
          <w:tcPr>
            <w:tcW w:type="dxa" w:w="2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Opérationnel</w:t>
            </w:r>
          </w:p>
        </w:tc>
        <w:tc>
          <w:tcPr>
            <w:tcW w:type="dxa" w:w="16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100% Conforme</w:t>
            </w:r>
          </w:p>
        </w:tc>
      </w:tr>
    </w:tbl>
    <w:p>
      <w:pPr>
        <w:spacing w:after="120" w:before="80"/>
        <w:jc w:val="center"/>
      </w:pPr>
      <w:r>
        <w:rPr>
          <w:rFonts w:ascii="Times New Roman" w:cs="Times New Roman" w:eastAsia="Times New Roman" w:hAnsi="Times New Roman"/>
          <w:i/>
          <w:iCs/>
          <w:color w:val="595959"/>
          <w:sz w:val="20"/>
          <w:szCs w:val="20"/>
        </w:rPr>
        <w:t xml:space="preserve">Tableau 2.5 : Bilan des livrables du Sprint 0</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2.8 Conclusion</w:t>
      </w:r>
    </w:p>
    <w:p>
      <w:pPr>
        <w:spacing w:after="160" w:before="160" w:line="360" w:lineRule="auto"/>
        <w:jc w:val="both"/>
      </w:pPr>
      <w:r>
        <w:rPr>
          <w:rFonts w:ascii="Times New Roman" w:cs="Times New Roman" w:eastAsia="Times New Roman" w:hAnsi="Times New Roman"/>
          <w:b w:val="false"/>
          <w:bCs w:val="false"/>
          <w:i w:val="false"/>
          <w:iCs w:val="false"/>
          <w:color w:val="1A1A1A"/>
          <w:sz w:val="24"/>
          <w:szCs w:val="24"/>
        </w:rPr>
        <w:t xml:space="preserve">Le Sprint 0 a permis de poser des fondations méthodologiques, architecturales et techniques solides pour la plateforme Nexora. La formalisation rigoureuse des besoins des ateliers de plasturgie et le découpage logique en quatre couches étanches garantissent que les développements des sprints ultérieurs répondront parfaitement aux exigences de performance industrielle. Le chapitre 3 détaille le Sprint 1, axé sur l'audit du Data Warehouse, le pipeline ETL et la couche de sécurité.</w:t>
      </w:r>
    </w:p>
    <w:p>
      <w:pPr>
        <w:spacing w:after="0" w:before="0"/>
      </w:pPr>
      <w:r>
        <w:br w:type="page"/>
      </w:r>
    </w:p>
    <w:p>
      <w:pPr>
        <w:pStyle w:val="Heading1"/>
        <w:pageBreakBefore/>
        <w:pBdr>
          <w:bottom w:val="single" w:color="000000" w:sz="6" w:space="4"/>
        </w:pBdr>
        <w:spacing w:after="140" w:before="260"/>
        <w:outlineLvl w:val="0"/>
      </w:pPr>
      <w:r>
        <w:rPr>
          <w:rFonts w:ascii="Times New Roman" w:cs="Times New Roman" w:eastAsia="Times New Roman" w:hAnsi="Times New Roman"/>
          <w:b/>
          <w:bCs/>
          <w:caps/>
          <w:color w:val="000000"/>
          <w:sz w:val="34"/>
          <w:szCs w:val="34"/>
        </w:rPr>
        <w:t xml:space="preserve">Chapitre 3 : Sprint 1 – Audit du Data Warehouse, Assainissement &amp; Pipeline ETL</w:t>
      </w:r>
    </w:p>
    <w:p>
      <w:pPr>
        <w:pStyle w:val="Heading2"/>
        <w:spacing w:after="90" w:before="200"/>
        <w:outlineLvl w:val="1"/>
      </w:pPr>
      <w:r>
        <w:rPr>
          <w:rFonts w:ascii="Times New Roman" w:cs="Times New Roman" w:eastAsia="Times New Roman" w:hAnsi="Times New Roman"/>
          <w:b/>
          <w:bCs/>
          <w:color w:val="000000"/>
          <w:sz w:val="28"/>
          <w:szCs w:val="28"/>
        </w:rPr>
        <w:t xml:space="preserve">3.1 Introduction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chapitre détaille la réalisation du premier cycle de développement opérationnel (Sprint 1). Face à un Data Warehouse d'entreprise volumineux issu de l'ERP Navision, ce sprint a eu pour double objectif de réaliser un audit exploratoire rigoureux des tables de faits, de concevoir un pipeline ETL d'assainissement et d'optimisation des index, et de mettre en œuvre la couche d'accès sécurisée de la plateforme Nexora via des jetons JWT et des rôles RBAC.</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3.2 Sprint Backlog du Sprint 1</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3.1 détaille le backlog des tâches exécutées au cours du Sprint 1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700"/>
        <w:gridCol w:w="3200"/>
        <w:gridCol w:w="3100"/>
        <w:gridCol w:w="800"/>
        <w:gridCol w:w="866"/>
      </w:tblGrid>
      <w:tr>
        <w:trPr>
          <w:tblHeader/>
        </w:trPr>
        <w:tc>
          <w:tcPr>
            <w:tcW w:type="dxa" w:w="7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ID US</w:t>
            </w:r>
          </w:p>
        </w:tc>
        <w:tc>
          <w:tcPr>
            <w:tcW w:type="dxa" w:w="3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Récit Utilisateur (User Story)</w:t>
            </w:r>
          </w:p>
        </w:tc>
        <w:tc>
          <w:tcPr>
            <w:tcW w:type="dxa" w:w="31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Tâche de développement associée</w:t>
            </w:r>
          </w:p>
        </w:tc>
        <w:tc>
          <w:tcPr>
            <w:tcW w:type="dxa" w:w="8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Estimation (SP)</w:t>
            </w:r>
          </w:p>
        </w:tc>
        <w:tc>
          <w:tcPr>
            <w:tcW w:type="dxa" w:w="8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w:t>
            </w:r>
          </w:p>
        </w:tc>
      </w:tr>
      <w:tr>
        <w:tc>
          <w:tcPr>
            <w:tcW w:type="dxa" w:w="7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US01</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qu'utilisateur, je veux m'authentifier par jeton JWT</w:t>
            </w:r>
          </w:p>
        </w:tc>
        <w:tc>
          <w:tcPr>
            <w:tcW w:type="dxa" w:w="31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 du contrôleur d'authentification et filtre JWT</w:t>
            </w:r>
          </w:p>
        </w:tc>
        <w:tc>
          <w:tcPr>
            <w:tcW w:type="dxa" w:w="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 SP</w:t>
            </w:r>
          </w:p>
        </w:tc>
        <w:tc>
          <w:tcPr>
            <w:tcW w:type="dxa" w:w="8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7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US02</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configurer les rôles RBAC</w:t>
            </w:r>
          </w:p>
        </w:tc>
        <w:tc>
          <w:tcPr>
            <w:tcW w:type="dxa" w:w="3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Création de la matrice de permissions et routes protégées</w:t>
            </w:r>
          </w:p>
        </w:tc>
        <w:tc>
          <w:tcPr>
            <w:tcW w:type="dxa" w:w="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 SP</w:t>
            </w:r>
          </w:p>
        </w:tc>
        <w:tc>
          <w:tcPr>
            <w:tcW w:type="dxa" w:w="8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7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US03</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auditer l'entrepôt de données</w:t>
            </w:r>
          </w:p>
        </w:tc>
        <w:tc>
          <w:tcPr>
            <w:tcW w:type="dxa" w:w="31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Cartographie des 83 tables et métadonnées de volumétrie</w:t>
            </w:r>
          </w:p>
        </w:tc>
        <w:tc>
          <w:tcPr>
            <w:tcW w:type="dxa" w:w="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8 SP</w:t>
            </w:r>
          </w:p>
        </w:tc>
        <w:tc>
          <w:tcPr>
            <w:tcW w:type="dxa" w:w="8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7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US04</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assainir les données de stock</w:t>
            </w:r>
          </w:p>
        </w:tc>
        <w:tc>
          <w:tcPr>
            <w:tcW w:type="dxa" w:w="3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Implémentation du pipeline ETL et indexation clusterisée</w:t>
            </w:r>
          </w:p>
        </w:tc>
        <w:tc>
          <w:tcPr>
            <w:tcW w:type="dxa" w:w="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 SP</w:t>
            </w:r>
          </w:p>
        </w:tc>
        <w:tc>
          <w:tcPr>
            <w:tcW w:type="dxa" w:w="8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bl>
    <w:p>
      <w:pPr>
        <w:spacing w:after="120" w:before="80"/>
        <w:jc w:val="center"/>
      </w:pPr>
      <w:r>
        <w:rPr>
          <w:rFonts w:ascii="Times New Roman" w:cs="Times New Roman" w:eastAsia="Times New Roman" w:hAnsi="Times New Roman"/>
          <w:i/>
          <w:iCs/>
          <w:color w:val="595959"/>
          <w:sz w:val="20"/>
          <w:szCs w:val="20"/>
        </w:rPr>
        <w:t xml:space="preserve">Tableau 3.1 : Sprint Backlog du Sprint 1 – Audit DWH, ETL &amp; Sécurité</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3.3 Présentation des Données du Data Warehouse</w:t>
      </w:r>
    </w:p>
    <w:p>
      <w:pPr>
        <w:pStyle w:val="Heading3"/>
        <w:spacing w:after="70" w:before="140"/>
        <w:outlineLvl w:val="2"/>
      </w:pPr>
      <w:r>
        <w:rPr>
          <w:rFonts w:ascii="Times New Roman" w:cs="Times New Roman" w:eastAsia="Times New Roman" w:hAnsi="Times New Roman"/>
          <w:b/>
          <w:bCs/>
          <w:color w:val="000000"/>
          <w:sz w:val="24"/>
          <w:szCs w:val="24"/>
        </w:rPr>
        <w:t xml:space="preserve">3.3.1 Structure et Sources du Data Warehouse d'Entreprise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L'entrepôt de données centralise les flux issus des différents modules de Microsoft Dynamics NAV. Il regroupe un total de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83 tables relationnelles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couvrant la comptabilité analytique, la gestion des articles, la capacité des machines et les ordres de production.</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3.3.2 Tables Clés du Projet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Quatre tables de faits majeures concentrent l'essentiel de la valeur décisionnelle pour les opérations d'atelier (tableau 3.2)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4666"/>
      </w:tblGrid>
      <w:tr>
        <w:trPr>
          <w:tblHeader/>
        </w:trPr>
        <w:tc>
          <w:tcPr>
            <w:tcW w:type="dxa" w:w="2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Nom de la Table</w:t>
            </w:r>
          </w:p>
        </w:tc>
        <w:tc>
          <w:tcPr>
            <w:tcW w:type="dxa" w:w="18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Volumétrie Réelle</w:t>
            </w:r>
          </w:p>
        </w:tc>
        <w:tc>
          <w:tcPr>
            <w:tcW w:type="dxa" w:w="46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Description et Rôle Opérationnel</w:t>
            </w:r>
          </w:p>
        </w:tc>
      </w:tr>
      <w:tr>
        <w:tc>
          <w:tcPr>
            <w:tcW w:type="dxa" w:w="2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MCMachineCenter</w:t>
            </w:r>
          </w:p>
        </w:tc>
        <w:tc>
          <w:tcPr>
            <w:tcW w:type="dxa" w:w="1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319 enregistrements</w:t>
            </w:r>
          </w:p>
        </w:tc>
        <w:tc>
          <w:tcPr>
            <w:tcW w:type="dxa" w:w="46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Référentiel des machines d'atelier : code machine, centre de charge, capacité nominale et site industriel (Tunisie / Brno).</w:t>
            </w:r>
          </w:p>
        </w:tc>
      </w:tr>
      <w:tr>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FACT_CLE</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876 412 lignes</w:t>
            </w:r>
          </w:p>
        </w:tc>
        <w:tc>
          <w:tcPr>
            <w:tcW w:type="dxa" w:w="4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Capacity Ledger Entry : écritures réelles de capacité machine, temps de cycle d'injection, quantités produites et rebuts.</w:t>
            </w:r>
          </w:p>
        </w:tc>
      </w:tr>
      <w:tr>
        <w:tc>
          <w:tcPr>
            <w:tcW w:type="dxa" w:w="2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ASTOCKDATE</w:t>
            </w:r>
          </w:p>
        </w:tc>
        <w:tc>
          <w:tcPr>
            <w:tcW w:type="dxa" w:w="1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814 200 lignes</w:t>
            </w:r>
          </w:p>
        </w:tc>
        <w:tc>
          <w:tcPr>
            <w:tcW w:type="dxa" w:w="46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Stock journalier horodaté par référence d'article et magasin de stockage pour l'évaluation temporelle de la valorisation.</w:t>
            </w:r>
          </w:p>
        </w:tc>
      </w:tr>
      <w:tr>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FACT_ILE</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1 502 702 lignes</w:t>
            </w:r>
          </w:p>
        </w:tc>
        <w:tc>
          <w:tcPr>
            <w:tcW w:type="dxa" w:w="4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Item Ledger Entry : journal exhaustif des mouvements de stock (entrées, sorties de fabrication, transferts inter-usines) sans écart d'inventaire.</w:t>
            </w:r>
          </w:p>
        </w:tc>
      </w:tr>
    </w:tbl>
    <w:p>
      <w:pPr>
        <w:spacing w:after="120" w:before="80"/>
        <w:jc w:val="center"/>
      </w:pPr>
      <w:r>
        <w:rPr>
          <w:rFonts w:ascii="Times New Roman" w:cs="Times New Roman" w:eastAsia="Times New Roman" w:hAnsi="Times New Roman"/>
          <w:i/>
          <w:iCs/>
          <w:color w:val="595959"/>
          <w:sz w:val="20"/>
          <w:szCs w:val="20"/>
        </w:rPr>
        <w:t xml:space="preserve">Tableau 3.2 : Principales tables de faits et volumétries du Data Warehouse</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3.3.3 Modèle Relationnel Entités-Associations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figure 3.1 présente le schéma relationnel modélisant les liens entre les centres de travail (`WorkCenter`), les machines d'injection (`MCMachineCenter`), les écritures de charge (`FACT_CLE`), les articles et les écritures d'inventaire (`FACT_ILE`) :</w:t>
      </w:r>
    </w:p>
    <w:p>
      <w:pPr>
        <w:spacing w:after="40" w:before="40"/>
      </w:pPr>
      <w:r>
        <w:t xml:space="preserve"/>
      </w:r>
    </w:p>
    <w:p>
      <w:pPr>
        <w:spacing w:after="60" w:before="140"/>
        <w:jc w:val="center"/>
      </w:pPr>
      <w:r>
        <w:drawing>
          <wp:inline distT="0" distB="0" distL="0" distR="0">
            <wp:extent cx="5143500" cy="2305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143500" cy="230505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3.1 : Schéma relationnel Entités-Associations du Data Warehouse</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3.4 Analyse Exploratoire des Données et Diagnostic Qualité</w:t>
      </w:r>
    </w:p>
    <w:p>
      <w:pPr>
        <w:pStyle w:val="Heading3"/>
        <w:spacing w:after="70" w:before="140"/>
        <w:outlineLvl w:val="2"/>
      </w:pPr>
      <w:r>
        <w:rPr>
          <w:rFonts w:ascii="Times New Roman" w:cs="Times New Roman" w:eastAsia="Times New Roman" w:hAnsi="Times New Roman"/>
          <w:b/>
          <w:bCs/>
          <w:color w:val="000000"/>
          <w:sz w:val="24"/>
          <w:szCs w:val="24"/>
        </w:rPr>
        <w:t xml:space="preserve">3.4.1 Distributions Statistiques et Volumétries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L'analyse exploratoire (</w:t>
      </w:r>
      <w:r>
        <w:rPr>
          <w:rFonts w:ascii="Times New Roman" w:cs="Times New Roman" w:eastAsia="Times New Roman" w:hAnsi="Times New Roman"/>
          <w:b w:val="false"/>
          <w:bCs w:val="false"/>
          <w:i/>
          <w:iCs/>
          <w:color w:val="1A1A1A"/>
          <w:sz w:val="24"/>
          <w:szCs w:val="24"/>
        </w:rPr>
        <w:t xml:space="preserve">Exploratory Data Analysis</w:t>
      </w:r>
      <w:r>
        <w:rPr>
          <w:rFonts w:ascii="Times New Roman" w:cs="Times New Roman" w:eastAsia="Times New Roman" w:hAnsi="Times New Roman"/>
          <w:b w:val="false"/>
          <w:bCs w:val="false"/>
          <w:i w:val="false"/>
          <w:iCs w:val="false"/>
          <w:color w:val="1A1A1A"/>
          <w:sz w:val="24"/>
          <w:szCs w:val="24"/>
        </w:rPr>
        <w:t xml:space="preserve">) conduite avec Python (Pandas, Seaborn) a mis en lumière une forte dispersion des volumes de production journaliers. Les cadences quotidiennes varient de 1 200 pièces lors des phases de changement de moule à plus de 28 000 pièces en pleine cadence sur les polymères de grande série.</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3.4.2 Corrélations et Saisonnalités d'Atelier</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L'analyse temporelle confirme l'existence d'une saisonnalité hebdomadaire très marquée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Une montée en régime le lundi matin suite aux préchauffages des presses à injecter.</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Un palier de production maximal stabilisé du mardi au vendredi matin.</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Une baisse sensible le week-end liée aux équipes réduites et aux arrêts de maintenance préventive.</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3.4.3 Identification des Anomalies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L'audit qualité a détecté trois anomalies majeures nécessitant un assainissement avant toute exploitation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Lignes de stock négatif transitoires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dans la table `ASTOCKDATE`, certaines écritures présentaient des quantités négatives issues d'erreurs de pointage lors des transferts rapides entre magasins.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Temps de cycle nuls ou aberrants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sur la table `FACT_CLE`, des opérations d'usinage affichaient des durées de 0 seconde ou supérieures à 48 heures consécutives à des oublis de clôture d'ordres.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Absence d'index clusterisé sur Entry No_</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les requêtes de recherche de mouvements sur `FACT_ILE` déclenchaient un scan complet de table provoquant des temps de réponse supérieurs à 30 secondes.</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3.5 Pipeline de Nettoyage et d'Intégration ETL</w:t>
      </w:r>
    </w:p>
    <w:p>
      <w:pPr>
        <w:pStyle w:val="Heading3"/>
        <w:spacing w:after="70" w:before="140"/>
        <w:outlineLvl w:val="2"/>
      </w:pPr>
      <w:r>
        <w:rPr>
          <w:rFonts w:ascii="Times New Roman" w:cs="Times New Roman" w:eastAsia="Times New Roman" w:hAnsi="Times New Roman"/>
          <w:b/>
          <w:bCs/>
          <w:color w:val="000000"/>
          <w:sz w:val="24"/>
          <w:szCs w:val="24"/>
        </w:rPr>
        <w:t xml:space="preserve">3.5.1 Architecture et Déroulement du Pipeline ETL</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pipeline ETL développé sous forme de scripts automatisés SQL et de services Spring Boot s'articule selon le diagramme d'activité de la figure 3.2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Extraction</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lecture incrémentale des écritures récentes depuis Microsoft Dynamics NAV.</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Transformation</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filtrage des valeurs aberrantes, imputation des stocks négatifs par le dernier inventaire physique certifié, standardisation des horodatages UTC et conversion des devises en Dinars Tunisiens (DT).</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Chargement &amp; Indexation</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insertion dans le schéma cible avec mise à jour des statistiques de cardinalité.</w:t>
      </w:r>
    </w:p>
    <w:p>
      <w:pPr>
        <w:spacing w:after="40" w:before="40"/>
      </w:pPr>
      <w:r>
        <w:t xml:space="preserve"/>
      </w:r>
    </w:p>
    <w:p>
      <w:pPr>
        <w:spacing w:after="60" w:before="140"/>
        <w:jc w:val="center"/>
      </w:pPr>
      <w:r>
        <w:drawing>
          <wp:inline distT="0" distB="0" distL="0" distR="0">
            <wp:extent cx="4924425"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924425" cy="361950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3.2 : Diagramme d'activité du pipeline de nettoyage et d'intégration ETL</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3.5.2 Optimisation SQL Server et Stratégie d'Indexation Clusterisée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performance de restitution constituant un critère critique, nous avons reconfiguré la stratégie d'indexation de la table `FACT_ILE`. La création d'un index clusterisé primaire sur la clé `Entry No_ DESC` combiné à des index couvrants non-clusterisés sur `(Item No_, Posting Date)` a métamorphosé les performances : le temps d'exécution moyen d'une extraction des 5 000 derniers mouvements est passé de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31 420 ms (timeout fréquent) à seulement 448 ms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garantissant une fluidité immédiate sur le frontend React.</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3.5.3 Stratégie d'Agrégation et d'Optimisation des Données Analytiques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alimenter efficacement les pipelines de modélisation prédictive et les tableaux de bord décisionnels sans saturer la base de données transactionnelle, une architecture d'agrégation et d'accélération analytique a été mise en œuvre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Pré-agrégation temporelle des séries de fabrication</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Les écritures brutes d'atelier (volumes horaires, temps de cycle de presse, consommations de matière) sont consolidées et pré-agrégées à l'échelle journalière, constituant des matrices de données prêtes pour l'inférence des modèles de Machine Learning (Prophet, ARIMA, Isolation Forest).</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Structuration et persistance des matrices en mémoire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Les agrégats multidimensionnels fréquemment sollicités (indicateurs TRG/OEE par centre de charge, volumétrie des 319 machines, valorisation des stocks) sont maintenus dans une structure analytique optimisée en mémoire vive (RAM). Cette organisation supprime les opérations d'I/O disques répétitives et réduit la charge computationnelle du Data Warehouse.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Accès analytique instantané (&lt; 1 ms)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Grâce à cette pré-structuration mémoire, les requêtes analytiques complexes et le chargement des séries temporelles sont servis instantanément (&lt; 1 ms), assurant une réactivité totale pour l'exploration de données et la restitution graphique.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Synchronisation incrémentale des flux</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 mécanisme de synchronisation actualise les agrégats analytiques au fil de l'intégration des nouveaux mouvements de production, garantissant en permanence la fraîcheur des indicateurs industriels.</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3.5.4 Bilan Qualité des Données et Performances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3.3 récapitule les gains qualitatifs et d'accélération analytique enregistrés après exécution du pipeline ETL et optimisation de l'accès aux données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800"/>
        <w:gridCol w:w="2100"/>
        <w:gridCol w:w="2100"/>
        <w:gridCol w:w="1666"/>
      </w:tblGrid>
      <w:tr>
        <w:trPr>
          <w:tblHeader/>
        </w:trPr>
        <w:tc>
          <w:tcPr>
            <w:tcW w:type="dxa" w:w="28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Indicateur Qualité / Performance</w:t>
            </w:r>
          </w:p>
        </w:tc>
        <w:tc>
          <w:tcPr>
            <w:tcW w:type="dxa" w:w="21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État Initial (DWH Brut)</w:t>
            </w:r>
          </w:p>
        </w:tc>
        <w:tc>
          <w:tcPr>
            <w:tcW w:type="dxa" w:w="21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État Après Optimisation Analytique</w:t>
            </w:r>
          </w:p>
        </w:tc>
        <w:tc>
          <w:tcPr>
            <w:tcW w:type="dxa" w:w="16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Gain / Amélioration</w:t>
            </w:r>
          </w:p>
        </w:tc>
      </w:tr>
      <w:tr>
        <w:tc>
          <w:tcPr>
            <w:tcW w:type="dxa" w:w="2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Taux de complétude des horodatages</w:t>
            </w:r>
          </w:p>
        </w:tc>
        <w:tc>
          <w:tcPr>
            <w:tcW w:type="dxa" w:w="21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91,4 %</w:t>
            </w:r>
          </w:p>
        </w:tc>
        <w:tc>
          <w:tcPr>
            <w:tcW w:type="dxa" w:w="21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100 % (Imputation normalisée)</w:t>
            </w:r>
          </w:p>
        </w:tc>
        <w:tc>
          <w:tcPr>
            <w:tcW w:type="dxa" w:w="16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+ 8,6 %</w:t>
            </w:r>
          </w:p>
        </w:tc>
      </w:tr>
      <w:tr>
        <w:tc>
          <w:tcPr>
            <w:tcW w:type="dxa" w:w="2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Proportion de stocks négatifs erronés</w:t>
            </w:r>
          </w:p>
        </w:tc>
        <w:tc>
          <w:tcPr>
            <w:tcW w:type="dxa" w:w="2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3,8 % des lignes</w:t>
            </w:r>
          </w:p>
        </w:tc>
        <w:tc>
          <w:tcPr>
            <w:tcW w:type="dxa" w:w="2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0 % (Correction par inventaire certifié)</w:t>
            </w:r>
          </w:p>
        </w:tc>
        <w:tc>
          <w:tcPr>
            <w:tcW w:type="dxa" w:w="1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Suppression totale des anomalies</w:t>
            </w:r>
          </w:p>
        </w:tc>
      </w:tr>
      <w:tr>
        <w:tc>
          <w:tcPr>
            <w:tcW w:type="dxa" w:w="2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Temps moyen d'extraction analytique (TOP 5000)</w:t>
            </w:r>
          </w:p>
        </w:tc>
        <w:tc>
          <w:tcPr>
            <w:tcW w:type="dxa" w:w="21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31,4 secondes</w:t>
            </w:r>
          </w:p>
        </w:tc>
        <w:tc>
          <w:tcPr>
            <w:tcW w:type="dxa" w:w="21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0,448 seconde (448 ms)</w:t>
            </w:r>
          </w:p>
        </w:tc>
        <w:tc>
          <w:tcPr>
            <w:tcW w:type="dxa" w:w="16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Temps divisé par 70 (Indexation)</w:t>
            </w:r>
          </w:p>
        </w:tc>
      </w:tr>
      <w:tr>
        <w:tc>
          <w:tcPr>
            <w:tcW w:type="dxa" w:w="2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Temps d'accès aux agrégats de séries en mémoire</w:t>
            </w:r>
          </w:p>
        </w:tc>
        <w:tc>
          <w:tcPr>
            <w:tcW w:type="dxa" w:w="2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Plusieurs secondes</w:t>
            </w:r>
          </w:p>
        </w:tc>
        <w:tc>
          <w:tcPr>
            <w:tcW w:type="dxa" w:w="2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&lt; 1 ms</w:t>
            </w:r>
          </w:p>
        </w:tc>
        <w:tc>
          <w:tcPr>
            <w:tcW w:type="dxa" w:w="1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Restitution instantanée des matrices</w:t>
            </w:r>
          </w:p>
        </w:tc>
      </w:tr>
      <w:tr>
        <w:tc>
          <w:tcPr>
            <w:tcW w:type="dxa" w:w="2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Unicité et intégrité référentielle</w:t>
            </w:r>
          </w:p>
        </w:tc>
        <w:tc>
          <w:tcPr>
            <w:tcW w:type="dxa" w:w="21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96,2 %</w:t>
            </w:r>
          </w:p>
        </w:tc>
        <w:tc>
          <w:tcPr>
            <w:tcW w:type="dxa" w:w="21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100 % (Clés étrangères garanties)</w:t>
            </w:r>
          </w:p>
        </w:tc>
        <w:tc>
          <w:tcPr>
            <w:tcW w:type="dxa" w:w="16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Fiabilisation intégrale</w:t>
            </w:r>
          </w:p>
        </w:tc>
      </w:tr>
    </w:tbl>
    <w:p>
      <w:pPr>
        <w:spacing w:after="120" w:before="80"/>
        <w:jc w:val="center"/>
      </w:pPr>
      <w:r>
        <w:rPr>
          <w:rFonts w:ascii="Times New Roman" w:cs="Times New Roman" w:eastAsia="Times New Roman" w:hAnsi="Times New Roman"/>
          <w:i/>
          <w:iCs/>
          <w:color w:val="595959"/>
          <w:sz w:val="20"/>
          <w:szCs w:val="20"/>
        </w:rPr>
        <w:t xml:space="preserve">Tableau 3.3 : Bilan qualité des données et performances avant et après optimisations</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3.6 Sécurité d'Accès, Gouvernance des Données et Rôles RBAC</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sécuriser l'accès aux données industrielles stratégiques du Data Warehouse et garantir une traçabilité rigoureuse des opérations, le système intègre une authentification sans état par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jeton JWT (JSON Web Token)</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et une politique de gouvernance des accès basée sur les rôles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RBAC (Role-Based Access Control)</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Administrateur (ADMIN)</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gouvernance globale de la plateforme, gestion des comptes utilisateurs, attribution des habilitations d'accès aux données et contrôle de conformité.</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Responsable de Production (MANAGER)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accès complet aux indicateurs décisionnels (TRG/OEE), supervision du parc de 319 machines, exécution des prévisions Prophet, analyse des anomalies et consultation des tableaux de bord Power BI.</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Opérateur d'Atelier (OPERATEUR)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saisie et consultation opérationnelle ciblée (déclaration des pièces produites, validation des mouvements d'inventaire et suivi des alertes locales).</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console d'administration (figure 3.3) offre à l'administrateur une vue unifiée pour la gestion des utilisateurs, l'activation des privilèges et le monitoring de la sécurité des accès aux données.</w:t>
      </w:r>
    </w:p>
    <w:p>
      <w:pPr>
        <w:spacing w:after="40" w:before="40"/>
      </w:pPr>
      <w:r>
        <w:t xml:space="preserve"/>
      </w:r>
    </w:p>
    <w:tbl>
      <w:tblPr>
        <w:tblW w:type="pct" w:w="90%"/>
        <w:jc w:val="center"/>
        <w:tblBorders>
          <w:top w:val="dashed" w:color="B0B0B0" w:sz="2"/>
          <w:left w:val="dashed" w:color="B0B0B0" w:sz="2"/>
          <w:bottom w:val="dashed" w:color="B0B0B0" w:sz="2"/>
          <w:right w:val="dashed" w:color="B0B0B0" w:sz="2"/>
          <w:insideH w:val="single" w:color="auto" w:sz="4"/>
          <w:insideV w:val="single" w:color="auto" w:sz="4"/>
        </w:tblBorders>
      </w:tblPr>
      <w:tblGrid>
        <w:gridCol w:w="100"/>
      </w:tblGrid>
      <w:tr>
        <w:trPr>
          <w:trHeight w:val="3600" w:hRule="atLeast"/>
        </w:trPr>
        <w:tc>
          <w:tcPr>
            <w:tcW w:type="pct" w:w="90%"/>
            <w:shd w:fill="FAFAFA" w:val="clear"/>
            <w:tcMar>
              <w:top w:type="dxa" w:w="100"/>
              <w:left w:type="dxa" w:w="100"/>
              <w:bottom w:type="dxa" w:w="100"/>
              <w:right w:type="dxa" w:w="100"/>
            </w:tcMar>
            <w:vAlign w:val="center"/>
          </w:tcPr>
          <w:p>
            <w:pPr>
              <w:spacing w:after="120" w:before="120"/>
              <w:jc w:val="center"/>
            </w:pPr>
            <w:r>
              <w:rPr>
                <w:rFonts w:ascii="Times New Roman" w:cs="Times New Roman" w:eastAsia="Times New Roman" w:hAnsi="Times New Roman"/>
                <w:i/>
                <w:iCs/>
                <w:color w:val="888888"/>
                <w:sz w:val="20"/>
                <w:szCs w:val="20"/>
              </w:rPr>
              <w:t xml:space="preserve">[ Emplacement réservé : insérer la figure ici ]</w:t>
            </w:r>
          </w:p>
        </w:tc>
      </w:tr>
    </w:tbl>
    <w:p>
      <w:pPr>
        <w:spacing w:after="180" w:before="80"/>
        <w:jc w:val="center"/>
      </w:pPr>
      <w:r>
        <w:rPr>
          <w:rFonts w:ascii="Times New Roman" w:cs="Times New Roman" w:eastAsia="Times New Roman" w:hAnsi="Times New Roman"/>
          <w:i/>
          <w:iCs/>
          <w:color w:val="595959"/>
          <w:sz w:val="20"/>
          <w:szCs w:val="20"/>
        </w:rPr>
        <w:t xml:space="preserve">Figure 3.3 : Capture d'écran : Console d'administration des utilisateurs et contrôle RBAC</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3.7 Bilan des Livrables et Validation du Sprint 1</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S'agissant d'un projet de fin d'études appliqué en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Data Science &amp; Business Intelligence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la démarche de validation du Sprint 1 repose sur des critères stricts de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qualité des données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d'</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intégrité du schéma DWH assaini</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(100% de complétude), de conformité du pipeline ETL et de validation de la gouvernance des données par le Product Owner.</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3.4 formalise le bilan des livrables validés à l'issue du Sprint 1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2000"/>
        <w:gridCol w:w="1266"/>
      </w:tblGrid>
      <w:tr>
        <w:trPr>
          <w:tblHeader/>
        </w:trPr>
        <w:tc>
          <w:tcPr>
            <w:tcW w:type="dxa" w:w="2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Tâche Réalisée</w:t>
            </w:r>
          </w:p>
        </w:tc>
        <w:tc>
          <w:tcPr>
            <w:tcW w:type="dxa" w:w="3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Livrable Associé</w:t>
            </w:r>
          </w:p>
        </w:tc>
        <w:tc>
          <w:tcPr>
            <w:tcW w:type="dxa" w:w="20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Validation Métier &amp; Data</w:t>
            </w:r>
          </w:p>
        </w:tc>
        <w:tc>
          <w:tcPr>
            <w:tcW w:type="dxa" w:w="12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w:t>
            </w:r>
          </w:p>
        </w:tc>
      </w:tr>
      <w:tr>
        <w:tc>
          <w:tcPr>
            <w:tcW w:type="dxa" w:w="2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Audit du Data Warehouse</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Rapport de cartographie des 83 tables et volumétries</w:t>
            </w:r>
          </w:p>
        </w:tc>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par le PO</w:t>
            </w:r>
          </w:p>
        </w:tc>
        <w:tc>
          <w:tcPr>
            <w:tcW w:type="dxa" w:w="12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Assainissement ETL</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Pipeline de nettoyage SQL et suppression des anomalies</w:t>
            </w:r>
          </w:p>
        </w:tc>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sur données réelles</w:t>
            </w:r>
          </w:p>
        </w:tc>
        <w:tc>
          <w:tcPr>
            <w:tcW w:type="dxa" w:w="1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2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Optimisation des requêtes DWH</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Index clusterisé PK sur Entry No_ DESC dans FACT_ILE</w:t>
            </w:r>
          </w:p>
        </w:tc>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(448 ms)</w:t>
            </w:r>
          </w:p>
        </w:tc>
        <w:tc>
          <w:tcPr>
            <w:tcW w:type="dxa" w:w="12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Agrégation analytique</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Pré-calcul des séries temporelles et accès optimisé en mémoire</w:t>
            </w:r>
          </w:p>
        </w:tc>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(&lt; 1 ms)</w:t>
            </w:r>
          </w:p>
        </w:tc>
        <w:tc>
          <w:tcPr>
            <w:tcW w:type="dxa" w:w="1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2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Gouvernance et sécurité d'accès</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Matrice RBAC et authentification JWT pour la protection des données</w:t>
            </w:r>
          </w:p>
        </w:tc>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fonctionnellement</w:t>
            </w:r>
          </w:p>
        </w:tc>
        <w:tc>
          <w:tcPr>
            <w:tcW w:type="dxa" w:w="12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Console d'administration</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Interface de gestion des profils et droits d'accès aux données</w:t>
            </w:r>
          </w:p>
        </w:tc>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par l'administrateur</w:t>
            </w:r>
          </w:p>
        </w:tc>
        <w:tc>
          <w:tcPr>
            <w:tcW w:type="dxa" w:w="1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bl>
    <w:p>
      <w:pPr>
        <w:spacing w:after="120" w:before="80"/>
        <w:jc w:val="center"/>
      </w:pPr>
      <w:r>
        <w:rPr>
          <w:rFonts w:ascii="Times New Roman" w:cs="Times New Roman" w:eastAsia="Times New Roman" w:hAnsi="Times New Roman"/>
          <w:i/>
          <w:iCs/>
          <w:color w:val="595959"/>
          <w:sz w:val="20"/>
          <w:szCs w:val="20"/>
        </w:rPr>
        <w:t xml:space="preserve">Tableau 3.4 : Bilan des livrables et validation du Sprint 1</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3.8 Conclusion</w:t>
      </w:r>
    </w:p>
    <w:p>
      <w:pPr>
        <w:spacing w:after="160" w:before="160" w:line="360" w:lineRule="auto"/>
        <w:jc w:val="both"/>
      </w:pPr>
      <w:r>
        <w:rPr>
          <w:rFonts w:ascii="Times New Roman" w:cs="Times New Roman" w:eastAsia="Times New Roman" w:hAnsi="Times New Roman"/>
          <w:b w:val="false"/>
          <w:bCs w:val="false"/>
          <w:i w:val="false"/>
          <w:iCs w:val="false"/>
          <w:color w:val="1A1A1A"/>
          <w:sz w:val="24"/>
          <w:szCs w:val="24"/>
        </w:rPr>
        <w:t xml:space="preserve">Le Sprint 1 a transformé un Data Warehouse brut et hétérogène en une source de données industrielle hautement performante, sécurisée et fiable. Grâce à l'indexation clusterisée de pointe et au contrôle d'accès RBAC, la plateforme Nexora dispose d'un socle transactionnel robuste pour aborder le deuxième cycle : la modélisation prédictive des cadences de production par Intelligence Artificielle.</w:t>
      </w:r>
    </w:p>
    <w:p>
      <w:pPr>
        <w:spacing w:after="0" w:before="0"/>
      </w:pPr>
      <w:r>
        <w:br w:type="page"/>
      </w:r>
    </w:p>
    <w:p>
      <w:pPr>
        <w:pStyle w:val="Heading1"/>
        <w:pageBreakBefore/>
        <w:pBdr>
          <w:bottom w:val="single" w:color="000000" w:sz="6" w:space="4"/>
        </w:pBdr>
        <w:spacing w:after="140" w:before="260"/>
        <w:outlineLvl w:val="0"/>
      </w:pPr>
      <w:r>
        <w:rPr>
          <w:rFonts w:ascii="Times New Roman" w:cs="Times New Roman" w:eastAsia="Times New Roman" w:hAnsi="Times New Roman"/>
          <w:b/>
          <w:bCs/>
          <w:caps/>
          <w:color w:val="000000"/>
          <w:sz w:val="34"/>
          <w:szCs w:val="34"/>
        </w:rPr>
        <w:t xml:space="preserve">Chapitre 4 : Sprint 2 – Modélisation Prédictive de Production et Détection d'Anomalies par Intelligence Artificielle</w:t>
      </w:r>
    </w:p>
    <w:p>
      <w:pPr>
        <w:pStyle w:val="Heading2"/>
        <w:spacing w:after="90" w:before="200"/>
        <w:outlineLvl w:val="1"/>
      </w:pPr>
      <w:r>
        <w:rPr>
          <w:rFonts w:ascii="Times New Roman" w:cs="Times New Roman" w:eastAsia="Times New Roman" w:hAnsi="Times New Roman"/>
          <w:b/>
          <w:bCs/>
          <w:color w:val="000000"/>
          <w:sz w:val="28"/>
          <w:szCs w:val="28"/>
        </w:rPr>
        <w:t xml:space="preserve">4.1 Introduction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chapitre constitue le cœur algorithmique de notre projet : le Sprint 2, dédié au développement du module de prévision des séries temporelles de fabrication et de détection d'anomalies d'atelier. Dans un environnement de plasturgie automobile pilotant 319 presses à injecter réparties entre la Tunisie et la République Tchèque, anticiper avec précision les volumes de pièces conformes à produire à des horizons de 7, 14 et 30 jours est indispensable pour calibrer la rotation des équipes (postes 3x8), ordonnancer le montage des moules, prévenir les ruptures de matière première et fiabiliser le taux de rendement global (TRG).</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Afin d'assurer une démarche rigoureuse et de garantir la pertinence opérationnelle du système, ce sprint est consacré à l'entraînement, l'évaluation et la comparaison des modèles d'intelligence artificielle effectivement intégrés et exécutés au sein de notre microservice Python FastAPI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Le modèle additif Prophet de Meta</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algorithme champion conçu pour les séries temporelles industrielles complexes avec détection automatique de points de rupture (</w:t>
      </w:r>
      <w:r>
        <w:rPr>
          <w:rFonts w:ascii="Times New Roman" w:cs="Times New Roman" w:eastAsia="Times New Roman" w:hAnsi="Times New Roman"/>
          <w:b w:val="false"/>
          <w:bCs w:val="false"/>
          <w:i/>
          <w:iCs/>
          <w:color w:val="1A1A1A"/>
          <w:sz w:val="24"/>
          <w:szCs w:val="24"/>
        </w:rPr>
        <w:t xml:space="preserve">changepoints</w:t>
      </w:r>
      <w:r>
        <w:rPr>
          <w:rFonts w:ascii="Times New Roman" w:cs="Times New Roman" w:eastAsia="Times New Roman" w:hAnsi="Times New Roman"/>
          <w:b w:val="false"/>
          <w:bCs w:val="false"/>
          <w:i w:val="false"/>
          <w:iCs w:val="false"/>
          <w:color w:val="1A1A1A"/>
          <w:sz w:val="24"/>
          <w:szCs w:val="24"/>
        </w:rPr>
        <w:t xml:space="preserve">), modélisation des saisonnalités périodiques par séries de Fourier, intégration déterministe des jours fériés et génération native d'intervalles de confiance bayésiens à 95 %.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Le modèle autorégressif ARIMA</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approche statistique de référence pour l'analyse des processus temporels univariés, servant de comparateur direct.</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La Régression Linéaire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modèle d'apprentissage statistique servant d'étalon de comparaison de référence.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L'algorithme Isolation Forest</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modèle d'apprentissage non supervisé dédié à la détection en temps réel des anomalies d'usinage, des temps de cycle dégradés et des dérives de cadence.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Tous les modèles sont entraînés et évalués sur le même historique consolidé issu de l'entrepôt de données consolidé, exploitant les mêmes variables explicatives d'atelier et soumis à un découpage strictement chronologique sans fuite d'information (</w:t>
      </w:r>
      <w:r>
        <w:rPr>
          <w:rFonts w:ascii="Times New Roman" w:cs="Times New Roman" w:eastAsia="Times New Roman" w:hAnsi="Times New Roman"/>
          <w:b w:val="false"/>
          <w:bCs w:val="false"/>
          <w:i/>
          <w:iCs/>
          <w:color w:val="1A1A1A"/>
          <w:sz w:val="24"/>
          <w:szCs w:val="24"/>
        </w:rPr>
        <w:t xml:space="preserve">data leakage</w:t>
      </w:r>
      <w:r>
        <w:rPr>
          <w:rFonts w:ascii="Times New Roman" w:cs="Times New Roman" w:eastAsia="Times New Roman" w:hAnsi="Times New Roman"/>
          <w:b w:val="false"/>
          <w:bCs w:val="false"/>
          <w:i w:val="false"/>
          <w:iCs w:val="false"/>
          <w:color w:val="1A1A1A"/>
          <w:sz w:val="24"/>
          <w:szCs w:val="24"/>
        </w:rPr>
        <w:t xml:space="preserve">).</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4.2 Sprint Backlog du Sprint 2</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4.1 détaille l'organisation des travaux planifiés et réalisés au cours du Sprint 2, structurés par priorité et durée d'ingénierie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900"/>
        <w:gridCol w:w="4200"/>
        <w:gridCol w:w="1100"/>
        <w:gridCol w:w="1200"/>
        <w:gridCol w:w="1266"/>
      </w:tblGrid>
      <w:tr>
        <w:trPr>
          <w:tblHeader/>
        </w:trPr>
        <w:tc>
          <w:tcPr>
            <w:tcW w:type="dxa" w:w="9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ID Tâche</w:t>
            </w:r>
          </w:p>
        </w:tc>
        <w:tc>
          <w:tcPr>
            <w:tcW w:type="dxa" w:w="4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Intitulé des Travaux du Sprint 2</w:t>
            </w:r>
          </w:p>
        </w:tc>
        <w:tc>
          <w:tcPr>
            <w:tcW w:type="dxa" w:w="11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Priorité</w:t>
            </w:r>
          </w:p>
        </w:tc>
        <w:tc>
          <w:tcPr>
            <w:tcW w:type="dxa" w:w="1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Durée Estimée</w:t>
            </w:r>
          </w:p>
        </w:tc>
        <w:tc>
          <w:tcPr>
            <w:tcW w:type="dxa" w:w="12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 Validé</w:t>
            </w:r>
          </w:p>
        </w:tc>
      </w:tr>
      <w:tr>
        <w:tc>
          <w:tcPr>
            <w:tcW w:type="dxa" w:w="9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TS01</w:t>
            </w:r>
          </w:p>
        </w:tc>
        <w:tc>
          <w:tcPr>
            <w:tcW w:type="dxa" w:w="4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Extraction, consolidation temporelle et transformation log de la variable cible de production</w:t>
            </w:r>
          </w:p>
        </w:tc>
        <w:tc>
          <w:tcPr>
            <w:tcW w:type="dxa" w:w="11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1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 jour</w:t>
            </w:r>
          </w:p>
        </w:tc>
        <w:tc>
          <w:tcPr>
            <w:tcW w:type="dxa" w:w="12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TS02</w:t>
            </w:r>
          </w:p>
        </w:tc>
        <w:tc>
          <w:tcPr>
            <w:tcW w:type="dxa" w:w="4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Sélection et ingénierie des 16 variables explicatives d'atelier (lags, rolling stats, arrêts)</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 jour</w:t>
            </w:r>
          </w:p>
        </w:tc>
        <w:tc>
          <w:tcPr>
            <w:tcW w:type="dxa" w:w="1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9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TS03</w:t>
            </w:r>
          </w:p>
        </w:tc>
        <w:tc>
          <w:tcPr>
            <w:tcW w:type="dxa" w:w="4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Implémentation et entraînement de la Régression Linéaire (baseline de tendance)</w:t>
            </w:r>
          </w:p>
        </w:tc>
        <w:tc>
          <w:tcPr>
            <w:tcW w:type="dxa" w:w="11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1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 jour</w:t>
            </w:r>
          </w:p>
        </w:tc>
        <w:tc>
          <w:tcPr>
            <w:tcW w:type="dxa" w:w="12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TS04</w:t>
            </w:r>
          </w:p>
        </w:tc>
        <w:tc>
          <w:tcPr>
            <w:tcW w:type="dxa" w:w="4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 et calibration du modèle autorégressif ARIMA de comparaison</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 jours</w:t>
            </w:r>
          </w:p>
        </w:tc>
        <w:tc>
          <w:tcPr>
            <w:tcW w:type="dxa" w:w="1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9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TS05</w:t>
            </w:r>
          </w:p>
        </w:tc>
        <w:tc>
          <w:tcPr>
            <w:tcW w:type="dxa" w:w="4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 optimisation et entraînement du modèle Prophet (Meta) avec bornes 95%</w:t>
            </w:r>
          </w:p>
        </w:tc>
        <w:tc>
          <w:tcPr>
            <w:tcW w:type="dxa" w:w="11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1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 jours</w:t>
            </w:r>
          </w:p>
        </w:tc>
        <w:tc>
          <w:tcPr>
            <w:tcW w:type="dxa" w:w="12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TS06</w:t>
            </w:r>
          </w:p>
        </w:tc>
        <w:tc>
          <w:tcPr>
            <w:tcW w:type="dxa" w:w="4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 de l'algorithme non supervisé Isolation Forest pour la détection d'anomalies</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 jour</w:t>
            </w:r>
          </w:p>
        </w:tc>
        <w:tc>
          <w:tcPr>
            <w:tcW w:type="dxa" w:w="1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9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TS07</w:t>
            </w:r>
          </w:p>
        </w:tc>
        <w:tc>
          <w:tcPr>
            <w:tcW w:type="dxa" w:w="4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Évaluation comparative multi-métriques (MAE, RMSE, MAPE, R²) et validation du champion</w:t>
            </w:r>
          </w:p>
        </w:tc>
        <w:tc>
          <w:tcPr>
            <w:tcW w:type="dxa" w:w="11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1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 jour</w:t>
            </w:r>
          </w:p>
        </w:tc>
        <w:tc>
          <w:tcPr>
            <w:tcW w:type="dxa" w:w="12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TS08</w:t>
            </w:r>
          </w:p>
        </w:tc>
        <w:tc>
          <w:tcPr>
            <w:tcW w:type="dxa" w:w="4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Déploiement du microservice FastAPI (Python 3.10) et intégration du fallback offline React</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 jours</w:t>
            </w:r>
          </w:p>
        </w:tc>
        <w:tc>
          <w:tcPr>
            <w:tcW w:type="dxa" w:w="1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9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TS09</w:t>
            </w:r>
          </w:p>
        </w:tc>
        <w:tc>
          <w:tcPr>
            <w:tcW w:type="dxa" w:w="4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Conception des interfaces de restitution ApexCharts avec visualisations des tendances</w:t>
            </w:r>
          </w:p>
        </w:tc>
        <w:tc>
          <w:tcPr>
            <w:tcW w:type="dxa" w:w="11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w:t>
            </w:r>
          </w:p>
        </w:tc>
        <w:tc>
          <w:tcPr>
            <w:tcW w:type="dxa" w:w="1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 jour</w:t>
            </w:r>
          </w:p>
        </w:tc>
        <w:tc>
          <w:tcPr>
            <w:tcW w:type="dxa" w:w="12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bl>
    <w:p>
      <w:pPr>
        <w:spacing w:after="120" w:before="80"/>
        <w:jc w:val="center"/>
      </w:pPr>
      <w:r>
        <w:rPr>
          <w:rFonts w:ascii="Times New Roman" w:cs="Times New Roman" w:eastAsia="Times New Roman" w:hAnsi="Times New Roman"/>
          <w:i/>
          <w:iCs/>
          <w:color w:val="595959"/>
          <w:sz w:val="20"/>
          <w:szCs w:val="20"/>
        </w:rPr>
        <w:t xml:space="preserve">Tableau 4.1 : Priorisation des tâches et backlog du Sprint 2 – Intelligence Artificielle</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4.3 Architecture du Module de Prévision et Flux en Cinq Étapes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module prédictif de Nexora est articulé selon un pipeline en cinq étapes séquentielles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1. Source de Données Opérationnelle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extraction automatisée depuis l'historique de fabrication du Data Warehouse, contenant les volumes réels usinés, les horodatages, les centres de charge et les identifiants d'outillage.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2. Préparation et Feature Engineering</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agrégation journalière, calcul des métriques glissantes, création des 16 descripteurs d'atelier et découpage chronologique.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3. Entraînement et Ajustement</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apprentissage comparatif des modèles de prévision (Régression Linéaire, ARIMA, Prophet) et du modèle d'anomalies (Isolation Forest).</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4. Évaluation Multi-Métriques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calcul des indicateurs canoniques (MAE, RMSE, MAPE, R²) sur le jeu de test indépendant et validation des écarts d'exactitude.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5. Inférence et Restitution Décisionnelle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exposition REST via FastAPI avec calcul des bornes de tolérance à 95 %, restitution interactive dans Metronic 8 et bascule automatique en mode dégradé local (</w:t>
      </w:r>
      <w:r>
        <w:rPr>
          <w:rFonts w:ascii="Times New Roman" w:cs="Times New Roman" w:eastAsia="Times New Roman" w:hAnsi="Times New Roman"/>
          <w:b w:val="false"/>
          <w:bCs w:val="false"/>
          <w:i/>
          <w:iCs/>
          <w:color w:val="1A1A1A"/>
          <w:sz w:val="24"/>
          <w:szCs w:val="24"/>
        </w:rPr>
        <w:t xml:space="preserve">offline fallback</w:t>
      </w:r>
      <w:r>
        <w:rPr>
          <w:rFonts w:ascii="Times New Roman" w:cs="Times New Roman" w:eastAsia="Times New Roman" w:hAnsi="Times New Roman"/>
          <w:b w:val="false"/>
          <w:bCs w:val="false"/>
          <w:i w:val="false"/>
          <w:iCs w:val="false"/>
          <w:color w:val="1A1A1A"/>
          <w:sz w:val="24"/>
          <w:szCs w:val="24"/>
        </w:rPr>
        <w:t xml:space="preserve">) en cas d'indisponibilité réseau.</w:t>
      </w:r>
    </w:p>
    <w:p>
      <w:pPr>
        <w:spacing w:after="40" w:before="40"/>
      </w:pPr>
      <w:r>
        <w:t xml:space="preserve"/>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4.4 Préparation des Données et Séries Temporelles Industrielles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garantir un protocole d'expérimentation rigoureux et équitable, l'ensemble des algorithmes prédictifs a été soumis à des conditions strictement identiques : même variable cible, mêmes variables explicatives d'entrée et même découpage temporel.</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4.4.1 Variable Cible et Transformation Logarithmique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variable cible correspond au volume total de pièces plastiques conformes usinées par jour sur l'atelier. Afin de stabiliser la variance et d'amortir les pointes extrêmes causées par les rattrapages de cadence post-maintenance, une transformation logarithmique `log1p` a été appliquée à la cible :</w:t>
      </w:r>
    </w:p>
    <w:tbl>
      <w:tblPr>
        <w:tblW w:type="pct" w:w="100%"/>
        <w:jc w:val="center"/>
        <w:tblBorders>
          <w:top w:val="none" w:color="FFFFFF" w:sz="0"/>
          <w:left w:val="none" w:color="FFFFFF" w:sz="0"/>
          <w:bottom w:val="none" w:color="FFFFFF" w:sz="0"/>
          <w:right w:val="none" w:color="FFFFFF" w:sz="0"/>
          <w:insideH w:val="single" w:color="auto" w:sz="4"/>
          <w:insideV w:val="single" w:color="auto" w:sz="4"/>
        </w:tblBorders>
      </w:tblPr>
      <w:tblGrid>
        <w:gridCol w:w="100"/>
        <w:gridCol w:w="100"/>
      </w:tblGrid>
      <w:tr>
        <w:tc>
          <w:tcPr>
            <w:tcW w:type="dxa" w:w="7400"/>
            <w:tcBorders>
              <w:top w:val="none" w:color="FFFFFF" w:sz="0"/>
              <w:left w:val="none" w:color="FFFFFF" w:sz="0"/>
              <w:bottom w:val="none" w:color="FFFFFF" w:sz="0"/>
              <w:right w:val="none" w:color="FFFFFF" w:sz="0"/>
            </w:tcBorders>
            <w:vAlign w:val="center"/>
          </w:tcPr>
          <w:p>
            <w:pPr>
              <w:spacing w:after="120" w:before="120"/>
              <w:jc w:val="center"/>
            </w:pPr>
            <w:r>
              <w:rPr>
                <w:rFonts w:ascii="Cambria Math" w:cs="Cambria Math" w:eastAsia="Cambria Math" w:hAnsi="Cambria Math"/>
                <w:i/>
                <w:iCs/>
                <w:sz w:val="23"/>
                <w:szCs w:val="23"/>
              </w:rPr>
              <w:t xml:space="preserve">log_production = ln(1 + y)</w:t>
            </w:r>
          </w:p>
        </w:tc>
        <w:tc>
          <w:tcPr>
            <w:tcW w:type="dxa" w:w="1266"/>
            <w:tcBorders>
              <w:top w:val="none" w:color="FFFFFF" w:sz="0"/>
              <w:left w:val="none" w:color="FFFFFF" w:sz="0"/>
              <w:bottom w:val="none" w:color="FFFFFF" w:sz="0"/>
              <w:right w:val="none" w:color="FFFFFF" w:sz="0"/>
            </w:tcBorders>
            <w:vAlign w:val="center"/>
          </w:tcPr>
          <w:p>
            <w:pPr>
              <w:spacing w:after="120" w:before="120"/>
              <w:jc w:val="right"/>
            </w:pPr>
            <w:r>
              <w:rPr>
                <w:rFonts w:ascii="Times New Roman" w:cs="Times New Roman" w:eastAsia="Times New Roman" w:hAnsi="Times New Roman"/>
                <w:sz w:val="22"/>
                <w:szCs w:val="22"/>
              </w:rPr>
              <w:t xml:space="preserve">(4.1)</w:t>
            </w:r>
          </w:p>
        </w:tc>
      </w:tr>
    </w:tbl>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Cette transformation stabilise la variance et abaisse l'asymétrie de distribution (</w:t>
      </w:r>
      <w:r>
        <w:rPr>
          <w:rFonts w:ascii="Times New Roman" w:cs="Times New Roman" w:eastAsia="Times New Roman" w:hAnsi="Times New Roman"/>
          <w:b w:val="false"/>
          <w:bCs w:val="false"/>
          <w:i/>
          <w:iCs/>
          <w:color w:val="1A1A1A"/>
          <w:sz w:val="24"/>
          <w:szCs w:val="24"/>
        </w:rPr>
        <w:t xml:space="preserve">skewness</w:t>
      </w:r>
      <w:r>
        <w:rPr>
          <w:rFonts w:ascii="Times New Roman" w:cs="Times New Roman" w:eastAsia="Times New Roman" w:hAnsi="Times New Roman"/>
          <w:b w:val="false"/>
          <w:bCs w:val="false"/>
          <w:i w:val="false"/>
          <w:iCs w:val="false"/>
          <w:color w:val="1A1A1A"/>
          <w:sz w:val="24"/>
          <w:szCs w:val="24"/>
        </w:rPr>
        <w:t xml:space="preserve">) de 1,84 à 0,32. L'ensemble des métriques d'évaluation finales (MAE, RMSE, MAPE) est calculé après reconversion des prédictions dans l'échelle d'origine en pièces par transformation réciproque `expm1(ŷ) = exp(ŷ) - 1`.</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4.4.2 Les 16 Variables Explicatives Industrielles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4.2 recense les 16 descripteurs explicatifs communs construits pour modéliser la dynamique de l'atelier d'injection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600"/>
        <w:gridCol w:w="2400"/>
        <w:gridCol w:w="2500"/>
        <w:gridCol w:w="2166"/>
      </w:tblGrid>
      <w:tr>
        <w:trPr>
          <w:tblHeader/>
        </w:trPr>
        <w:tc>
          <w:tcPr>
            <w:tcW w:type="dxa" w:w="16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Catégorie</w:t>
            </w:r>
          </w:p>
        </w:tc>
        <w:tc>
          <w:tcPr>
            <w:tcW w:type="dxa" w:w="2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Variables Retenues</w:t>
            </w:r>
          </w:p>
        </w:tc>
        <w:tc>
          <w:tcPr>
            <w:tcW w:type="dxa" w:w="25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Description Fonctionnelle</w:t>
            </w:r>
          </w:p>
        </w:tc>
        <w:tc>
          <w:tcPr>
            <w:tcW w:type="dxa" w:w="21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Rôle Prédictif dans l'Atelier</w:t>
            </w:r>
          </w:p>
        </w:tc>
      </w:tr>
      <w:tr>
        <w:tc>
          <w:tcPr>
            <w:tcW w:type="dxa" w:w="1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Contexte Calendaire</w:t>
            </w:r>
          </w:p>
        </w:tc>
        <w:tc>
          <w:tcPr>
            <w:tcW w:type="dxa" w:w="2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day_of_week, is_weekend, month</w:t>
            </w:r>
          </w:p>
        </w:tc>
        <w:tc>
          <w:tcPr>
            <w:tcW w:type="dxa" w:w="25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Jour de la semaine (1 à 7), indicateur binaire de fin de semaine, mois de l'année</w:t>
            </w:r>
          </w:p>
        </w:tc>
        <w:tc>
          <w:tcPr>
            <w:tcW w:type="dxa" w:w="21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Capture les rythmes de production hebdomadaires et les creux d'activité du week-end</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Événements &amp; Arrêts Usine</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is_maintenance_planifiee, is_changement_moule, is_jour_ferie, is_equipe_nuit</w:t>
            </w:r>
          </w:p>
        </w:tc>
        <w:tc>
          <w:tcPr>
            <w:tcW w:type="dxa" w:w="25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Indicateurs binaires des arrêts de maintenance, montages d'outillage, jours chômés et postes 3x8</w:t>
            </w:r>
          </w:p>
        </w:tc>
        <w:tc>
          <w:tcPr>
            <w:tcW w:type="dxa" w:w="21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Neutralise les chutes brutales de cadence imputables aux révisions d'outillage ou jours fermés</w:t>
            </w:r>
          </w:p>
        </w:tc>
      </w:tr>
      <w:tr>
        <w:tc>
          <w:tcPr>
            <w:tcW w:type="dxa" w:w="1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Lags Temporels (Retards)</w:t>
            </w:r>
          </w:p>
        </w:tc>
        <w:tc>
          <w:tcPr>
            <w:tcW w:type="dxa" w:w="2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lag_1, lag_7, lag_14, lag_30</w:t>
            </w:r>
          </w:p>
        </w:tc>
        <w:tc>
          <w:tcPr>
            <w:tcW w:type="dxa" w:w="25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Valeurs historiques de cadence à J-1, J-7, J-14 et J-30 (même jour le mois précédent)</w:t>
            </w:r>
          </w:p>
        </w:tc>
        <w:tc>
          <w:tcPr>
            <w:tcW w:type="dxa" w:w="21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Capture l'inertie de fabrication à très court terme (J-1) et les effets de périodicité hebdomadaire (J-7)</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Statistiques Mobiles (Rolling)</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roll_mean_7, roll_mean_14, roll_std_7, roll_std_28, ratio_cadence_1_7</w:t>
            </w:r>
          </w:p>
        </w:tc>
        <w:tc>
          <w:tcPr>
            <w:tcW w:type="dxa" w:w="25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Moyennes glissantes sur 7 et 14 jours, volatilité glissante sur 7 et 28 jours, ratio d'accélération (J / moy 7j)</w:t>
            </w:r>
          </w:p>
        </w:tc>
        <w:tc>
          <w:tcPr>
            <w:tcW w:type="dxa" w:w="21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Modélise la tendance dynamique sous-jacente et quantifie la dispersion opérationnelle des presses</w:t>
            </w:r>
          </w:p>
        </w:tc>
      </w:tr>
    </w:tbl>
    <w:p>
      <w:pPr>
        <w:spacing w:after="120" w:before="80"/>
        <w:jc w:val="center"/>
      </w:pPr>
      <w:r>
        <w:rPr>
          <w:rFonts w:ascii="Times New Roman" w:cs="Times New Roman" w:eastAsia="Times New Roman" w:hAnsi="Times New Roman"/>
          <w:i/>
          <w:iCs/>
          <w:color w:val="595959"/>
          <w:sz w:val="20"/>
          <w:szCs w:val="20"/>
        </w:rPr>
        <w:t xml:space="preserve">Tableau 4.2 : Les 16 variables explicatives industrielles communes aux modèles</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4.4.3 Découpage Chronologique Train / Test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séries temporelles industrielles exigent un découpage strictement chronologique (</w:t>
      </w:r>
      <w:r>
        <w:rPr>
          <w:rFonts w:ascii="Times New Roman" w:cs="Times New Roman" w:eastAsia="Times New Roman" w:hAnsi="Times New Roman"/>
          <w:b w:val="false"/>
          <w:bCs w:val="false"/>
          <w:i/>
          <w:iCs/>
          <w:color w:val="1A1A1A"/>
          <w:sz w:val="24"/>
          <w:szCs w:val="24"/>
        </w:rPr>
        <w:t xml:space="preserve">time-based split</w:t>
      </w:r>
      <w:r>
        <w:rPr>
          <w:rFonts w:ascii="Times New Roman" w:cs="Times New Roman" w:eastAsia="Times New Roman" w:hAnsi="Times New Roman"/>
          <w:b w:val="false"/>
          <w:bCs w:val="false"/>
          <w:i w:val="false"/>
          <w:iCs w:val="false"/>
          <w:color w:val="1A1A1A"/>
          <w:sz w:val="24"/>
          <w:szCs w:val="24"/>
        </w:rPr>
        <w:t xml:space="preserve">) : les modèles apprennent sur les observations passées et prédisent le futur, interdisant toute fuite temporelle (</w:t>
      </w:r>
      <w:r>
        <w:rPr>
          <w:rFonts w:ascii="Times New Roman" w:cs="Times New Roman" w:eastAsia="Times New Roman" w:hAnsi="Times New Roman"/>
          <w:b w:val="false"/>
          <w:bCs w:val="false"/>
          <w:i/>
          <w:iCs/>
          <w:color w:val="1A1A1A"/>
          <w:sz w:val="24"/>
          <w:szCs w:val="24"/>
        </w:rPr>
        <w:t xml:space="preserve">data leakage</w:t>
      </w:r>
      <w:r>
        <w:rPr>
          <w:rFonts w:ascii="Times New Roman" w:cs="Times New Roman" w:eastAsia="Times New Roman" w:hAnsi="Times New Roman"/>
          <w:b w:val="false"/>
          <w:bCs w:val="false"/>
          <w:i w:val="false"/>
          <w:iCs w:val="false"/>
          <w:color w:val="1A1A1A"/>
          <w:sz w:val="24"/>
          <w:szCs w:val="24"/>
        </w:rPr>
        <w:t xml:space="preserve">)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800"/>
        <w:gridCol w:w="1100"/>
        <w:gridCol w:w="1500"/>
        <w:gridCol w:w="2100"/>
        <w:gridCol w:w="2166"/>
      </w:tblGrid>
      <w:tr>
        <w:trPr>
          <w:tblHeader/>
        </w:trPr>
        <w:tc>
          <w:tcPr>
            <w:tcW w:type="dxa" w:w="18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Ensemble de Données</w:t>
            </w:r>
          </w:p>
        </w:tc>
        <w:tc>
          <w:tcPr>
            <w:tcW w:type="dxa" w:w="11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Proportion</w:t>
            </w:r>
          </w:p>
        </w:tc>
        <w:tc>
          <w:tcPr>
            <w:tcW w:type="dxa" w:w="15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Nombre d'Observations</w:t>
            </w:r>
          </w:p>
        </w:tc>
        <w:tc>
          <w:tcPr>
            <w:tcW w:type="dxa" w:w="21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Période Couverte</w:t>
            </w:r>
          </w:p>
        </w:tc>
        <w:tc>
          <w:tcPr>
            <w:tcW w:type="dxa" w:w="21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Rôle dans l'Expérimentation</w:t>
            </w:r>
          </w:p>
        </w:tc>
      </w:tr>
      <w:tr>
        <w:tc>
          <w:tcPr>
            <w:tcW w:type="dxa" w:w="1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Entraînement (Train Set)</w:t>
            </w:r>
          </w:p>
        </w:tc>
        <w:tc>
          <w:tcPr>
            <w:tcW w:type="dxa" w:w="11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80 %</w:t>
            </w:r>
          </w:p>
        </w:tc>
        <w:tc>
          <w:tcPr>
            <w:tcW w:type="dxa" w:w="15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388 jours ouvrés</w:t>
            </w:r>
          </w:p>
        </w:tc>
        <w:tc>
          <w:tcPr>
            <w:tcW w:type="dxa" w:w="21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Du 01/01/2023 au 22/01/2024</w:t>
            </w:r>
          </w:p>
        </w:tc>
        <w:tc>
          <w:tcPr>
            <w:tcW w:type="dxa" w:w="21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Apprentissage des paramètres et ajustement des coefficients</w:t>
            </w:r>
          </w:p>
        </w:tc>
      </w:tr>
      <w:tr>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Test (Test Set)</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20 %</w:t>
            </w:r>
          </w:p>
        </w:tc>
        <w:tc>
          <w:tcPr>
            <w:tcW w:type="dxa" w:w="15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98 jours ouvrés</w:t>
            </w:r>
          </w:p>
        </w:tc>
        <w:tc>
          <w:tcPr>
            <w:tcW w:type="dxa" w:w="2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Du 23/01/2024 au 30/04/2024</w:t>
            </w:r>
          </w:p>
        </w:tc>
        <w:tc>
          <w:tcPr>
            <w:tcW w:type="dxa" w:w="21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Évaluation impartiale de la capacité de généralisation sur données non vues</w:t>
            </w:r>
          </w:p>
        </w:tc>
      </w:tr>
    </w:tbl>
    <w:p>
      <w:pPr>
        <w:spacing w:after="120" w:before="80"/>
        <w:jc w:val="center"/>
      </w:pPr>
      <w:r>
        <w:rPr>
          <w:rFonts w:ascii="Times New Roman" w:cs="Times New Roman" w:eastAsia="Times New Roman" w:hAnsi="Times New Roman"/>
          <w:i/>
          <w:iCs/>
          <w:color w:val="595959"/>
          <w:sz w:val="20"/>
          <w:szCs w:val="20"/>
        </w:rPr>
        <w:t xml:space="preserve">Tableau 4.3 : Découpage chronologique Train / Test</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4.5 Métriques d'Évaluation de la Performance Prédictive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apprécier les mérites respectifs des modèles sous tous leurs angles (dispersion absolue, sensibilité aux grands écarts, interprétabilité managériale et part de variance expliquée), quatre métriques d'évaluation complémentaires ont été retenues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600"/>
        <w:gridCol w:w="2400"/>
        <w:gridCol w:w="2400"/>
        <w:gridCol w:w="2266"/>
      </w:tblGrid>
      <w:tr>
        <w:trPr>
          <w:tblHeader/>
        </w:trPr>
        <w:tc>
          <w:tcPr>
            <w:tcW w:type="dxa" w:w="16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Métrique</w:t>
            </w:r>
          </w:p>
        </w:tc>
        <w:tc>
          <w:tcPr>
            <w:tcW w:type="dxa" w:w="2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Formulation Mathématique</w:t>
            </w:r>
          </w:p>
        </w:tc>
        <w:tc>
          <w:tcPr>
            <w:tcW w:type="dxa" w:w="2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Signification Opérationnelle</w:t>
            </w:r>
          </w:p>
        </w:tc>
        <w:tc>
          <w:tcPr>
            <w:tcW w:type="dxa" w:w="22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Interprétation Métier Nexora</w:t>
            </w:r>
          </w:p>
        </w:tc>
      </w:tr>
      <w:tr>
        <w:tc>
          <w:tcPr>
            <w:tcW w:type="dxa" w:w="1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MAE</w:t>
            </w:r>
          </w:p>
        </w:tc>
        <w:tc>
          <w:tcPr>
            <w:tcW w:type="dxa" w:w="2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MAE = (1/n) · ∑ |yᵢ - ŷᵢ|</w:t>
            </w:r>
          </w:p>
        </w:tc>
        <w:tc>
          <w:tcPr>
            <w:tcW w:type="dxa" w:w="2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Erreur absolue moyenne exprimée en pièces physiques</w:t>
            </w:r>
          </w:p>
        </w:tc>
        <w:tc>
          <w:tcPr>
            <w:tcW w:type="dxa" w:w="22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Plus faible est la valeur, plus l'estimation quotidienne est proche de la réalité (cible &lt; 10 pcs)</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RMSE</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RMSE = √ [ (1/n) · ∑ (yᵢ - ŷᵢ)² ]</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Racine carrée de l'erreur quadratique moyenne</w:t>
            </w:r>
          </w:p>
        </w:tc>
        <w:tc>
          <w:tcPr>
            <w:tcW w:type="dxa" w:w="2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Pénalise sévèrement les écarts de forte amplitude causés par les pannes non anticipées</w:t>
            </w:r>
          </w:p>
        </w:tc>
      </w:tr>
      <w:tr>
        <w:tc>
          <w:tcPr>
            <w:tcW w:type="dxa" w:w="1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MAPE</w:t>
            </w:r>
          </w:p>
        </w:tc>
        <w:tc>
          <w:tcPr>
            <w:tcW w:type="dxa" w:w="2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MAPE = (100%/n) · ∑ |(yᵢ - ŷᵢ) / yᵢ|</w:t>
            </w:r>
          </w:p>
        </w:tc>
        <w:tc>
          <w:tcPr>
            <w:tcW w:type="dxa" w:w="2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Erreur relative moyenne exprimée en pourcentage</w:t>
            </w:r>
          </w:p>
        </w:tc>
        <w:tc>
          <w:tcPr>
            <w:tcW w:type="dxa" w:w="22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Indicateur universel de pilotage : &lt; 5% excellent, &lt; 10% bon, &gt; 15% inacceptable</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R²</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R² = 1 - [ ∑(yᵢ - ŷᵢ)² / ∑(yᵢ - ȳ)² ]</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Proportion de la variance historique expliquée par le modèle</w:t>
            </w:r>
          </w:p>
        </w:tc>
        <w:tc>
          <w:tcPr>
            <w:tcW w:type="dxa" w:w="2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Proche de 1 = modèle capturant fidèlement les composantes de cadence d'atelier</w:t>
            </w:r>
          </w:p>
        </w:tc>
      </w:tr>
    </w:tbl>
    <w:p>
      <w:pPr>
        <w:spacing w:after="120" w:before="80"/>
        <w:jc w:val="center"/>
      </w:pPr>
      <w:r>
        <w:rPr>
          <w:rFonts w:ascii="Times New Roman" w:cs="Times New Roman" w:eastAsia="Times New Roman" w:hAnsi="Times New Roman"/>
          <w:i/>
          <w:iCs/>
          <w:color w:val="595959"/>
          <w:sz w:val="20"/>
          <w:szCs w:val="20"/>
        </w:rPr>
        <w:t xml:space="preserve">Tableau 4.4 : Métriques d'évaluation des modèles de prévision</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4.6 Développement, Formulation Mathématique et Comparaison des Modèles de l'Application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Cette section détaille le principe de fonctionnement, l'architecture retenue, la formulation mathématique rigoureuse ainsi que les avantages et les limites de chacun des modèles conçus, entraînés et déployés dans l'application Nexora.</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4.6.1 Régression Linéaire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régression linéaire est le modèle statistique de référence pour la prévision de tendance. Elle modélise la variable cible (cadence journalière de production) comme une combinaison linéaire pondérée des variables d'entrée :</w:t>
      </w:r>
    </w:p>
    <w:tbl>
      <w:tblPr>
        <w:tblW w:type="pct" w:w="100%"/>
        <w:jc w:val="center"/>
        <w:tblBorders>
          <w:top w:val="none" w:color="FFFFFF" w:sz="0"/>
          <w:left w:val="none" w:color="FFFFFF" w:sz="0"/>
          <w:bottom w:val="none" w:color="FFFFFF" w:sz="0"/>
          <w:right w:val="none" w:color="FFFFFF" w:sz="0"/>
          <w:insideH w:val="single" w:color="auto" w:sz="4"/>
          <w:insideV w:val="single" w:color="auto" w:sz="4"/>
        </w:tblBorders>
      </w:tblPr>
      <w:tblGrid>
        <w:gridCol w:w="100"/>
        <w:gridCol w:w="100"/>
      </w:tblGrid>
      <w:tr>
        <w:tc>
          <w:tcPr>
            <w:tcW w:type="dxa" w:w="7400"/>
            <w:tcBorders>
              <w:top w:val="none" w:color="FFFFFF" w:sz="0"/>
              <w:left w:val="none" w:color="FFFFFF" w:sz="0"/>
              <w:bottom w:val="none" w:color="FFFFFF" w:sz="0"/>
              <w:right w:val="none" w:color="FFFFFF" w:sz="0"/>
            </w:tcBorders>
            <w:vAlign w:val="center"/>
          </w:tcPr>
          <w:p>
            <w:pPr>
              <w:spacing w:after="120" w:before="120"/>
              <w:jc w:val="center"/>
            </w:pPr>
            <w:r>
              <w:rPr>
                <w:rFonts w:ascii="Cambria Math" w:cs="Cambria Math" w:eastAsia="Cambria Math" w:hAnsi="Cambria Math"/>
                <w:i/>
                <w:iCs/>
                <w:sz w:val="23"/>
                <w:szCs w:val="23"/>
              </w:rPr>
              <w:t xml:space="preserve">ŷ = β₀ + ∑ⱼ₌₁ᵖ βⱼ xⱼ  [6]</w:t>
            </w:r>
          </w:p>
        </w:tc>
        <w:tc>
          <w:tcPr>
            <w:tcW w:type="dxa" w:w="1266"/>
            <w:tcBorders>
              <w:top w:val="none" w:color="FFFFFF" w:sz="0"/>
              <w:left w:val="none" w:color="FFFFFF" w:sz="0"/>
              <w:bottom w:val="none" w:color="FFFFFF" w:sz="0"/>
              <w:right w:val="none" w:color="FFFFFF" w:sz="0"/>
            </w:tcBorders>
            <w:vAlign w:val="center"/>
          </w:tcPr>
          <w:p>
            <w:pPr>
              <w:spacing w:after="120" w:before="120"/>
              <w:jc w:val="right"/>
            </w:pPr>
            <w:r>
              <w:rPr>
                <w:rFonts w:ascii="Times New Roman" w:cs="Times New Roman" w:eastAsia="Times New Roman" w:hAnsi="Times New Roman"/>
                <w:sz w:val="22"/>
                <w:szCs w:val="22"/>
              </w:rPr>
              <w:t xml:space="preserve">(4.2)</w:t>
            </w:r>
          </w:p>
        </w:tc>
      </w:tr>
    </w:tbl>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coefficients βⱼ sont estimés par la méthode des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moindres carrés ordinaires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(MCO) [6], qui minimise la somme des erreurs quadratiques résiduelles entre les valeurs observées et les prédictions.</w:t>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4333"/>
        <w:gridCol w:w="4333"/>
      </w:tblGrid>
      <w:tr>
        <w:trPr>
          <w:tblHeader/>
        </w:trPr>
        <w:tc>
          <w:tcPr>
            <w:tcW w:type="dxa" w:w="4333"/>
            <w:tcBorders>
              <w:top w:val="single" w:color="AAAAAA" w:sz="1"/>
              <w:left w:val="single" w:color="AAAAAA" w:sz="1"/>
              <w:bottom w:val="single" w:color="AAAAAA" w:sz="1"/>
              <w:right w:val="single" w:color="AAAAAA" w:sz="1"/>
            </w:tcBorders>
            <w:shd w:fill="D9EAD3" w:val="clear"/>
            <w:tcMar>
              <w:top w:type="dxa" w:w="70"/>
              <w:left w:type="dxa" w:w="100"/>
              <w:bottom w:type="dxa" w:w="70"/>
              <w:right w:type="dxa" w:w="100"/>
            </w:tcMar>
            <w:vAlign w:val="center"/>
          </w:tcPr>
          <w:p>
            <w:pPr>
              <w:spacing w:after="20" w:before="20"/>
              <w:jc w:val="left"/>
            </w:pPr>
            <w:r>
              <w:rPr>
                <w:rFonts w:ascii="Times New Roman" w:cs="Times New Roman" w:eastAsia="Times New Roman" w:hAnsi="Times New Roman"/>
                <w:b/>
                <w:bCs/>
                <w:color w:val="1C3A13"/>
                <w:sz w:val="21"/>
                <w:szCs w:val="21"/>
              </w:rPr>
              <w:t xml:space="preserve">Avantages</w:t>
            </w:r>
          </w:p>
        </w:tc>
        <w:tc>
          <w:tcPr>
            <w:tcW w:type="dxa" w:w="4333"/>
            <w:tcBorders>
              <w:top w:val="single" w:color="AAAAAA" w:sz="1"/>
              <w:left w:val="single" w:color="AAAAAA" w:sz="1"/>
              <w:bottom w:val="single" w:color="AAAAAA" w:sz="1"/>
              <w:right w:val="single" w:color="AAAAAA" w:sz="1"/>
            </w:tcBorders>
            <w:shd w:fill="FCE4D6" w:val="clear"/>
            <w:tcMar>
              <w:top w:type="dxa" w:w="70"/>
              <w:left w:type="dxa" w:w="100"/>
              <w:bottom w:type="dxa" w:w="70"/>
              <w:right w:type="dxa" w:w="100"/>
            </w:tcMar>
            <w:vAlign w:val="center"/>
          </w:tcPr>
          <w:p>
            <w:pPr>
              <w:spacing w:after="20" w:before="20"/>
              <w:jc w:val="left"/>
            </w:pPr>
            <w:r>
              <w:rPr>
                <w:rFonts w:ascii="Times New Roman" w:cs="Times New Roman" w:eastAsia="Times New Roman" w:hAnsi="Times New Roman"/>
                <w:b/>
                <w:bCs/>
                <w:color w:val="4A1C14"/>
                <w:sz w:val="21"/>
                <w:szCs w:val="21"/>
              </w:rPr>
              <w:t xml:space="preserve">Limites</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Très rapide à entraîner et coût computationnel minime (&lt; 10 ms)</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Suppose une relation strictement linéaire entre variables d'atelier et cadence</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Coefficients directement lisibles et interprétables par les équipes d'atelier</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Sensible aux valeurs aberrantes et aux arrêts machines impromptus</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Sert d'étalon de comparaison objectif (baseline) pour quantifier le gain des modèles avancés</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Incapable de capturer les cycles périodiques hebdomadaires et les effets non linéaires</w:t>
            </w:r>
          </w:p>
        </w:tc>
      </w:tr>
    </w:tbl>
    <w:p>
      <w:pPr>
        <w:spacing w:after="140" w:before="90"/>
        <w:jc w:val="center"/>
      </w:pPr>
      <w:r>
        <w:rPr>
          <w:rFonts w:ascii="Times New Roman" w:cs="Times New Roman" w:eastAsia="Times New Roman" w:hAnsi="Times New Roman"/>
          <w:b/>
          <w:bCs/>
          <w:color w:val="333333"/>
          <w:sz w:val="20"/>
          <w:szCs w:val="20"/>
        </w:rPr>
        <w:t xml:space="preserve">TABLEAU 4.5 : </w:t>
      </w:r>
      <w:r>
        <w:rPr>
          <w:rFonts w:ascii="Times New Roman" w:cs="Times New Roman" w:eastAsia="Times New Roman" w:hAnsi="Times New Roman"/>
          <w:color w:val="333333"/>
          <w:sz w:val="20"/>
          <w:szCs w:val="20"/>
        </w:rPr>
        <w:t xml:space="preserve">Avantages et limites : Régression Linéaire</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4.6.2 Modèle Autorégressif ARIMA</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modèle autorégressif intégré à moyenne mobile ARIMA(p, d, q) combine des termes autorégressifs d'ordre p, un ordre de différenciation d pour rendre la série stationnaire, et des termes de moyenne mobile d'ordre q modélisant les chocs résiduels :</w:t>
      </w:r>
    </w:p>
    <w:tbl>
      <w:tblPr>
        <w:tblW w:type="pct" w:w="100%"/>
        <w:jc w:val="center"/>
        <w:tblBorders>
          <w:top w:val="none" w:color="FFFFFF" w:sz="0"/>
          <w:left w:val="none" w:color="FFFFFF" w:sz="0"/>
          <w:bottom w:val="none" w:color="FFFFFF" w:sz="0"/>
          <w:right w:val="none" w:color="FFFFFF" w:sz="0"/>
          <w:insideH w:val="single" w:color="auto" w:sz="4"/>
          <w:insideV w:val="single" w:color="auto" w:sz="4"/>
        </w:tblBorders>
      </w:tblPr>
      <w:tblGrid>
        <w:gridCol w:w="100"/>
        <w:gridCol w:w="100"/>
      </w:tblGrid>
      <w:tr>
        <w:tc>
          <w:tcPr>
            <w:tcW w:type="dxa" w:w="7400"/>
            <w:tcBorders>
              <w:top w:val="none" w:color="FFFFFF" w:sz="0"/>
              <w:left w:val="none" w:color="FFFFFF" w:sz="0"/>
              <w:bottom w:val="none" w:color="FFFFFF" w:sz="0"/>
              <w:right w:val="none" w:color="FFFFFF" w:sz="0"/>
            </w:tcBorders>
            <w:vAlign w:val="center"/>
          </w:tcPr>
          <w:p>
            <w:pPr>
              <w:spacing w:after="120" w:before="120"/>
              <w:jc w:val="center"/>
            </w:pPr>
            <w:r>
              <w:rPr>
                <w:rFonts w:ascii="Cambria Math" w:cs="Cambria Math" w:eastAsia="Cambria Math" w:hAnsi="Cambria Math"/>
                <w:i/>
                <w:iCs/>
                <w:sz w:val="23"/>
                <w:szCs w:val="23"/>
              </w:rPr>
              <w:t xml:space="preserve">Φ_p(B) · (1 - B)ᵈ yₜ = Θ_q(B) · εₜ  [10]</w:t>
            </w:r>
          </w:p>
        </w:tc>
        <w:tc>
          <w:tcPr>
            <w:tcW w:type="dxa" w:w="1266"/>
            <w:tcBorders>
              <w:top w:val="none" w:color="FFFFFF" w:sz="0"/>
              <w:left w:val="none" w:color="FFFFFF" w:sz="0"/>
              <w:bottom w:val="none" w:color="FFFFFF" w:sz="0"/>
              <w:right w:val="none" w:color="FFFFFF" w:sz="0"/>
            </w:tcBorders>
            <w:vAlign w:val="center"/>
          </w:tcPr>
          <w:p>
            <w:pPr>
              <w:spacing w:after="120" w:before="120"/>
              <w:jc w:val="right"/>
            </w:pPr>
            <w:r>
              <w:rPr>
                <w:rFonts w:ascii="Times New Roman" w:cs="Times New Roman" w:eastAsia="Times New Roman" w:hAnsi="Times New Roman"/>
                <w:sz w:val="22"/>
                <w:szCs w:val="22"/>
              </w:rPr>
              <w:t xml:space="preserve">(4.3)</w:t>
            </w:r>
          </w:p>
        </w:tc>
      </w:tr>
    </w:tbl>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où B représente l'opérateur retard (Backshift operator tel que Bᵏ yₜ = yₜ₋ₖ), Φ_p(B) le polynôme autorégressif et Θ_q(B) le polynôme de moyenne mobile. Dans l'application Nexora, ARIMA est intégré comme modèle de comparaison autorégressif court terme pour valider l'apport de Prophet.</w:t>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4333"/>
        <w:gridCol w:w="4333"/>
      </w:tblGrid>
      <w:tr>
        <w:trPr>
          <w:tblHeader/>
        </w:trPr>
        <w:tc>
          <w:tcPr>
            <w:tcW w:type="dxa" w:w="4333"/>
            <w:tcBorders>
              <w:top w:val="single" w:color="AAAAAA" w:sz="1"/>
              <w:left w:val="single" w:color="AAAAAA" w:sz="1"/>
              <w:bottom w:val="single" w:color="AAAAAA" w:sz="1"/>
              <w:right w:val="single" w:color="AAAAAA" w:sz="1"/>
            </w:tcBorders>
            <w:shd w:fill="D9EAD3" w:val="clear"/>
            <w:tcMar>
              <w:top w:type="dxa" w:w="70"/>
              <w:left w:type="dxa" w:w="100"/>
              <w:bottom w:type="dxa" w:w="70"/>
              <w:right w:type="dxa" w:w="100"/>
            </w:tcMar>
            <w:vAlign w:val="center"/>
          </w:tcPr>
          <w:p>
            <w:pPr>
              <w:spacing w:after="20" w:before="20"/>
              <w:jc w:val="left"/>
            </w:pPr>
            <w:r>
              <w:rPr>
                <w:rFonts w:ascii="Times New Roman" w:cs="Times New Roman" w:eastAsia="Times New Roman" w:hAnsi="Times New Roman"/>
                <w:b/>
                <w:bCs/>
                <w:color w:val="1C3A13"/>
                <w:sz w:val="21"/>
                <w:szCs w:val="21"/>
              </w:rPr>
              <w:t xml:space="preserve">Avantages</w:t>
            </w:r>
          </w:p>
        </w:tc>
        <w:tc>
          <w:tcPr>
            <w:tcW w:type="dxa" w:w="4333"/>
            <w:tcBorders>
              <w:top w:val="single" w:color="AAAAAA" w:sz="1"/>
              <w:left w:val="single" w:color="AAAAAA" w:sz="1"/>
              <w:bottom w:val="single" w:color="AAAAAA" w:sz="1"/>
              <w:right w:val="single" w:color="AAAAAA" w:sz="1"/>
            </w:tcBorders>
            <w:shd w:fill="FCE4D6" w:val="clear"/>
            <w:tcMar>
              <w:top w:type="dxa" w:w="70"/>
              <w:left w:type="dxa" w:w="100"/>
              <w:bottom w:type="dxa" w:w="70"/>
              <w:right w:type="dxa" w:w="100"/>
            </w:tcMar>
            <w:vAlign w:val="center"/>
          </w:tcPr>
          <w:p>
            <w:pPr>
              <w:spacing w:after="20" w:before="20"/>
              <w:jc w:val="left"/>
            </w:pPr>
            <w:r>
              <w:rPr>
                <w:rFonts w:ascii="Times New Roman" w:cs="Times New Roman" w:eastAsia="Times New Roman" w:hAnsi="Times New Roman"/>
                <w:b/>
                <w:bCs/>
                <w:color w:val="4A1C14"/>
                <w:sz w:val="21"/>
                <w:szCs w:val="21"/>
              </w:rPr>
              <w:t xml:space="preserve">Limites</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Cadre statistique éprouvé de Box-Jenkins doté d'intervalles théoriques</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Exige une stricte stationnarité préalable en moyenne et en variance</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Bonne modélisation des autocorrélations linéaires temporelles à court terme</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Très vulnérable aux trous de données, jours fériés chômés et arrêts machines imprévus</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Fonctionne sans nécessiter de variables explicatives exogènes volumineuses</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Incapable d'intégrer facilement les multiples variables de contexte industriel de l'atelier</w:t>
            </w:r>
          </w:p>
        </w:tc>
      </w:tr>
    </w:tbl>
    <w:p>
      <w:pPr>
        <w:spacing w:after="140" w:before="90"/>
        <w:jc w:val="center"/>
      </w:pPr>
      <w:r>
        <w:rPr>
          <w:rFonts w:ascii="Times New Roman" w:cs="Times New Roman" w:eastAsia="Times New Roman" w:hAnsi="Times New Roman"/>
          <w:b/>
          <w:bCs/>
          <w:color w:val="333333"/>
          <w:sz w:val="20"/>
          <w:szCs w:val="20"/>
        </w:rPr>
        <w:t xml:space="preserve">TABLEAU 4.6 : </w:t>
      </w:r>
      <w:r>
        <w:rPr>
          <w:rFonts w:ascii="Times New Roman" w:cs="Times New Roman" w:eastAsia="Times New Roman" w:hAnsi="Times New Roman"/>
          <w:color w:val="333333"/>
          <w:sz w:val="20"/>
          <w:szCs w:val="20"/>
        </w:rPr>
        <w:t xml:space="preserve">Avantages et limites : Modèle Autorégressif ARIMA</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4.6.3 Modèle Additif Prophet de Meta</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Développé par les équipes Data Science de Meta [9] [10], Prophet est une architecture de séries temporelles basée sur un modèle additif généralisé décomposable articulé selon l'équation suivante :</w:t>
      </w:r>
    </w:p>
    <w:tbl>
      <w:tblPr>
        <w:tblW w:type="pct" w:w="100%"/>
        <w:jc w:val="center"/>
        <w:tblBorders>
          <w:top w:val="none" w:color="FFFFFF" w:sz="0"/>
          <w:left w:val="none" w:color="FFFFFF" w:sz="0"/>
          <w:bottom w:val="none" w:color="FFFFFF" w:sz="0"/>
          <w:right w:val="none" w:color="FFFFFF" w:sz="0"/>
          <w:insideH w:val="single" w:color="auto" w:sz="4"/>
          <w:insideV w:val="single" w:color="auto" w:sz="4"/>
        </w:tblBorders>
      </w:tblPr>
      <w:tblGrid>
        <w:gridCol w:w="100"/>
        <w:gridCol w:w="100"/>
      </w:tblGrid>
      <w:tr>
        <w:tc>
          <w:tcPr>
            <w:tcW w:type="dxa" w:w="7400"/>
            <w:tcBorders>
              <w:top w:val="none" w:color="FFFFFF" w:sz="0"/>
              <w:left w:val="none" w:color="FFFFFF" w:sz="0"/>
              <w:bottom w:val="none" w:color="FFFFFF" w:sz="0"/>
              <w:right w:val="none" w:color="FFFFFF" w:sz="0"/>
            </w:tcBorders>
            <w:vAlign w:val="center"/>
          </w:tcPr>
          <w:p>
            <w:pPr>
              <w:spacing w:after="120" w:before="120"/>
              <w:jc w:val="center"/>
            </w:pPr>
            <w:r>
              <w:rPr>
                <w:rFonts w:ascii="Cambria Math" w:cs="Cambria Math" w:eastAsia="Cambria Math" w:hAnsi="Cambria Math"/>
                <w:i/>
                <w:iCs/>
                <w:sz w:val="23"/>
                <w:szCs w:val="23"/>
              </w:rPr>
              <w:t xml:space="preserve">y(t) = g(t) + s(t) + h(t) + εₜ  [9]</w:t>
            </w:r>
          </w:p>
        </w:tc>
        <w:tc>
          <w:tcPr>
            <w:tcW w:type="dxa" w:w="1266"/>
            <w:tcBorders>
              <w:top w:val="none" w:color="FFFFFF" w:sz="0"/>
              <w:left w:val="none" w:color="FFFFFF" w:sz="0"/>
              <w:bottom w:val="none" w:color="FFFFFF" w:sz="0"/>
              <w:right w:val="none" w:color="FFFFFF" w:sz="0"/>
            </w:tcBorders>
            <w:vAlign w:val="center"/>
          </w:tcPr>
          <w:p>
            <w:pPr>
              <w:spacing w:after="120" w:before="120"/>
              <w:jc w:val="right"/>
            </w:pPr>
            <w:r>
              <w:rPr>
                <w:rFonts w:ascii="Times New Roman" w:cs="Times New Roman" w:eastAsia="Times New Roman" w:hAnsi="Times New Roman"/>
                <w:sz w:val="22"/>
                <w:szCs w:val="22"/>
              </w:rPr>
              <w:t xml:space="preserve">(4.4)</w:t>
            </w:r>
          </w:p>
        </w:tc>
      </w:tr>
    </w:tbl>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où les termes modélisent respectivement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g(t) - Tendance non périodique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modélisée par une droite par morceaux continue avec détection automatique bayésienne des points de changement de pente (</w:t>
      </w:r>
      <w:r>
        <w:rPr>
          <w:rFonts w:ascii="Times New Roman" w:cs="Times New Roman" w:eastAsia="Times New Roman" w:hAnsi="Times New Roman"/>
          <w:b w:val="false"/>
          <w:bCs w:val="false"/>
          <w:i/>
          <w:iCs/>
          <w:color w:val="1A1A1A"/>
          <w:sz w:val="24"/>
          <w:szCs w:val="24"/>
        </w:rPr>
        <w:t xml:space="preserve">changepoints</w:t>
      </w:r>
      <w:r>
        <w:rPr>
          <w:rFonts w:ascii="Times New Roman" w:cs="Times New Roman" w:eastAsia="Times New Roman" w:hAnsi="Times New Roman"/>
          <w:b w:val="false"/>
          <w:bCs w:val="false"/>
          <w:i w:val="false"/>
          <w:iCs w:val="false"/>
          <w:color w:val="1A1A1A"/>
          <w:sz w:val="24"/>
          <w:szCs w:val="24"/>
        </w:rPr>
        <w:t xml:space="preserve">) régularisée sous une loi a priori de Laplace.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s(t) - Saisonnalité périodique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capture fidèlement les cycles hebdomadaires et mensuels d'atelier au moyen de sommes partielles de séries de Fourier :</w:t>
      </w:r>
    </w:p>
    <w:tbl>
      <w:tblPr>
        <w:tblW w:type="pct" w:w="100%"/>
        <w:jc w:val="center"/>
        <w:tblBorders>
          <w:top w:val="none" w:color="FFFFFF" w:sz="0"/>
          <w:left w:val="none" w:color="FFFFFF" w:sz="0"/>
          <w:bottom w:val="none" w:color="FFFFFF" w:sz="0"/>
          <w:right w:val="none" w:color="FFFFFF" w:sz="0"/>
          <w:insideH w:val="single" w:color="auto" w:sz="4"/>
          <w:insideV w:val="single" w:color="auto" w:sz="4"/>
        </w:tblBorders>
      </w:tblPr>
      <w:tblGrid>
        <w:gridCol w:w="100"/>
        <w:gridCol w:w="100"/>
      </w:tblGrid>
      <w:tr>
        <w:tc>
          <w:tcPr>
            <w:tcW w:type="dxa" w:w="7400"/>
            <w:tcBorders>
              <w:top w:val="none" w:color="FFFFFF" w:sz="0"/>
              <w:left w:val="none" w:color="FFFFFF" w:sz="0"/>
              <w:bottom w:val="none" w:color="FFFFFF" w:sz="0"/>
              <w:right w:val="none" w:color="FFFFFF" w:sz="0"/>
            </w:tcBorders>
            <w:vAlign w:val="center"/>
          </w:tcPr>
          <w:p>
            <w:pPr>
              <w:spacing w:after="120" w:before="120"/>
              <w:jc w:val="center"/>
            </w:pPr>
            <w:r>
              <w:rPr>
                <w:rFonts w:ascii="Cambria Math" w:cs="Cambria Math" w:eastAsia="Cambria Math" w:hAnsi="Cambria Math"/>
                <w:i/>
                <w:iCs/>
                <w:sz w:val="23"/>
                <w:szCs w:val="23"/>
              </w:rPr>
              <w:t xml:space="preserve">s(t) = ∑ₙ₌₁ᴺ [ aₙ cos(2π n t / P) + bₙ sin(2π n t / P) ]</w:t>
            </w:r>
          </w:p>
        </w:tc>
        <w:tc>
          <w:tcPr>
            <w:tcW w:type="dxa" w:w="1266"/>
            <w:tcBorders>
              <w:top w:val="none" w:color="FFFFFF" w:sz="0"/>
              <w:left w:val="none" w:color="FFFFFF" w:sz="0"/>
              <w:bottom w:val="none" w:color="FFFFFF" w:sz="0"/>
              <w:right w:val="none" w:color="FFFFFF" w:sz="0"/>
            </w:tcBorders>
            <w:vAlign w:val="center"/>
          </w:tcPr>
          <w:p>
            <w:pPr>
              <w:spacing w:after="120" w:before="120"/>
              <w:jc w:val="right"/>
            </w:pPr>
            <w:r>
              <w:rPr>
                <w:rFonts w:ascii="Times New Roman" w:cs="Times New Roman" w:eastAsia="Times New Roman" w:hAnsi="Times New Roman"/>
                <w:sz w:val="22"/>
                <w:szCs w:val="22"/>
              </w:rPr>
              <w:t xml:space="preserve">(4.5)</w:t>
            </w:r>
          </w:p>
        </w:tc>
      </w:tr>
    </w:tbl>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h(t) - Effets de calendrier et arrêts d'usine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intègre explicitement l'impact des jours fériés, congés annuels et fermetures d'atelier programmées.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εₜ - Aléa résiduel gaussien</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terme d'erreur stochastique modélisant le bruit résiduel supposé distribué selon une loi normale centrée N(0, σ²).</w:t>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4333"/>
        <w:gridCol w:w="4333"/>
      </w:tblGrid>
      <w:tr>
        <w:trPr>
          <w:tblHeader/>
        </w:trPr>
        <w:tc>
          <w:tcPr>
            <w:tcW w:type="dxa" w:w="4333"/>
            <w:tcBorders>
              <w:top w:val="single" w:color="AAAAAA" w:sz="1"/>
              <w:left w:val="single" w:color="AAAAAA" w:sz="1"/>
              <w:bottom w:val="single" w:color="AAAAAA" w:sz="1"/>
              <w:right w:val="single" w:color="AAAAAA" w:sz="1"/>
            </w:tcBorders>
            <w:shd w:fill="D9EAD3" w:val="clear"/>
            <w:tcMar>
              <w:top w:type="dxa" w:w="70"/>
              <w:left w:type="dxa" w:w="100"/>
              <w:bottom w:type="dxa" w:w="70"/>
              <w:right w:type="dxa" w:w="100"/>
            </w:tcMar>
            <w:vAlign w:val="center"/>
          </w:tcPr>
          <w:p>
            <w:pPr>
              <w:spacing w:after="20" w:before="20"/>
              <w:jc w:val="left"/>
            </w:pPr>
            <w:r>
              <w:rPr>
                <w:rFonts w:ascii="Times New Roman" w:cs="Times New Roman" w:eastAsia="Times New Roman" w:hAnsi="Times New Roman"/>
                <w:b/>
                <w:bCs/>
                <w:color w:val="1C3A13"/>
                <w:sz w:val="21"/>
                <w:szCs w:val="21"/>
              </w:rPr>
              <w:t xml:space="preserve">Avantages</w:t>
            </w:r>
          </w:p>
        </w:tc>
        <w:tc>
          <w:tcPr>
            <w:tcW w:type="dxa" w:w="4333"/>
            <w:tcBorders>
              <w:top w:val="single" w:color="AAAAAA" w:sz="1"/>
              <w:left w:val="single" w:color="AAAAAA" w:sz="1"/>
              <w:bottom w:val="single" w:color="AAAAAA" w:sz="1"/>
              <w:right w:val="single" w:color="AAAAAA" w:sz="1"/>
            </w:tcBorders>
            <w:shd w:fill="FCE4D6" w:val="clear"/>
            <w:tcMar>
              <w:top w:type="dxa" w:w="70"/>
              <w:left w:type="dxa" w:w="100"/>
              <w:bottom w:type="dxa" w:w="70"/>
              <w:right w:type="dxa" w:w="100"/>
            </w:tcMar>
            <w:vAlign w:val="center"/>
          </w:tcPr>
          <w:p>
            <w:pPr>
              <w:spacing w:after="20" w:before="20"/>
              <w:jc w:val="left"/>
            </w:pPr>
            <w:r>
              <w:rPr>
                <w:rFonts w:ascii="Times New Roman" w:cs="Times New Roman" w:eastAsia="Times New Roman" w:hAnsi="Times New Roman"/>
                <w:b/>
                <w:bCs/>
                <w:color w:val="4A1C14"/>
                <w:sz w:val="21"/>
                <w:szCs w:val="21"/>
              </w:rPr>
              <w:t xml:space="preserve">Limites</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Génération native d'intervalles de confiance bayésiens fiables à 95% (`yhat_lower`, `yhat_upper`)</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Moins adapté aux données tabulaires pures non chronologiques</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Tolérance parfaite aux données manquantes, aux jours chômés et aux arrêts d'atelier</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Suppose que la fréquence des ruptures futures reflète la distribution historique</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Détection autonome des ruptures de cadence (</w:t>
            </w:r>
            <w:r>
              <w:rPr>
                <w:rFonts w:ascii="Times New Roman" w:cs="Times New Roman" w:eastAsia="Times New Roman" w:hAnsi="Times New Roman"/>
                <w:b w:val="false"/>
                <w:bCs w:val="false"/>
                <w:i/>
                <w:iCs/>
                <w:color w:val="1A1A1A"/>
                <w:sz w:val="20"/>
                <w:szCs w:val="20"/>
              </w:rPr>
              <w:t xml:space="preserve">changepoints</w:t>
            </w:r>
            <w:r>
              <w:rPr>
                <w:rFonts w:ascii="Times New Roman" w:cs="Times New Roman" w:eastAsia="Times New Roman" w:hAnsi="Times New Roman"/>
                <w:b w:val="false"/>
                <w:bCs w:val="false"/>
                <w:i w:val="false"/>
                <w:iCs w:val="false"/>
                <w:color w:val="1A1A1A"/>
                <w:sz w:val="20"/>
                <w:szCs w:val="20"/>
              </w:rPr>
              <w:t xml:space="preserve">) post-maintenance</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Nécessite le calibrage du paramètre de flexibilité de tendance pour éviter le surlissage</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Inférence ultra-rapide (180 ms) déployée sous FastAPI sans dépendance GPU</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
            </w:r>
          </w:p>
        </w:tc>
      </w:tr>
    </w:tbl>
    <w:p>
      <w:pPr>
        <w:spacing w:after="140" w:before="90"/>
        <w:jc w:val="center"/>
      </w:pPr>
      <w:r>
        <w:rPr>
          <w:rFonts w:ascii="Times New Roman" w:cs="Times New Roman" w:eastAsia="Times New Roman" w:hAnsi="Times New Roman"/>
          <w:b/>
          <w:bCs/>
          <w:color w:val="333333"/>
          <w:sz w:val="20"/>
          <w:szCs w:val="20"/>
        </w:rPr>
        <w:t xml:space="preserve">TABLEAU 4.7 : </w:t>
      </w:r>
      <w:r>
        <w:rPr>
          <w:rFonts w:ascii="Times New Roman" w:cs="Times New Roman" w:eastAsia="Times New Roman" w:hAnsi="Times New Roman"/>
          <w:color w:val="333333"/>
          <w:sz w:val="20"/>
          <w:szCs w:val="20"/>
        </w:rPr>
        <w:t xml:space="preserve">Avantages et limites : Prophet - Modèle Additif Meta</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4.6.4 Modèle Non Supervisé Isolation Forest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Au-delà de la prévision de production, l'application Nexora intègre le modèle d'apprentissage non supervisé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Isolation Forest</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exposé via le point d'accès `/detect/anomaly`. Contrairement aux algorithmes traditionnels basés sur la distance qui modélisent les points normaux, Isolation Forest isole explicitement les anomalies en partitionnant aléatoirement l'espace des données au moyen d'arbres d'isolation (</w:t>
      </w:r>
      <w:r>
        <w:rPr>
          <w:rFonts w:ascii="Times New Roman" w:cs="Times New Roman" w:eastAsia="Times New Roman" w:hAnsi="Times New Roman"/>
          <w:b w:val="false"/>
          <w:bCs w:val="false"/>
          <w:i/>
          <w:iCs/>
          <w:color w:val="1A1A1A"/>
          <w:sz w:val="24"/>
          <w:szCs w:val="24"/>
        </w:rPr>
        <w:t xml:space="preserve">iTrees</w:t>
      </w:r>
      <w:r>
        <w:rPr>
          <w:rFonts w:ascii="Times New Roman" w:cs="Times New Roman" w:eastAsia="Times New Roman" w:hAnsi="Times New Roman"/>
          <w:b w:val="false"/>
          <w:bCs w:val="false"/>
          <w:i w:val="false"/>
          <w:iCs w:val="false"/>
          <w:color w:val="1A1A1A"/>
          <w:sz w:val="24"/>
          <w:szCs w:val="24"/>
        </w:rPr>
        <w:t xml:space="preserv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anomalies se caractérisent par des chemins de découpage remarquablement courts. Pour un échantillon de n observations, la longueur moyenne théorique d'un chemin d'échec dans un arbre binaire vaut :</w:t>
      </w:r>
    </w:p>
    <w:tbl>
      <w:tblPr>
        <w:tblW w:type="pct" w:w="100%"/>
        <w:jc w:val="center"/>
        <w:tblBorders>
          <w:top w:val="none" w:color="FFFFFF" w:sz="0"/>
          <w:left w:val="none" w:color="FFFFFF" w:sz="0"/>
          <w:bottom w:val="none" w:color="FFFFFF" w:sz="0"/>
          <w:right w:val="none" w:color="FFFFFF" w:sz="0"/>
          <w:insideH w:val="single" w:color="auto" w:sz="4"/>
          <w:insideV w:val="single" w:color="auto" w:sz="4"/>
        </w:tblBorders>
      </w:tblPr>
      <w:tblGrid>
        <w:gridCol w:w="100"/>
        <w:gridCol w:w="100"/>
      </w:tblGrid>
      <w:tr>
        <w:tc>
          <w:tcPr>
            <w:tcW w:type="dxa" w:w="7400"/>
            <w:tcBorders>
              <w:top w:val="none" w:color="FFFFFF" w:sz="0"/>
              <w:left w:val="none" w:color="FFFFFF" w:sz="0"/>
              <w:bottom w:val="none" w:color="FFFFFF" w:sz="0"/>
              <w:right w:val="none" w:color="FFFFFF" w:sz="0"/>
            </w:tcBorders>
            <w:vAlign w:val="center"/>
          </w:tcPr>
          <w:p>
            <w:pPr>
              <w:spacing w:after="120" w:before="120"/>
              <w:jc w:val="center"/>
            </w:pPr>
            <w:r>
              <w:rPr>
                <w:rFonts w:ascii="Cambria Math" w:cs="Cambria Math" w:eastAsia="Cambria Math" w:hAnsi="Cambria Math"/>
                <w:i/>
                <w:iCs/>
                <w:sz w:val="23"/>
                <w:szCs w:val="23"/>
              </w:rPr>
              <w:t xml:space="preserve">c(n) = 2 · [ ln(n - 1) + 0.5772156649 ] - [ 2(n - 1) / n ]  [11]</w:t>
            </w:r>
          </w:p>
        </w:tc>
        <w:tc>
          <w:tcPr>
            <w:tcW w:type="dxa" w:w="1266"/>
            <w:tcBorders>
              <w:top w:val="none" w:color="FFFFFF" w:sz="0"/>
              <w:left w:val="none" w:color="FFFFFF" w:sz="0"/>
              <w:bottom w:val="none" w:color="FFFFFF" w:sz="0"/>
              <w:right w:val="none" w:color="FFFFFF" w:sz="0"/>
            </w:tcBorders>
            <w:vAlign w:val="center"/>
          </w:tcPr>
          <w:p>
            <w:pPr>
              <w:spacing w:after="120" w:before="120"/>
              <w:jc w:val="right"/>
            </w:pPr>
            <w:r>
              <w:rPr>
                <w:rFonts w:ascii="Times New Roman" w:cs="Times New Roman" w:eastAsia="Times New Roman" w:hAnsi="Times New Roman"/>
                <w:sz w:val="22"/>
                <w:szCs w:val="22"/>
              </w:rPr>
              <w:t xml:space="preserve">(4.6)</w:t>
            </w:r>
          </w:p>
        </w:tc>
      </w:tr>
    </w:tbl>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score d'anomalie s(x, n) d'une mesure de fabrication x se calcule à partir de l'espérance de la longueur de son chemin E(h(x)) :</w:t>
      </w:r>
    </w:p>
    <w:tbl>
      <w:tblPr>
        <w:tblW w:type="pct" w:w="100%"/>
        <w:jc w:val="center"/>
        <w:tblBorders>
          <w:top w:val="none" w:color="FFFFFF" w:sz="0"/>
          <w:left w:val="none" w:color="FFFFFF" w:sz="0"/>
          <w:bottom w:val="none" w:color="FFFFFF" w:sz="0"/>
          <w:right w:val="none" w:color="FFFFFF" w:sz="0"/>
          <w:insideH w:val="single" w:color="auto" w:sz="4"/>
          <w:insideV w:val="single" w:color="auto" w:sz="4"/>
        </w:tblBorders>
      </w:tblPr>
      <w:tblGrid>
        <w:gridCol w:w="100"/>
        <w:gridCol w:w="100"/>
      </w:tblGrid>
      <w:tr>
        <w:tc>
          <w:tcPr>
            <w:tcW w:type="dxa" w:w="7400"/>
            <w:tcBorders>
              <w:top w:val="none" w:color="FFFFFF" w:sz="0"/>
              <w:left w:val="none" w:color="FFFFFF" w:sz="0"/>
              <w:bottom w:val="none" w:color="FFFFFF" w:sz="0"/>
              <w:right w:val="none" w:color="FFFFFF" w:sz="0"/>
            </w:tcBorders>
            <w:vAlign w:val="center"/>
          </w:tcPr>
          <w:p>
            <w:pPr>
              <w:spacing w:after="120" w:before="120"/>
              <w:jc w:val="center"/>
            </w:pPr>
            <w:r>
              <w:rPr>
                <w:rFonts w:ascii="Cambria Math" w:cs="Cambria Math" w:eastAsia="Cambria Math" w:hAnsi="Cambria Math"/>
                <w:i/>
                <w:iCs/>
                <w:sz w:val="23"/>
                <w:szCs w:val="23"/>
              </w:rPr>
              <w:t xml:space="preserve">s(x, n) = 2^{ - [ E(h(x)) / c(n) ] }  [11]</w:t>
            </w:r>
          </w:p>
        </w:tc>
        <w:tc>
          <w:tcPr>
            <w:tcW w:type="dxa" w:w="1266"/>
            <w:tcBorders>
              <w:top w:val="none" w:color="FFFFFF" w:sz="0"/>
              <w:left w:val="none" w:color="FFFFFF" w:sz="0"/>
              <w:bottom w:val="none" w:color="FFFFFF" w:sz="0"/>
              <w:right w:val="none" w:color="FFFFFF" w:sz="0"/>
            </w:tcBorders>
            <w:vAlign w:val="center"/>
          </w:tcPr>
          <w:p>
            <w:pPr>
              <w:spacing w:after="120" w:before="120"/>
              <w:jc w:val="right"/>
            </w:pPr>
            <w:r>
              <w:rPr>
                <w:rFonts w:ascii="Times New Roman" w:cs="Times New Roman" w:eastAsia="Times New Roman" w:hAnsi="Times New Roman"/>
                <w:sz w:val="22"/>
                <w:szCs w:val="22"/>
              </w:rPr>
              <w:t xml:space="preserve">(4.7)</w:t>
            </w:r>
          </w:p>
        </w:tc>
      </w:tr>
    </w:tbl>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Lorsque s(x, n) tend vers 1, l'observation correspond sans ambiguïté à une anomalie d'atelier (dérive anormale de cadence, temps de cycle excessif ou pic de rebuts). Si s(x, n) &lt; 0.5, la machine est réputée en état nominal de marche.</w:t>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4333"/>
        <w:gridCol w:w="4333"/>
      </w:tblGrid>
      <w:tr>
        <w:trPr>
          <w:tblHeader/>
        </w:trPr>
        <w:tc>
          <w:tcPr>
            <w:tcW w:type="dxa" w:w="4333"/>
            <w:tcBorders>
              <w:top w:val="single" w:color="AAAAAA" w:sz="1"/>
              <w:left w:val="single" w:color="AAAAAA" w:sz="1"/>
              <w:bottom w:val="single" w:color="AAAAAA" w:sz="1"/>
              <w:right w:val="single" w:color="AAAAAA" w:sz="1"/>
            </w:tcBorders>
            <w:shd w:fill="D9EAD3" w:val="clear"/>
            <w:tcMar>
              <w:top w:type="dxa" w:w="70"/>
              <w:left w:type="dxa" w:w="100"/>
              <w:bottom w:type="dxa" w:w="70"/>
              <w:right w:type="dxa" w:w="100"/>
            </w:tcMar>
            <w:vAlign w:val="center"/>
          </w:tcPr>
          <w:p>
            <w:pPr>
              <w:spacing w:after="20" w:before="20"/>
              <w:jc w:val="left"/>
            </w:pPr>
            <w:r>
              <w:rPr>
                <w:rFonts w:ascii="Times New Roman" w:cs="Times New Roman" w:eastAsia="Times New Roman" w:hAnsi="Times New Roman"/>
                <w:b/>
                <w:bCs/>
                <w:color w:val="1C3A13"/>
                <w:sz w:val="21"/>
                <w:szCs w:val="21"/>
              </w:rPr>
              <w:t xml:space="preserve">Avantages</w:t>
            </w:r>
          </w:p>
        </w:tc>
        <w:tc>
          <w:tcPr>
            <w:tcW w:type="dxa" w:w="4333"/>
            <w:tcBorders>
              <w:top w:val="single" w:color="AAAAAA" w:sz="1"/>
              <w:left w:val="single" w:color="AAAAAA" w:sz="1"/>
              <w:bottom w:val="single" w:color="AAAAAA" w:sz="1"/>
              <w:right w:val="single" w:color="AAAAAA" w:sz="1"/>
            </w:tcBorders>
            <w:shd w:fill="FCE4D6" w:val="clear"/>
            <w:tcMar>
              <w:top w:type="dxa" w:w="70"/>
              <w:left w:type="dxa" w:w="100"/>
              <w:bottom w:type="dxa" w:w="70"/>
              <w:right w:type="dxa" w:w="100"/>
            </w:tcMar>
            <w:vAlign w:val="center"/>
          </w:tcPr>
          <w:p>
            <w:pPr>
              <w:spacing w:after="20" w:before="20"/>
              <w:jc w:val="left"/>
            </w:pPr>
            <w:r>
              <w:rPr>
                <w:rFonts w:ascii="Times New Roman" w:cs="Times New Roman" w:eastAsia="Times New Roman" w:hAnsi="Times New Roman"/>
                <w:b/>
                <w:bCs/>
                <w:color w:val="4A1C14"/>
                <w:sz w:val="21"/>
                <w:szCs w:val="21"/>
              </w:rPr>
              <w:t xml:space="preserve">Limites</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Algorithme non supervisé ne nécessitant aucun étiquetage préalable des pannes</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Nécessite le calibrage du paramètre de contamination (ajusté à 0.1 dans Nexora)</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Complexité linéaire en temps O(n) et très faible empreinte mémoire</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Sensible aux variables non informatives si l'espace des descripteurs est bruité</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Excellente détection des anomalies multidimensionnelles et des pannes sournoises</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Ne fournit pas d'explication causale automatique de l'anomalie détectée</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Parfaitement intégré dans le microservice FastAPI avec paramétrage du taux de contamination (10%)</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
            </w:r>
          </w:p>
        </w:tc>
      </w:tr>
    </w:tbl>
    <w:p>
      <w:pPr>
        <w:spacing w:after="140" w:before="90"/>
        <w:jc w:val="center"/>
      </w:pPr>
      <w:r>
        <w:rPr>
          <w:rFonts w:ascii="Times New Roman" w:cs="Times New Roman" w:eastAsia="Times New Roman" w:hAnsi="Times New Roman"/>
          <w:b/>
          <w:bCs/>
          <w:color w:val="333333"/>
          <w:sz w:val="20"/>
          <w:szCs w:val="20"/>
        </w:rPr>
        <w:t xml:space="preserve">TABLEAU 4.8 : </w:t>
      </w:r>
      <w:r>
        <w:rPr>
          <w:rFonts w:ascii="Times New Roman" w:cs="Times New Roman" w:eastAsia="Times New Roman" w:hAnsi="Times New Roman"/>
          <w:color w:val="333333"/>
          <w:sz w:val="20"/>
          <w:szCs w:val="20"/>
        </w:rPr>
        <w:t xml:space="preserve">Avantages et limites : Isolation Forest - Détection d'Anomalies d'Atelier</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4.6.5 Optimisation des Hyperparamètres et Protocole de Validation Croisée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Afin de maximiser la capacité de généralisation des modèles et d'éviter tout phénomène de sur-apprentissage (overfitting), une phase d'optimisation des hyperparamètres par recherche sur grille (Grid Search) a été menée. En raison de la dépendance temporelle intrinsèque des données d'atelier, nous avons mis en œuvre un protocole de validation croisée temporelle à fenêtre glissante (Rolling-Origin Cross-Validation) : le modèle est entraîné sur une fenêtre historique initiale de 180 jours, puis évalué de manière itérative sur 5 plis successifs de 30 jours sans fuite d'information temporelle.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4.9 récapitule les plages explorées lors de la recherche sur grille et les hyperparamètres optimaux retenus pour les modèles de l'application Nexora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405"/>
        <w:gridCol w:w="1757"/>
        <w:gridCol w:w="1845"/>
        <w:gridCol w:w="1318"/>
        <w:gridCol w:w="2342"/>
      </w:tblGrid>
      <w:tr>
        <w:trPr>
          <w:tblHeader/>
        </w:trPr>
        <w:tc>
          <w:tcPr>
            <w:tcW w:type="dxa" w:w="1405"/>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Modèle IA</w:t>
            </w:r>
          </w:p>
        </w:tc>
        <w:tc>
          <w:tcPr>
            <w:tcW w:type="dxa" w:w="1757"/>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Hyperparamètre</w:t>
            </w:r>
          </w:p>
        </w:tc>
        <w:tc>
          <w:tcPr>
            <w:tcW w:type="dxa" w:w="1845"/>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Plage de Recherche (Grid)</w:t>
            </w:r>
          </w:p>
        </w:tc>
        <w:tc>
          <w:tcPr>
            <w:tcW w:type="dxa" w:w="1318"/>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Valeur Optimale</w:t>
            </w:r>
          </w:p>
        </w:tc>
        <w:tc>
          <w:tcPr>
            <w:tcW w:type="dxa" w:w="2342"/>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Justification Métier Nexora</w:t>
            </w:r>
          </w:p>
        </w:tc>
      </w:tr>
      <w:tr>
        <w:tc>
          <w:tcPr>
            <w:tcW w:type="dxa" w:w="1405"/>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Prophet (Meta)</w:t>
            </w:r>
          </w:p>
        </w:tc>
        <w:tc>
          <w:tcPr>
            <w:tcW w:type="dxa" w:w="1757"/>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changepoint_prior_scale</w:t>
            </w:r>
          </w:p>
        </w:tc>
        <w:tc>
          <w:tcPr>
            <w:tcW w:type="dxa" w:w="1845"/>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[0.001, 0.01, 0.05, 0.1, 0.5]</w:t>
            </w:r>
          </w:p>
        </w:tc>
        <w:tc>
          <w:tcPr>
            <w:tcW w:type="dxa" w:w="131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0.05</w:t>
            </w:r>
          </w:p>
        </w:tc>
        <w:tc>
          <w:tcPr>
            <w:tcW w:type="dxa" w:w="234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Flexibilité optimale face aux changements de rythme sans sur-réagir aux bruits d'atelier.</w:t>
            </w:r>
          </w:p>
        </w:tc>
      </w:tr>
      <w:tr>
        <w:tc>
          <w:tcPr>
            <w:tcW w:type="dxa" w:w="1405"/>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Prophet (Meta)</w:t>
            </w:r>
          </w:p>
        </w:tc>
        <w:tc>
          <w:tcPr>
            <w:tcW w:type="dxa" w:w="1757"/>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seasonality_prior_scale</w:t>
            </w:r>
          </w:p>
        </w:tc>
        <w:tc>
          <w:tcPr>
            <w:tcW w:type="dxa" w:w="1845"/>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[0.01, 0.1, 1.0, 10.0]</w:t>
            </w:r>
          </w:p>
        </w:tc>
        <w:tc>
          <w:tcPr>
            <w:tcW w:type="dxa" w:w="131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10.0</w:t>
            </w:r>
          </w:p>
        </w:tc>
        <w:tc>
          <w:tcPr>
            <w:tcW w:type="dxa" w:w="234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Capture robuste du cycle de production hebdomadaire d'atelier (lundi au vendredi).</w:t>
            </w:r>
          </w:p>
        </w:tc>
      </w:tr>
      <w:tr>
        <w:tc>
          <w:tcPr>
            <w:tcW w:type="dxa" w:w="1405"/>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Prophet (Meta)</w:t>
            </w:r>
          </w:p>
        </w:tc>
        <w:tc>
          <w:tcPr>
            <w:tcW w:type="dxa" w:w="1757"/>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holidays_prior_scale</w:t>
            </w:r>
          </w:p>
        </w:tc>
        <w:tc>
          <w:tcPr>
            <w:tcW w:type="dxa" w:w="1845"/>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[0.01, 0.1, 1.0, 10.0]</w:t>
            </w:r>
          </w:p>
        </w:tc>
        <w:tc>
          <w:tcPr>
            <w:tcW w:type="dxa" w:w="131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0.10</w:t>
            </w:r>
          </w:p>
        </w:tc>
        <w:tc>
          <w:tcPr>
            <w:tcW w:type="dxa" w:w="234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Atténuation déterministe lors des jours fériés chômés et fermetures planifiées.</w:t>
            </w:r>
          </w:p>
        </w:tc>
      </w:tr>
      <w:tr>
        <w:tc>
          <w:tcPr>
            <w:tcW w:type="dxa" w:w="1405"/>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Prophet (Meta)</w:t>
            </w:r>
          </w:p>
        </w:tc>
        <w:tc>
          <w:tcPr>
            <w:tcW w:type="dxa" w:w="1757"/>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seasonality_mode</w:t>
            </w:r>
          </w:p>
        </w:tc>
        <w:tc>
          <w:tcPr>
            <w:tcW w:type="dxa" w:w="1845"/>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['additive', 'multiplicative']</w:t>
            </w:r>
          </w:p>
        </w:tc>
        <w:tc>
          <w:tcPr>
            <w:tcW w:type="dxa" w:w="131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'additive'</w:t>
            </w:r>
          </w:p>
        </w:tc>
        <w:tc>
          <w:tcPr>
            <w:tcW w:type="dxa" w:w="234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Amplitude des variations saisonnières stable au fil des mois.</w:t>
            </w:r>
          </w:p>
        </w:tc>
      </w:tr>
      <w:tr>
        <w:tc>
          <w:tcPr>
            <w:tcW w:type="dxa" w:w="1405"/>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ARIMA</w:t>
            </w:r>
          </w:p>
        </w:tc>
        <w:tc>
          <w:tcPr>
            <w:tcW w:type="dxa" w:w="1757"/>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Ordres (p, d, q)</w:t>
            </w:r>
          </w:p>
        </w:tc>
        <w:tc>
          <w:tcPr>
            <w:tcW w:type="dxa" w:w="1845"/>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 in [0..3], d in [0..2], q in [0..3]</w:t>
            </w:r>
          </w:p>
        </w:tc>
        <w:tc>
          <w:tcPr>
            <w:tcW w:type="dxa" w:w="131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ARIMA(1, 1, 1)</w:t>
            </w:r>
          </w:p>
        </w:tc>
        <w:tc>
          <w:tcPr>
            <w:tcW w:type="dxa" w:w="234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Minimisation du critère AIC (3 412,8) après différenciation première (d=1, test ADF).</w:t>
            </w:r>
          </w:p>
        </w:tc>
      </w:tr>
      <w:tr>
        <w:tc>
          <w:tcPr>
            <w:tcW w:type="dxa" w:w="1405"/>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Isolation Forest</w:t>
            </w:r>
          </w:p>
        </w:tc>
        <w:tc>
          <w:tcPr>
            <w:tcW w:type="dxa" w:w="1757"/>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contamination</w:t>
            </w:r>
          </w:p>
        </w:tc>
        <w:tc>
          <w:tcPr>
            <w:tcW w:type="dxa" w:w="1845"/>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[0.01, 0.05, 0.10, 0.15]</w:t>
            </w:r>
          </w:p>
        </w:tc>
        <w:tc>
          <w:tcPr>
            <w:tcW w:type="dxa" w:w="131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0.10 (10 %)</w:t>
            </w:r>
          </w:p>
        </w:tc>
        <w:tc>
          <w:tcPr>
            <w:tcW w:type="dxa" w:w="234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Calibré sur la fréquence historique des dérives d'usinage et micro-arrêts d'atelier.</w:t>
            </w:r>
          </w:p>
        </w:tc>
      </w:tr>
      <w:tr>
        <w:tc>
          <w:tcPr>
            <w:tcW w:type="dxa" w:w="1405"/>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Isolation Forest</w:t>
            </w:r>
          </w:p>
        </w:tc>
        <w:tc>
          <w:tcPr>
            <w:tcW w:type="dxa" w:w="1757"/>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n_estimators</w:t>
            </w:r>
          </w:p>
        </w:tc>
        <w:tc>
          <w:tcPr>
            <w:tcW w:type="dxa" w:w="1845"/>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[50, 100, 200, 300]</w:t>
            </w:r>
          </w:p>
        </w:tc>
        <w:tc>
          <w:tcPr>
            <w:tcW w:type="dxa" w:w="131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100 arbres</w:t>
            </w:r>
          </w:p>
        </w:tc>
        <w:tc>
          <w:tcPr>
            <w:tcW w:type="dxa" w:w="234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Convergence optimale du score d'anomalie sans dégradation de la latence (&lt; 20 ms).</w:t>
            </w:r>
          </w:p>
        </w:tc>
      </w:tr>
    </w:tbl>
    <w:p>
      <w:pPr>
        <w:spacing w:after="120" w:before="80"/>
        <w:jc w:val="center"/>
      </w:pPr>
      <w:r>
        <w:rPr>
          <w:rFonts w:ascii="Times New Roman" w:cs="Times New Roman" w:eastAsia="Times New Roman" w:hAnsi="Times New Roman"/>
          <w:i/>
          <w:iCs/>
          <w:color w:val="595959"/>
          <w:sz w:val="20"/>
          <w:szCs w:val="20"/>
        </w:rPr>
        <w:t xml:space="preserve">Tableau 4.9 : Hyperparamètres optimaux et calibration des modèles de l'application</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4.7 Résultats Expérimentaux et Benchmark Comparatif des Modèles de l'Application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Afin d'évaluer la précision et la robustesse des prévisions de production d'atelier, un benchmark expérimental a été directement intégré et exécuté au sein de l'application Nexora. Ce benchmark compare les trois approches algorithmiques implémentées dans le microservice FastAPI et exploitables via l'interface : le modèle additif bayésien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Prophet (Meta)</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le modèle autorégressif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ARIMA</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et la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Régression Linéaire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standard (MCO).</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826"/>
        <w:gridCol w:w="1826"/>
        <w:gridCol w:w="870"/>
        <w:gridCol w:w="870"/>
        <w:gridCol w:w="783"/>
        <w:gridCol w:w="696"/>
        <w:gridCol w:w="1797"/>
      </w:tblGrid>
      <w:tr>
        <w:trPr>
          <w:tblHeader/>
        </w:trPr>
        <w:tc>
          <w:tcPr>
            <w:tcW w:type="dxa" w:w="182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Modèle de l'Application Nexora</w:t>
            </w:r>
          </w:p>
        </w:tc>
        <w:tc>
          <w:tcPr>
            <w:tcW w:type="dxa" w:w="182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Type Algorithmique</w:t>
            </w:r>
          </w:p>
        </w:tc>
        <w:tc>
          <w:tcPr>
            <w:tcW w:type="dxa" w:w="87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MAE (Pièces)</w:t>
            </w:r>
          </w:p>
        </w:tc>
        <w:tc>
          <w:tcPr>
            <w:tcW w:type="dxa" w:w="87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RMSE (Pièces)</w:t>
            </w:r>
          </w:p>
        </w:tc>
        <w:tc>
          <w:tcPr>
            <w:tcW w:type="dxa" w:w="783"/>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MAPE (%)</w:t>
            </w:r>
          </w:p>
        </w:tc>
        <w:tc>
          <w:tcPr>
            <w:tcW w:type="dxa" w:w="69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R²</w:t>
            </w:r>
          </w:p>
        </w:tc>
        <w:tc>
          <w:tcPr>
            <w:tcW w:type="dxa" w:w="1797"/>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 &amp; Rôle Applicatif</w:t>
            </w:r>
          </w:p>
        </w:tc>
      </w:tr>
      <w:tr>
        <w:tc>
          <w:tcPr>
            <w:tcW w:type="dxa" w:w="182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Prophet (Meta) ⋆</w:t>
            </w:r>
          </w:p>
        </w:tc>
        <w:tc>
          <w:tcPr>
            <w:tcW w:type="dxa" w:w="182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Séries Temporelles Additives (Bayésien)</w:t>
            </w:r>
          </w:p>
        </w:tc>
        <w:tc>
          <w:tcPr>
            <w:tcW w:type="dxa" w:w="87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7,4 pcs</w:t>
            </w:r>
          </w:p>
        </w:tc>
        <w:tc>
          <w:tcPr>
            <w:tcW w:type="dxa" w:w="87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9,2 pcs</w:t>
            </w:r>
          </w:p>
        </w:tc>
        <w:tc>
          <w:tcPr>
            <w:tcW w:type="dxa" w:w="78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4,8 %</w:t>
            </w:r>
          </w:p>
        </w:tc>
        <w:tc>
          <w:tcPr>
            <w:tcW w:type="dxa" w:w="69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0,9600</w:t>
            </w:r>
          </w:p>
        </w:tc>
        <w:tc>
          <w:tcPr>
            <w:tcW w:type="dxa" w:w="1797"/>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Modèle Champion Retenu (Déployé Live )</w:t>
            </w:r>
          </w:p>
        </w:tc>
      </w:tr>
      <w:tr>
        <w:tc>
          <w:tcPr>
            <w:tcW w:type="dxa" w:w="182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ARIMA</w:t>
            </w:r>
          </w:p>
        </w:tc>
        <w:tc>
          <w:tcPr>
            <w:tcW w:type="dxa" w:w="182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Séries Temporelles Autorégressives</w:t>
            </w:r>
          </w:p>
        </w:tc>
        <w:tc>
          <w:tcPr>
            <w:tcW w:type="dxa" w:w="87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11,8 pcs</w:t>
            </w:r>
          </w:p>
        </w:tc>
        <w:tc>
          <w:tcPr>
            <w:tcW w:type="dxa" w:w="87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14,3 pcs</w:t>
            </w:r>
          </w:p>
        </w:tc>
        <w:tc>
          <w:tcPr>
            <w:tcW w:type="dxa" w:w="78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8,2 %</w:t>
            </w:r>
          </w:p>
        </w:tc>
        <w:tc>
          <w:tcPr>
            <w:tcW w:type="dxa" w:w="69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0,8100</w:t>
            </w:r>
          </w:p>
        </w:tc>
        <w:tc>
          <w:tcPr>
            <w:tcW w:type="dxa" w:w="1797"/>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Modèle Comparatif (Intégré dans l'App ✓)</w:t>
            </w:r>
          </w:p>
        </w:tc>
      </w:tr>
      <w:tr>
        <w:tc>
          <w:tcPr>
            <w:tcW w:type="dxa" w:w="182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Régression Linéaire</w:t>
            </w:r>
          </w:p>
        </w:tc>
        <w:tc>
          <w:tcPr>
            <w:tcW w:type="dxa" w:w="182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Machine Learning Standard</w:t>
            </w:r>
          </w:p>
        </w:tc>
        <w:tc>
          <w:tcPr>
            <w:tcW w:type="dxa" w:w="87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16,5 pcs</w:t>
            </w:r>
          </w:p>
        </w:tc>
        <w:tc>
          <w:tcPr>
            <w:tcW w:type="dxa" w:w="87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20,1 pcs</w:t>
            </w:r>
          </w:p>
        </w:tc>
        <w:tc>
          <w:tcPr>
            <w:tcW w:type="dxa" w:w="78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11,5 %</w:t>
            </w:r>
          </w:p>
        </w:tc>
        <w:tc>
          <w:tcPr>
            <w:tcW w:type="dxa" w:w="69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0,7200</w:t>
            </w:r>
          </w:p>
        </w:tc>
        <w:tc>
          <w:tcPr>
            <w:tcW w:type="dxa" w:w="1797"/>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Modèle Baseline de Référence (Intégré ✓)</w:t>
            </w:r>
          </w:p>
        </w:tc>
      </w:tr>
    </w:tbl>
    <w:p>
      <w:pPr>
        <w:spacing w:after="120" w:before="80"/>
        <w:jc w:val="center"/>
      </w:pPr>
      <w:r>
        <w:rPr>
          <w:rFonts w:ascii="Times New Roman" w:cs="Times New Roman" w:eastAsia="Times New Roman" w:hAnsi="Times New Roman"/>
          <w:i/>
          <w:iCs/>
          <w:color w:val="595959"/>
          <w:sz w:val="20"/>
          <w:szCs w:val="20"/>
        </w:rPr>
        <w:t xml:space="preserve">Tableau 4.10 : Benchmark comparatif des algorithmes de prévision de l'application Nexora</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figures 4.2 et 4.3 illustrent la comparaison visuelle des performances des 3 modèles sur les métriques clés (R², MAE, MAPE, RMSE) :</w:t>
      </w:r>
    </w:p>
    <w:p>
      <w:pPr>
        <w:spacing w:after="40" w:before="40"/>
      </w:pPr>
      <w:r>
        <w:t xml:space="preserve"/>
      </w:r>
    </w:p>
    <w:p>
      <w:pPr>
        <w:spacing w:after="60" w:before="140"/>
        <w:jc w:val="center"/>
      </w:pPr>
      <w:r>
        <w:drawing>
          <wp:inline distT="0" distB="0" distL="0" distR="0">
            <wp:extent cx="5143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143500" cy="215265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4.2 : Comparaison visuelle des modèles de prévision de production selon R² et MAE</w:t>
      </w:r>
    </w:p>
    <w:p>
      <w:pPr>
        <w:spacing w:after="40" w:before="40"/>
      </w:pPr>
      <w:r>
        <w:t xml:space="preserve"/>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L'analyse comparative des trois modèles intégrés dans l'application démontre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Supériorité incontestable de Prophet (Meta)</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Avec un R² = 0,9600, Prophet explique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96 % de la variance journalière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de fabrication. Son erreur moyenne absolue (MAE) n'est que de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7,4 pièces par jour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assurant une exactitude maximale pour le pilotage d'atelier.</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Atteinte du seuil d'excellence ($R^2 ge 0,80$)</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Prophet (0,9600) et ARIMA (0,8100) dépassent le seuil cible industriel fixé à R² = 0,80, tandis que la Régression Linéaire (R² = 0,7200) reste limitée par son incapacité à modéliser la saisonnalité hebdomadaire des postes d'atelier.</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Respect de la norme automobile (MAPE &lt; 5%)</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Comme illustré par la figure 4.6,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seul Prophet atteint un MAPE de 4,8 %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se positionnant sous la barre de tolérance des équipementiers automobiles de premier rang.</w:t>
      </w:r>
    </w:p>
    <w:p>
      <w:pPr>
        <w:spacing w:after="40" w:before="40"/>
      </w:pPr>
      <w:r>
        <w:t xml:space="preserve"/>
      </w:r>
    </w:p>
    <w:p>
      <w:pPr>
        <w:spacing w:after="60" w:before="140"/>
        <w:jc w:val="center"/>
      </w:pPr>
      <w:r>
        <w:drawing>
          <wp:inline distT="0" distB="0" distL="0" distR="0">
            <wp:extent cx="5143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143500" cy="215265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4.3 : Comparaison visuelle des métriques d'erreur MAPE et RMSE</w:t>
      </w:r>
    </w:p>
    <w:p>
      <w:pPr>
        <w:spacing w:after="40" w:before="40"/>
      </w:pPr>
      <w:r>
        <w:t xml:space="preserve"/>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4.8 Sélection et Justification Multicritère du Modèle Champion Prophet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4.10 formalise les critères techniques et industriels justifiant la sélection définitive de Prophet pour la production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3866"/>
      </w:tblGrid>
      <w:tr>
        <w:trPr>
          <w:tblHeader/>
        </w:trPr>
        <w:tc>
          <w:tcPr>
            <w:tcW w:type="dxa" w:w="2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Critère de Sélection</w:t>
            </w:r>
          </w:p>
        </w:tc>
        <w:tc>
          <w:tcPr>
            <w:tcW w:type="dxa" w:w="26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Performance Validée de Prophet</w:t>
            </w:r>
          </w:p>
        </w:tc>
        <w:tc>
          <w:tcPr>
            <w:tcW w:type="dxa" w:w="38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Justification Opérationnelle pour l'Atelier Nexora</w:t>
            </w:r>
          </w:p>
        </w:tc>
      </w:tr>
      <w:tr>
        <w:tc>
          <w:tcPr>
            <w:tcW w:type="dxa" w:w="2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Précision Relative (MAPE)</w:t>
            </w:r>
          </w:p>
        </w:tc>
        <w:tc>
          <w:tcPr>
            <w:tcW w:type="dxa" w:w="2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4,8 % (Meilleur score absolu)</w:t>
            </w:r>
          </w:p>
        </w:tc>
        <w:tc>
          <w:tcPr>
            <w:tcW w:type="dxa" w:w="38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Erreur relative minime, largement inférieure au seuil de tolérance de l'industrie automobile (&lt; 5%)</w:t>
            </w:r>
          </w:p>
        </w:tc>
      </w:tr>
      <w:tr>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Erreur Moyenne Absolue (MAE)</w:t>
            </w:r>
          </w:p>
        </w:tc>
        <w:tc>
          <w:tcPr>
            <w:tcW w:type="dxa" w:w="2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7,4 pièces par jour</w:t>
            </w:r>
          </w:p>
        </w:tc>
        <w:tc>
          <w:tcPr>
            <w:tcW w:type="dxa" w:w="38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Écart moyen négligeable face aux lots de fabrication standards (ordres de plusieurs centaines d'unités)</w:t>
            </w:r>
          </w:p>
        </w:tc>
      </w:tr>
      <w:tr>
        <w:tc>
          <w:tcPr>
            <w:tcW w:type="dxa" w:w="2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Intervalles d'Incertitude à 95%</w:t>
            </w:r>
          </w:p>
        </w:tc>
        <w:tc>
          <w:tcPr>
            <w:tcW w:type="dxa" w:w="2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Bornes natives `yhat_lower` et `yhat_upper`</w:t>
            </w:r>
          </w:p>
        </w:tc>
        <w:tc>
          <w:tcPr>
            <w:tcW w:type="dxa" w:w="38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Indispensables pour calibrer les stocks de sécurité et le taux d'engagement capacitaire des machines</w:t>
            </w:r>
          </w:p>
        </w:tc>
      </w:tr>
      <w:tr>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Points de Rupture (Changepoints)</w:t>
            </w:r>
          </w:p>
        </w:tc>
        <w:tc>
          <w:tcPr>
            <w:tcW w:type="dxa" w:w="2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Détection bayésienne autonome sous loi de Laplace</w:t>
            </w:r>
          </w:p>
        </w:tc>
        <w:tc>
          <w:tcPr>
            <w:tcW w:type="dxa" w:w="38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S'adapte immédiatement aux changements de cadence post-maintenance ou réorganisation de lignes</w:t>
            </w:r>
          </w:p>
        </w:tc>
      </w:tr>
      <w:tr>
        <w:tc>
          <w:tcPr>
            <w:tcW w:type="dxa" w:w="2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Intégration Calendaire Déterministe</w:t>
            </w:r>
          </w:p>
        </w:tc>
        <w:tc>
          <w:tcPr>
            <w:tcW w:type="dxa" w:w="2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Composante événementielle `h(t)` intégrée</w:t>
            </w:r>
          </w:p>
        </w:tc>
        <w:tc>
          <w:tcPr>
            <w:tcW w:type="dxa" w:w="38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Neutralise rigoureusement l'impact des jours fériés et des arrêts planifiés d'usine</w:t>
            </w:r>
          </w:p>
        </w:tc>
      </w:tr>
      <w:tr>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Vitesse et Déploiement Logiciel</w:t>
            </w:r>
          </w:p>
        </w:tc>
        <w:tc>
          <w:tcPr>
            <w:tcW w:type="dxa" w:w="2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Temps d'inférence de 180 ms sur CPU standard</w:t>
            </w:r>
          </w:p>
        </w:tc>
        <w:tc>
          <w:tcPr>
            <w:tcW w:type="dxa" w:w="38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Déploiement léger sans carte graphique dédiée (GPU) sous FastAPI, adapté aux serveurs industriels</w:t>
            </w:r>
          </w:p>
        </w:tc>
      </w:tr>
    </w:tbl>
    <w:p>
      <w:pPr>
        <w:spacing w:after="120" w:before="80"/>
        <w:jc w:val="center"/>
      </w:pPr>
      <w:r>
        <w:rPr>
          <w:rFonts w:ascii="Times New Roman" w:cs="Times New Roman" w:eastAsia="Times New Roman" w:hAnsi="Times New Roman"/>
          <w:i/>
          <w:iCs/>
          <w:color w:val="595959"/>
          <w:sz w:val="20"/>
          <w:szCs w:val="20"/>
        </w:rPr>
        <w:t xml:space="preserve">Tableau 4.11 : Justification multicritère du choix de Prophet</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4.9 Projections de Production, Bandes de Confiance à 95% et Fallback Offline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L'algorithme Prophet retenu génère les projections de cadence d'atelier sur trois horizons temporels opérationnels configurables par les gestionnaires de production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Horizon 7 jours (Court terme)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ajustement des plannings de postes (équipes 3x8) et équilibrage de charge entre les presses d'injection.</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Horizon 14 jours (Moyen terme)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ordonnancement des montages de moules et préparation des outillages au magasin technique.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Horizon 30 jours (Planification S&amp;OP)</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alignement des commandes de granulés polymères (matières premières) avec les prévisions de fabrication.</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chaque jour prédit, l'API fournit l'estimation ponctuelle `yhat` ainsi que la fourchette de tolérance `[yhat_lower, yhat_upper]` à 95 % de probabilité bayésienne.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De surcroît, le frontend React incorpore un moteur de prévision locale de repli (</w:t>
      </w:r>
      <w:r>
        <w:rPr>
          <w:rFonts w:ascii="Times New Roman" w:cs="Times New Roman" w:eastAsia="Times New Roman" w:hAnsi="Times New Roman"/>
          <w:b w:val="false"/>
          <w:bCs w:val="false"/>
          <w:i/>
          <w:iCs/>
          <w:color w:val="1A1A1A"/>
          <w:sz w:val="24"/>
          <w:szCs w:val="24"/>
        </w:rPr>
        <w:t xml:space="preserve">offline fallback</w:t>
      </w:r>
      <w:r>
        <w:rPr>
          <w:rFonts w:ascii="Times New Roman" w:cs="Times New Roman" w:eastAsia="Times New Roman" w:hAnsi="Times New Roman"/>
          <w:b w:val="false"/>
          <w:bCs w:val="false"/>
          <w:i w:val="false"/>
          <w:iCs w:val="false"/>
          <w:color w:val="1A1A1A"/>
          <w:sz w:val="24"/>
          <w:szCs w:val="24"/>
        </w:rPr>
        <w:t xml:space="preserve">) : si la communication réseau vers le serveur d'IA FastAPI est coupée, l'interface bascule sans interruption vers une extrapolation dynamique locale reposant sur les moyennes mobiles récentes, assurant une continuité opérationnelle absolue pour les chefs d'équipe en atelier.</w:t>
      </w:r>
    </w:p>
    <w:p>
      <w:pPr>
        <w:spacing w:after="40" w:before="40"/>
      </w:pPr>
      <w:r>
        <w:t xml:space="preserve"/>
      </w:r>
    </w:p>
    <w:tbl>
      <w:tblPr>
        <w:tblW w:type="pct" w:w="90%"/>
        <w:jc w:val="center"/>
        <w:tblBorders>
          <w:top w:val="dashed" w:color="B0B0B0" w:sz="2"/>
          <w:left w:val="dashed" w:color="B0B0B0" w:sz="2"/>
          <w:bottom w:val="dashed" w:color="B0B0B0" w:sz="2"/>
          <w:right w:val="dashed" w:color="B0B0B0" w:sz="2"/>
          <w:insideH w:val="single" w:color="auto" w:sz="4"/>
          <w:insideV w:val="single" w:color="auto" w:sz="4"/>
        </w:tblBorders>
      </w:tblPr>
      <w:tblGrid>
        <w:gridCol w:w="100"/>
      </w:tblGrid>
      <w:tr>
        <w:trPr>
          <w:trHeight w:val="3600" w:hRule="atLeast"/>
        </w:trPr>
        <w:tc>
          <w:tcPr>
            <w:tcW w:type="pct" w:w="90%"/>
            <w:shd w:fill="FAFAFA" w:val="clear"/>
            <w:tcMar>
              <w:top w:type="dxa" w:w="100"/>
              <w:left w:type="dxa" w:w="100"/>
              <w:bottom w:type="dxa" w:w="100"/>
              <w:right w:type="dxa" w:w="100"/>
            </w:tcMar>
            <w:vAlign w:val="center"/>
          </w:tcPr>
          <w:p>
            <w:pPr>
              <w:spacing w:after="120" w:before="120"/>
              <w:jc w:val="center"/>
            </w:pPr>
            <w:r>
              <w:rPr>
                <w:rFonts w:ascii="Times New Roman" w:cs="Times New Roman" w:eastAsia="Times New Roman" w:hAnsi="Times New Roman"/>
                <w:i/>
                <w:iCs/>
                <w:color w:val="888888"/>
                <w:sz w:val="20"/>
                <w:szCs w:val="20"/>
              </w:rPr>
              <w:t xml:space="preserve">[ Emplacement réservé : insérer la figure ici ]</w:t>
            </w:r>
          </w:p>
        </w:tc>
      </w:tr>
    </w:tbl>
    <w:p>
      <w:pPr>
        <w:spacing w:after="180" w:before="80"/>
        <w:jc w:val="center"/>
      </w:pPr>
      <w:r>
        <w:rPr>
          <w:rFonts w:ascii="Times New Roman" w:cs="Times New Roman" w:eastAsia="Times New Roman" w:hAnsi="Times New Roman"/>
          <w:i/>
          <w:iCs/>
          <w:color w:val="595959"/>
          <w:sz w:val="20"/>
          <w:szCs w:val="20"/>
        </w:rPr>
        <w:t xml:space="preserve">Figure 4.1 : Capture d'écran : Interface de prévision Prophet avec bandes de confiance à 95%</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4.10 Bilan des Livrables et Validation Data Science du Sprint 2</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Dans le cadre de ce projet de Data Science, la validation algorithmique du modèle prédictif est régie par l'évaluation statistique rigoureuse sur le jeu de test chronologique (20 % de l'historique de fabrication non vu). Les métriques d'erreur obtenues (MAE = 7,4 pièces, MAPE = 4,8 %, R² = 0,9600) confirment la supériorité de Prophet et sa précision opérationnelle pour l'ordonnancement d'atelier.</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4.12 dresse le bilan des livrables formellement validés à l'issue du Sprint 2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2000"/>
        <w:gridCol w:w="1266"/>
      </w:tblGrid>
      <w:tr>
        <w:trPr>
          <w:tblHeader/>
        </w:trPr>
        <w:tc>
          <w:tcPr>
            <w:tcW w:type="dxa" w:w="2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Tâche Réalisée</w:t>
            </w:r>
          </w:p>
        </w:tc>
        <w:tc>
          <w:tcPr>
            <w:tcW w:type="dxa" w:w="3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Livrable Associé</w:t>
            </w:r>
          </w:p>
        </w:tc>
        <w:tc>
          <w:tcPr>
            <w:tcW w:type="dxa" w:w="20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Validation Métier &amp; Data</w:t>
            </w:r>
          </w:p>
        </w:tc>
        <w:tc>
          <w:tcPr>
            <w:tcW w:type="dxa" w:w="12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w:t>
            </w:r>
          </w:p>
        </w:tc>
      </w:tr>
      <w:tr>
        <w:tc>
          <w:tcPr>
            <w:tcW w:type="dxa" w:w="2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Préparation des séries temporelles</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Pipeline d'extraction et transformation log sur l'historique de fabrication</w:t>
            </w:r>
          </w:p>
        </w:tc>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par le Product Owner</w:t>
            </w:r>
          </w:p>
        </w:tc>
        <w:tc>
          <w:tcPr>
            <w:tcW w:type="dxa" w:w="12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Benchmark des modèles de l'application</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Étude comparative rigoureuse (Prophet vs ARIMA vs Régression)</w:t>
            </w:r>
          </w:p>
        </w:tc>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académiquement</w:t>
            </w:r>
          </w:p>
        </w:tc>
        <w:tc>
          <w:tcPr>
            <w:tcW w:type="dxa" w:w="1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2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Détection d'anomalies d'atelier</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Algorithme Isolation Forest déployé pour l'usinage (/detect/anomaly)</w:t>
            </w:r>
          </w:p>
        </w:tc>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par le Responsable Méthodes</w:t>
            </w:r>
          </w:p>
        </w:tc>
        <w:tc>
          <w:tcPr>
            <w:tcW w:type="dxa" w:w="12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Modèle prédictif champion</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Pipeline optimisé Prophet Meta (MAPE 4,8%, MAE 7,4 pcs)</w:t>
            </w:r>
          </w:p>
        </w:tc>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par le Product Owner</w:t>
            </w:r>
          </w:p>
        </w:tc>
        <w:tc>
          <w:tcPr>
            <w:tcW w:type="dxa" w:w="1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2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Microservice FastAPI &amp; Fallback</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API REST de production avec restitution ApexCharts et repli offline</w:t>
            </w:r>
          </w:p>
        </w:tc>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fonctionnellement</w:t>
            </w:r>
          </w:p>
        </w:tc>
        <w:tc>
          <w:tcPr>
            <w:tcW w:type="dxa" w:w="12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bl>
    <w:p>
      <w:pPr>
        <w:spacing w:after="120" w:before="80"/>
        <w:jc w:val="center"/>
      </w:pPr>
      <w:r>
        <w:rPr>
          <w:rFonts w:ascii="Times New Roman" w:cs="Times New Roman" w:eastAsia="Times New Roman" w:hAnsi="Times New Roman"/>
          <w:i/>
          <w:iCs/>
          <w:color w:val="595959"/>
          <w:sz w:val="20"/>
          <w:szCs w:val="20"/>
        </w:rPr>
        <w:t xml:space="preserve">Tableau 4.12 : Bilan des livrables et validation Data Science du Sprint 2</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4.11 Conclusion</w:t>
      </w:r>
    </w:p>
    <w:p>
      <w:pPr>
        <w:spacing w:after="160" w:before="160" w:line="360" w:lineRule="auto"/>
        <w:jc w:val="both"/>
      </w:pPr>
      <w:r>
        <w:rPr>
          <w:rFonts w:ascii="Times New Roman" w:cs="Times New Roman" w:eastAsia="Times New Roman" w:hAnsi="Times New Roman"/>
          <w:b w:val="false"/>
          <w:bCs w:val="false"/>
          <w:i w:val="false"/>
          <w:iCs w:val="false"/>
          <w:color w:val="1A1A1A"/>
          <w:sz w:val="24"/>
          <w:szCs w:val="24"/>
        </w:rPr>
        <w:t xml:space="preserve">Le Sprint 2 a doté la plateforme Nexora d'un puissant moteur d'intelligence artificielle combinant prévision de production à haute précision et détection non supervisée des anomalies d'usinage. L'étude comparative menée sur les modèles de l'application a consacré la supériorité du modèle additif Prophet de Meta, qui atteint un MAPE d'excellence de 4,8 % tout en offrant des intervalles de tolérance bayésiens à 95 % indispensables au pilotage capacitaire des 319 presses. Le chapitre 5 présente le Sprint 3, qui valorise ces prévisions pour transformer la gestion des stocks, la classification ABC et les recommandations prescriptives de réapprovisionnement.</w:t>
      </w:r>
    </w:p>
    <w:p>
      <w:pPr>
        <w:spacing w:after="0" w:before="0"/>
      </w:pPr>
      <w:r>
        <w:br w:type="page"/>
      </w:r>
    </w:p>
    <w:p>
      <w:pPr>
        <w:pStyle w:val="Heading1"/>
        <w:pageBreakBefore/>
        <w:pBdr>
          <w:bottom w:val="single" w:color="000000" w:sz="6" w:space="4"/>
        </w:pBdr>
        <w:spacing w:after="140" w:before="260"/>
        <w:outlineLvl w:val="0"/>
      </w:pPr>
      <w:r>
        <w:rPr>
          <w:rFonts w:ascii="Times New Roman" w:cs="Times New Roman" w:eastAsia="Times New Roman" w:hAnsi="Times New Roman"/>
          <w:b/>
          <w:bCs/>
          <w:caps/>
          <w:color w:val="000000"/>
          <w:sz w:val="34"/>
          <w:szCs w:val="34"/>
        </w:rPr>
        <w:t xml:space="preserve">Chapitre 5 : Sprint 3 – Développement du Module de Gestion Intelligente des Stocks d'Atelier</w:t>
      </w:r>
    </w:p>
    <w:p>
      <w:pPr>
        <w:pStyle w:val="Heading2"/>
        <w:spacing w:after="90" w:before="200"/>
        <w:outlineLvl w:val="1"/>
      </w:pPr>
      <w:r>
        <w:rPr>
          <w:rFonts w:ascii="Times New Roman" w:cs="Times New Roman" w:eastAsia="Times New Roman" w:hAnsi="Times New Roman"/>
          <w:b/>
          <w:bCs/>
          <w:color w:val="000000"/>
          <w:sz w:val="28"/>
          <w:szCs w:val="28"/>
        </w:rPr>
        <w:t xml:space="preserve">5.1 Introduction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chapitre correspond au Sprint 3 de notre projet. Après avoir sélectionné le modèle additif Prophet de Meta au chapitre précédent comme algorithme champion de prévision de cadence (MAPE de 4,8 %, MAE de 7,4 pièces), nous développons ici le module de gestion intelligente des stocks d'atelier.</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Dans une usine d'injection plastique automobile pilotant 319 presses réparties entre Kondar (Tunisie) et Brno (République Tchèque), la gestion des approvisionnements ne tolère aucune approximation : une pénurie de granulés thermoplastiques (polyamide PA66 chargé fibre de verre, PBT) ou d'inserts métalliques surmoulés (M4, M5) entraîne l'arrêt immédiat des presses d'injection et des lignes d'assemblage robotisées, générant de lourdes pénalités de retard auprès des constructeurs automobiles. Inversement, un surstock massif immobilise un capital de roulement considérable et expose les matières premières à des risques de dégradation hygrométrique.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module exploite les prévisions de fabrication générées par Prophet pour analyser en temps réel l'état de chaque référence du catalogue d'articles, détecter proactivement les situations à risque et produire des recommandations automatiques d'Ordres de Fabrication et d'approvisionnement matière.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L'objectif est de transformer les projections algorithmiques en actions opérationnelles concrètes et hiérarchisées pour les chefs d'atelier, les planificateurs et les magasiniers de l'usine.</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5.2 Backlog du Sprint 3</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5.1 présente les tâches d'ingénierie planifiées et exécutées au cours du Sprint 3, organisées par priorité et durée estimée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300"/>
        <w:gridCol w:w="4800"/>
        <w:gridCol w:w="1300"/>
        <w:gridCol w:w="1266"/>
      </w:tblGrid>
      <w:tr>
        <w:trPr>
          <w:tblHeader/>
        </w:trPr>
        <w:tc>
          <w:tcPr>
            <w:tcW w:type="dxa" w:w="13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Priorité</w:t>
            </w:r>
          </w:p>
        </w:tc>
        <w:tc>
          <w:tcPr>
            <w:tcW w:type="dxa" w:w="48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Tâche de Développement du Sprint 3</w:t>
            </w:r>
          </w:p>
        </w:tc>
        <w:tc>
          <w:tcPr>
            <w:tcW w:type="dxa" w:w="13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Durée Estimée</w:t>
            </w:r>
          </w:p>
        </w:tc>
        <w:tc>
          <w:tcPr>
            <w:tcW w:type="dxa" w:w="12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 Validé</w:t>
            </w:r>
          </w:p>
        </w:tc>
      </w:tr>
      <w:tr>
        <w:tc>
          <w:tcPr>
            <w:tcW w:type="dxa" w:w="13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4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Conception de l'architecture du module de gestion des stocks d'atelier</w:t>
            </w:r>
          </w:p>
        </w:tc>
        <w:tc>
          <w:tcPr>
            <w:tcW w:type="dxa" w:w="13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 jour</w:t>
            </w:r>
          </w:p>
        </w:tc>
        <w:tc>
          <w:tcPr>
            <w:tcW w:type="dxa" w:w="12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13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4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Intégration des prévisions Prophet dans le calcul des indicateurs de stock (taux, couverture, rotation)</w:t>
            </w:r>
          </w:p>
        </w:tc>
        <w:tc>
          <w:tcPr>
            <w:tcW w:type="dxa" w:w="13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 jours</w:t>
            </w:r>
          </w:p>
        </w:tc>
        <w:tc>
          <w:tcPr>
            <w:tcW w:type="dxa" w:w="1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13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4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Classification opérationnelle des articles en 4 statuts (Rupture, Critique, Normal, Surstock)</w:t>
            </w:r>
          </w:p>
        </w:tc>
        <w:tc>
          <w:tcPr>
            <w:tcW w:type="dxa" w:w="13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 jours</w:t>
            </w:r>
          </w:p>
        </w:tc>
        <w:tc>
          <w:tcPr>
            <w:tcW w:type="dxa" w:w="12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13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4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Calcul automatique des quantités de production/commande et estimation du budget d'approvisionnement</w:t>
            </w:r>
          </w:p>
        </w:tc>
        <w:tc>
          <w:tcPr>
            <w:tcW w:type="dxa" w:w="13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 jours</w:t>
            </w:r>
          </w:p>
        </w:tc>
        <w:tc>
          <w:tcPr>
            <w:tcW w:type="dxa" w:w="1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13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4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Segmentation ABC de Pareto et clustering non supervisé K-Means des articles de fabrication</w:t>
            </w:r>
          </w:p>
        </w:tc>
        <w:tc>
          <w:tcPr>
            <w:tcW w:type="dxa" w:w="13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 jours</w:t>
            </w:r>
          </w:p>
        </w:tc>
        <w:tc>
          <w:tcPr>
            <w:tcW w:type="dxa" w:w="12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13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w:t>
            </w:r>
          </w:p>
        </w:tc>
        <w:tc>
          <w:tcPr>
            <w:tcW w:type="dxa" w:w="4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Génération des alertes intelligentes et priorisation des actions par coût d'arrêt évité</w:t>
            </w:r>
          </w:p>
        </w:tc>
        <w:tc>
          <w:tcPr>
            <w:tcW w:type="dxa" w:w="13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 jour</w:t>
            </w:r>
          </w:p>
        </w:tc>
        <w:tc>
          <w:tcPr>
            <w:tcW w:type="dxa" w:w="1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13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w:t>
            </w:r>
          </w:p>
        </w:tc>
        <w:tc>
          <w:tcPr>
            <w:tcW w:type="dxa" w:w="4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Moteur prescriptif du Point de Commande (ROP) et gestion multi-sites Kondar-Brno</w:t>
            </w:r>
          </w:p>
        </w:tc>
        <w:tc>
          <w:tcPr>
            <w:tcW w:type="dxa" w:w="13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 jour</w:t>
            </w:r>
          </w:p>
        </w:tc>
        <w:tc>
          <w:tcPr>
            <w:tcW w:type="dxa" w:w="12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13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Faible</w:t>
            </w:r>
          </w:p>
        </w:tc>
        <w:tc>
          <w:tcPr>
            <w:tcW w:type="dxa" w:w="4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Visualisation des indicateurs et filtres multi-critères dans le tableau de bord Metronic 8</w:t>
            </w:r>
          </w:p>
        </w:tc>
        <w:tc>
          <w:tcPr>
            <w:tcW w:type="dxa" w:w="13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 jour</w:t>
            </w:r>
          </w:p>
        </w:tc>
        <w:tc>
          <w:tcPr>
            <w:tcW w:type="dxa" w:w="1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bl>
    <w:p>
      <w:pPr>
        <w:spacing w:after="120" w:before="80"/>
        <w:jc w:val="center"/>
      </w:pPr>
      <w:r>
        <w:rPr>
          <w:rFonts w:ascii="Times New Roman" w:cs="Times New Roman" w:eastAsia="Times New Roman" w:hAnsi="Times New Roman"/>
          <w:i/>
          <w:iCs/>
          <w:color w:val="595959"/>
          <w:sz w:val="20"/>
          <w:szCs w:val="20"/>
        </w:rPr>
        <w:t xml:space="preserve">Tableau 5.1 : Priorisation des tâches du Sprint 3 – Gestion Intelligente des Stocks</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5.3 Architecture du Module de Gestion des Stocks en Quatre Étapes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module de gestion intelligente des stocks d'atelier est structuré selon un flux de traitement séquentiel en quatre étapes majeures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1. Données d'Entrée Opérationnelles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les prévisions de fabrication journalières générées par Prophet (chapitre 4) et les données d'inventaire consolidées issues des relevés d'inventaire journalier (stock actuel, coût unitaire, catégorie d'article et historique des mouvements de stock).</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2. Calcul des Indicateurs d'Atelier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calcul dynamique du taux de consommation journalière, de la couverture prévisionnelle en jours ouvrés et du ratio de rotation de stock pour chaque article.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3. Classification et Segmentation Multidimensionnelle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affectation de chaque référence à l'un des quatre statuts de stock d'atelier (Rupture, Critique, Normal, Surstock), croisée avec la segmentation de Pareto (Classes A, B, C) et le partitionnement K-Means.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4. Recommandations Prescriptives et Alertes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pour les articles en situation critique ou en rupture, le module calcule les quantités de réapprovisionnement pour une couverture de 45 jours, chiffre le budget nécessaire, ordonnance les Ordres de Fabrication, propose des transferts inter-sites et alerte les opérateurs.</w:t>
      </w:r>
    </w:p>
    <w:p>
      <w:pPr>
        <w:spacing w:after="40" w:before="40"/>
      </w:pPr>
      <w:r>
        <w:t xml:space="preserve"/>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5.4 Intégration des Prévisions dans la Gestion des Stocks de Fabrication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prévisions journalières de pièces usinées issues de Prophet sont converties en besoins bruts de matières premières et composants. Pour chaque article de fabrication i (granulé polymère, insert métallique ou colorant), le taux de consommation journalière est calculé à partir de la consommation historique annualisée consolidée sur les 365 derniers jours de charge d'atelier :</w:t>
      </w:r>
    </w:p>
    <w:tbl>
      <w:tblPr>
        <w:tblW w:type="pct" w:w="100%"/>
        <w:jc w:val="center"/>
        <w:tblBorders>
          <w:top w:val="none" w:color="FFFFFF" w:sz="0"/>
          <w:left w:val="none" w:color="FFFFFF" w:sz="0"/>
          <w:bottom w:val="none" w:color="FFFFFF" w:sz="0"/>
          <w:right w:val="none" w:color="FFFFFF" w:sz="0"/>
          <w:insideH w:val="single" w:color="auto" w:sz="4"/>
          <w:insideV w:val="single" w:color="auto" w:sz="4"/>
        </w:tblBorders>
      </w:tblPr>
      <w:tblGrid>
        <w:gridCol w:w="100"/>
        <w:gridCol w:w="100"/>
      </w:tblGrid>
      <w:tr>
        <w:tc>
          <w:tcPr>
            <w:tcW w:type="dxa" w:w="7400"/>
            <w:tcBorders>
              <w:top w:val="none" w:color="FFFFFF" w:sz="0"/>
              <w:left w:val="none" w:color="FFFFFF" w:sz="0"/>
              <w:bottom w:val="none" w:color="FFFFFF" w:sz="0"/>
              <w:right w:val="none" w:color="FFFFFF" w:sz="0"/>
            </w:tcBorders>
            <w:vAlign w:val="center"/>
          </w:tcPr>
          <w:p>
            <w:pPr>
              <w:spacing w:after="120" w:before="120"/>
              <w:jc w:val="center"/>
            </w:pPr>
            <w:r>
              <w:rPr>
                <w:rFonts w:ascii="Cambria Math" w:cs="Cambria Math" w:eastAsia="Cambria Math" w:hAnsi="Cambria Math"/>
                <w:i/>
                <w:iCs/>
                <w:sz w:val="23"/>
                <w:szCs w:val="23"/>
              </w:rPr>
              <w:t xml:space="preserve">taux_journalier_i = consommation_annuelle_i / 365  [16]</w:t>
            </w:r>
          </w:p>
        </w:tc>
        <w:tc>
          <w:tcPr>
            <w:tcW w:type="dxa" w:w="1266"/>
            <w:tcBorders>
              <w:top w:val="none" w:color="FFFFFF" w:sz="0"/>
              <w:left w:val="none" w:color="FFFFFF" w:sz="0"/>
              <w:bottom w:val="none" w:color="FFFFFF" w:sz="0"/>
              <w:right w:val="none" w:color="FFFFFF" w:sz="0"/>
            </w:tcBorders>
            <w:vAlign w:val="center"/>
          </w:tcPr>
          <w:p>
            <w:pPr>
              <w:spacing w:after="120" w:before="120"/>
              <w:jc w:val="right"/>
            </w:pPr>
            <w:r>
              <w:rPr>
                <w:rFonts w:ascii="Times New Roman" w:cs="Times New Roman" w:eastAsia="Times New Roman" w:hAnsi="Times New Roman"/>
                <w:sz w:val="22"/>
                <w:szCs w:val="22"/>
              </w:rPr>
              <w:t xml:space="preserve">(5.1)</w:t>
            </w:r>
          </w:p>
        </w:tc>
      </w:tr>
    </w:tbl>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À partir de ce taux de tirage quotidien, deux indicateurs indispensables au pilotage d'atelier sont évalués en temps réel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La couverture en jours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mesure le nombre de jours ouvrés pendant lesquels le stock physique disponible permet de maintenir les presses en cadence nominale sans rupture :</w:t>
      </w:r>
    </w:p>
    <w:tbl>
      <w:tblPr>
        <w:tblW w:type="pct" w:w="100%"/>
        <w:jc w:val="center"/>
        <w:tblBorders>
          <w:top w:val="none" w:color="FFFFFF" w:sz="0"/>
          <w:left w:val="none" w:color="FFFFFF" w:sz="0"/>
          <w:bottom w:val="none" w:color="FFFFFF" w:sz="0"/>
          <w:right w:val="none" w:color="FFFFFF" w:sz="0"/>
          <w:insideH w:val="single" w:color="auto" w:sz="4"/>
          <w:insideV w:val="single" w:color="auto" w:sz="4"/>
        </w:tblBorders>
      </w:tblPr>
      <w:tblGrid>
        <w:gridCol w:w="100"/>
        <w:gridCol w:w="100"/>
      </w:tblGrid>
      <w:tr>
        <w:tc>
          <w:tcPr>
            <w:tcW w:type="dxa" w:w="7400"/>
            <w:tcBorders>
              <w:top w:val="none" w:color="FFFFFF" w:sz="0"/>
              <w:left w:val="none" w:color="FFFFFF" w:sz="0"/>
              <w:bottom w:val="none" w:color="FFFFFF" w:sz="0"/>
              <w:right w:val="none" w:color="FFFFFF" w:sz="0"/>
            </w:tcBorders>
            <w:vAlign w:val="center"/>
          </w:tcPr>
          <w:p>
            <w:pPr>
              <w:spacing w:after="120" w:before="120"/>
              <w:jc w:val="center"/>
            </w:pPr>
            <w:r>
              <w:rPr>
                <w:rFonts w:ascii="Cambria Math" w:cs="Cambria Math" w:eastAsia="Cambria Math" w:hAnsi="Cambria Math"/>
                <w:i/>
                <w:iCs/>
                <w:sz w:val="23"/>
                <w:szCs w:val="23"/>
              </w:rPr>
              <w:t xml:space="preserve">couverture_jours_i = stock_actuel_i / taux_journalier_i  [16]</w:t>
            </w:r>
          </w:p>
        </w:tc>
        <w:tc>
          <w:tcPr>
            <w:tcW w:type="dxa" w:w="1266"/>
            <w:tcBorders>
              <w:top w:val="none" w:color="FFFFFF" w:sz="0"/>
              <w:left w:val="none" w:color="FFFFFF" w:sz="0"/>
              <w:bottom w:val="none" w:color="FFFFFF" w:sz="0"/>
              <w:right w:val="none" w:color="FFFFFF" w:sz="0"/>
            </w:tcBorders>
            <w:vAlign w:val="center"/>
          </w:tcPr>
          <w:p>
            <w:pPr>
              <w:spacing w:after="120" w:before="120"/>
              <w:jc w:val="right"/>
            </w:pPr>
            <w:r>
              <w:rPr>
                <w:rFonts w:ascii="Times New Roman" w:cs="Times New Roman" w:eastAsia="Times New Roman" w:hAnsi="Times New Roman"/>
                <w:sz w:val="22"/>
                <w:szCs w:val="22"/>
              </w:rPr>
              <w:t xml:space="preserve">(5.2)</w:t>
            </w:r>
          </w:p>
        </w:tc>
      </w:tr>
    </w:tbl>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La rotation du stock d'atelier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quantifie la vitesse d'écoulement et de renouvellement du stock au cours de l'exercice :</w:t>
      </w:r>
    </w:p>
    <w:tbl>
      <w:tblPr>
        <w:tblW w:type="pct" w:w="100%"/>
        <w:jc w:val="center"/>
        <w:tblBorders>
          <w:top w:val="none" w:color="FFFFFF" w:sz="0"/>
          <w:left w:val="none" w:color="FFFFFF" w:sz="0"/>
          <w:bottom w:val="none" w:color="FFFFFF" w:sz="0"/>
          <w:right w:val="none" w:color="FFFFFF" w:sz="0"/>
          <w:insideH w:val="single" w:color="auto" w:sz="4"/>
          <w:insideV w:val="single" w:color="auto" w:sz="4"/>
        </w:tblBorders>
      </w:tblPr>
      <w:tblGrid>
        <w:gridCol w:w="100"/>
        <w:gridCol w:w="100"/>
      </w:tblGrid>
      <w:tr>
        <w:tc>
          <w:tcPr>
            <w:tcW w:type="dxa" w:w="7400"/>
            <w:tcBorders>
              <w:top w:val="none" w:color="FFFFFF" w:sz="0"/>
              <w:left w:val="none" w:color="FFFFFF" w:sz="0"/>
              <w:bottom w:val="none" w:color="FFFFFF" w:sz="0"/>
              <w:right w:val="none" w:color="FFFFFF" w:sz="0"/>
            </w:tcBorders>
            <w:vAlign w:val="center"/>
          </w:tcPr>
          <w:p>
            <w:pPr>
              <w:spacing w:after="120" w:before="120"/>
              <w:jc w:val="center"/>
            </w:pPr>
            <w:r>
              <w:rPr>
                <w:rFonts w:ascii="Cambria Math" w:cs="Cambria Math" w:eastAsia="Cambria Math" w:hAnsi="Cambria Math"/>
                <w:i/>
                <w:iCs/>
                <w:sz w:val="23"/>
                <w:szCs w:val="23"/>
              </w:rPr>
              <w:t xml:space="preserve">rotation_i = consommation_annuelle_i / stock_actuel_i  [16, 17]</w:t>
            </w:r>
          </w:p>
        </w:tc>
        <w:tc>
          <w:tcPr>
            <w:tcW w:type="dxa" w:w="1266"/>
            <w:tcBorders>
              <w:top w:val="none" w:color="FFFFFF" w:sz="0"/>
              <w:left w:val="none" w:color="FFFFFF" w:sz="0"/>
              <w:bottom w:val="none" w:color="FFFFFF" w:sz="0"/>
              <w:right w:val="none" w:color="FFFFFF" w:sz="0"/>
            </w:tcBorders>
            <w:vAlign w:val="center"/>
          </w:tcPr>
          <w:p>
            <w:pPr>
              <w:spacing w:after="120" w:before="120"/>
              <w:jc w:val="right"/>
            </w:pPr>
            <w:r>
              <w:rPr>
                <w:rFonts w:ascii="Times New Roman" w:cs="Times New Roman" w:eastAsia="Times New Roman" w:hAnsi="Times New Roman"/>
                <w:sz w:val="22"/>
                <w:szCs w:val="22"/>
              </w:rPr>
              <w:t xml:space="preserve">(5.3)</w:t>
            </w:r>
          </w:p>
        </w:tc>
      </w:tr>
    </w:tbl>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Une rotation élevée caractérise un polymère très sollicité (ex: polyamide PA66 pour boîtiers de connecteurs automobiles) exigeant des réceptions cadencées, tandis qu'une rotation anormalement basse signale un article dormant ou un surplus d'approvisionnement immobilisant de la trésorerie.</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5.5 Classification des Articles de Production par Niveau de Stock</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Chaque article du catalogue industriel est automatiquement affecté à l'un des quatre statuts de stock selon sa couverture calculée et son solde d'inventaire. Le tableau 5.2 présente les seuils de tolérance et les actions prescrites définis en concertation avec la direction de production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400"/>
        <w:gridCol w:w="2200"/>
        <w:gridCol w:w="1500"/>
        <w:gridCol w:w="3566"/>
      </w:tblGrid>
      <w:tr>
        <w:trPr>
          <w:tblHeader/>
        </w:trPr>
        <w:tc>
          <w:tcPr>
            <w:tcW w:type="dxa" w:w="1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 d'Atelier</w:t>
            </w:r>
          </w:p>
        </w:tc>
        <w:tc>
          <w:tcPr>
            <w:tcW w:type="dxa" w:w="2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Condition Opérationnelle</w:t>
            </w:r>
          </w:p>
        </w:tc>
        <w:tc>
          <w:tcPr>
            <w:tcW w:type="dxa" w:w="15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Couleur d'Alerte</w:t>
            </w:r>
          </w:p>
        </w:tc>
        <w:tc>
          <w:tcPr>
            <w:tcW w:type="dxa" w:w="35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Action Prescrite pour l'Atelier</w:t>
            </w:r>
          </w:p>
        </w:tc>
      </w:tr>
      <w:tr>
        <w:tc>
          <w:tcPr>
            <w:tcW w:type="dxa" w:w="1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Rupture</w:t>
            </w:r>
          </w:p>
        </w:tc>
        <w:tc>
          <w:tcPr>
            <w:tcW w:type="dxa" w:w="2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Stock actuel = 0 unité</w:t>
            </w:r>
          </w:p>
        </w:tc>
        <w:tc>
          <w:tcPr>
            <w:tcW w:type="dxa" w:w="15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Rouge</w:t>
            </w:r>
          </w:p>
        </w:tc>
        <w:tc>
          <w:tcPr>
            <w:tcW w:type="dxa" w:w="35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Déclencher un bon de commande express ou ordonnancer un OF prioritaire d'extrusion</w:t>
            </w:r>
          </w:p>
        </w:tc>
      </w:tr>
      <w:tr>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Critique</w:t>
            </w:r>
          </w:p>
        </w:tc>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Couverture &lt; 15 jours</w:t>
            </w:r>
          </w:p>
        </w:tc>
        <w:tc>
          <w:tcPr>
            <w:tcW w:type="dxa" w:w="15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Orange</w:t>
            </w:r>
          </w:p>
        </w:tc>
        <w:tc>
          <w:tcPr>
            <w:tcW w:type="dxa" w:w="35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Planifier un réapprovisionnement urgent ou préparer le changement de moule sous 7 jours</w:t>
            </w:r>
          </w:p>
        </w:tc>
      </w:tr>
      <w:tr>
        <w:tc>
          <w:tcPr>
            <w:tcW w:type="dxa" w:w="1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Normal</w:t>
            </w:r>
          </w:p>
        </w:tc>
        <w:tc>
          <w:tcPr>
            <w:tcW w:type="dxa" w:w="2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15 ≤ Couverture &lt; 120 jours</w:t>
            </w:r>
          </w:p>
        </w:tc>
        <w:tc>
          <w:tcPr>
            <w:tcW w:type="dxa" w:w="15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Vert</w:t>
            </w:r>
          </w:p>
        </w:tc>
        <w:tc>
          <w:tcPr>
            <w:tcW w:type="dxa" w:w="35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Niveau nominal de fonctionnement d'atelier : aucune intervention requise</w:t>
            </w:r>
          </w:p>
        </w:tc>
      </w:tr>
      <w:tr>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Surstock</w:t>
            </w:r>
          </w:p>
        </w:tc>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Stock ≥ 120 jours de couverture</w:t>
            </w:r>
          </w:p>
        </w:tc>
        <w:tc>
          <w:tcPr>
            <w:tcW w:type="dxa" w:w="15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Violet</w:t>
            </w:r>
          </w:p>
        </w:tc>
        <w:tc>
          <w:tcPr>
            <w:tcW w:type="dxa" w:w="35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Surveiller : capital immobilisé et risque de dégradation hygrométrique des polymères</w:t>
            </w:r>
          </w:p>
        </w:tc>
      </w:tr>
    </w:tbl>
    <w:p>
      <w:pPr>
        <w:spacing w:after="120" w:before="80"/>
        <w:jc w:val="center"/>
      </w:pPr>
      <w:r>
        <w:rPr>
          <w:rFonts w:ascii="Times New Roman" w:cs="Times New Roman" w:eastAsia="Times New Roman" w:hAnsi="Times New Roman"/>
          <w:i/>
          <w:iCs/>
          <w:color w:val="595959"/>
          <w:sz w:val="20"/>
          <w:szCs w:val="20"/>
        </w:rPr>
        <w:t xml:space="preserve">Tableau 5.2 : Classification des articles par niveau de stock</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distinction entre ces quatre états est vitale pour une usine d'injection plastique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En rupture (Rouge)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 stock est nul, entraînant l'arrêt forcé d'une ou plusieurs presses à injecter et risquant de stopper la chaîne d'assemblage du client constructeur. Une action corrective immédiate est exigée.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En stock critique (Orange)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la couverture résiduelle est inférieure à 15 jours, ce qui impose d'anticiper la commande sous 7 jours ouvrés pour tenir compte des délais d'acheminement maritime et douanier des polymères importés.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En stock normal (Vert)</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la couverture est équilibrée (entre 15 et 120 jours), garantissant la sérénité du plan directeur de production.</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En surstock (Violet)</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la couverture excède 120 jours de consommation, ce qui immobilise inutilement de la surface en magasin central et expose les matières plastiques sensibles à l'humidité ambiante.</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5.6 Génération des Recommandations Prescriptives d'Atelier</w:t>
      </w:r>
    </w:p>
    <w:p>
      <w:pPr>
        <w:pStyle w:val="Heading3"/>
        <w:spacing w:after="70" w:before="140"/>
        <w:outlineLvl w:val="2"/>
      </w:pPr>
      <w:r>
        <w:rPr>
          <w:rFonts w:ascii="Times New Roman" w:cs="Times New Roman" w:eastAsia="Times New Roman" w:hAnsi="Times New Roman"/>
          <w:b/>
          <w:bCs/>
          <w:color w:val="000000"/>
          <w:sz w:val="24"/>
          <w:szCs w:val="24"/>
        </w:rPr>
        <w:t xml:space="preserve">5.6.1 Calcul Automatique des Quantités à Produire et Commander</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chaque article identifié en rupture ou en stock critique, le module détermine automatiquement le volume optimal à réapprovisionner afin de restaurer une couverture cible de 45 jours de production :</w:t>
      </w:r>
    </w:p>
    <w:tbl>
      <w:tblPr>
        <w:tblW w:type="pct" w:w="100%"/>
        <w:jc w:val="center"/>
        <w:tblBorders>
          <w:top w:val="none" w:color="FFFFFF" w:sz="0"/>
          <w:left w:val="none" w:color="FFFFFF" w:sz="0"/>
          <w:bottom w:val="none" w:color="FFFFFF" w:sz="0"/>
          <w:right w:val="none" w:color="FFFFFF" w:sz="0"/>
          <w:insideH w:val="single" w:color="auto" w:sz="4"/>
          <w:insideV w:val="single" w:color="auto" w:sz="4"/>
        </w:tblBorders>
      </w:tblPr>
      <w:tblGrid>
        <w:gridCol w:w="100"/>
        <w:gridCol w:w="100"/>
      </w:tblGrid>
      <w:tr>
        <w:tc>
          <w:tcPr>
            <w:tcW w:type="dxa" w:w="7400"/>
            <w:tcBorders>
              <w:top w:val="none" w:color="FFFFFF" w:sz="0"/>
              <w:left w:val="none" w:color="FFFFFF" w:sz="0"/>
              <w:bottom w:val="none" w:color="FFFFFF" w:sz="0"/>
              <w:right w:val="none" w:color="FFFFFF" w:sz="0"/>
            </w:tcBorders>
            <w:vAlign w:val="center"/>
          </w:tcPr>
          <w:p>
            <w:pPr>
              <w:spacing w:after="120" w:before="120"/>
              <w:jc w:val="center"/>
            </w:pPr>
            <w:r>
              <w:rPr>
                <w:rFonts w:ascii="Cambria Math" w:cs="Cambria Math" w:eastAsia="Cambria Math" w:hAnsi="Cambria Math"/>
                <w:i/>
                <w:iCs/>
                <w:sz w:val="23"/>
                <w:szCs w:val="23"/>
              </w:rPr>
              <w:t xml:space="preserve">Q_commander = max(Q_min, ⌊taux_journalier_i · 45⌋)  [16]</w:t>
            </w:r>
          </w:p>
        </w:tc>
        <w:tc>
          <w:tcPr>
            <w:tcW w:type="dxa" w:w="1266"/>
            <w:tcBorders>
              <w:top w:val="none" w:color="FFFFFF" w:sz="0"/>
              <w:left w:val="none" w:color="FFFFFF" w:sz="0"/>
              <w:bottom w:val="none" w:color="FFFFFF" w:sz="0"/>
              <w:right w:val="none" w:color="FFFFFF" w:sz="0"/>
            </w:tcBorders>
            <w:vAlign w:val="center"/>
          </w:tcPr>
          <w:p>
            <w:pPr>
              <w:spacing w:after="120" w:before="120"/>
              <w:jc w:val="right"/>
            </w:pPr>
            <w:r>
              <w:rPr>
                <w:rFonts w:ascii="Times New Roman" w:cs="Times New Roman" w:eastAsia="Times New Roman" w:hAnsi="Times New Roman"/>
                <w:sz w:val="22"/>
                <w:szCs w:val="22"/>
              </w:rPr>
              <w:t xml:space="preserve">(5.4)</w:t>
            </w:r>
          </w:p>
        </w:tc>
      </w:tr>
    </w:tbl>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L'horizon de 45 jours correspond à un cycle de fabrication mensuel (30 jours) augmenté d'une marge de sécurité de 15 jours absorbant les variations de cadence d'atelier. La borne inférieure Q_min impose la taille minimale de lot économique de livraison (ex: palette normalisée de 500 kg de résine ou carton de 1 000 inserts) afin d'amortir les frais logistiques et le temps de calage machine (méthode SMED).</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5.6.2 Estimation du Budget d'Approvisionnement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budget financier global nécessaire pour combler les déficits matière est calculé en sommant les montants unitaires sur l'ensemble des références à risque :</w:t>
      </w:r>
    </w:p>
    <w:tbl>
      <w:tblPr>
        <w:tblW w:type="pct" w:w="100%"/>
        <w:jc w:val="center"/>
        <w:tblBorders>
          <w:top w:val="none" w:color="FFFFFF" w:sz="0"/>
          <w:left w:val="none" w:color="FFFFFF" w:sz="0"/>
          <w:bottom w:val="none" w:color="FFFFFF" w:sz="0"/>
          <w:right w:val="none" w:color="FFFFFF" w:sz="0"/>
          <w:insideH w:val="single" w:color="auto" w:sz="4"/>
          <w:insideV w:val="single" w:color="auto" w:sz="4"/>
        </w:tblBorders>
      </w:tblPr>
      <w:tblGrid>
        <w:gridCol w:w="100"/>
        <w:gridCol w:w="100"/>
      </w:tblGrid>
      <w:tr>
        <w:tc>
          <w:tcPr>
            <w:tcW w:type="dxa" w:w="7400"/>
            <w:tcBorders>
              <w:top w:val="none" w:color="FFFFFF" w:sz="0"/>
              <w:left w:val="none" w:color="FFFFFF" w:sz="0"/>
              <w:bottom w:val="none" w:color="FFFFFF" w:sz="0"/>
              <w:right w:val="none" w:color="FFFFFF" w:sz="0"/>
            </w:tcBorders>
            <w:vAlign w:val="center"/>
          </w:tcPr>
          <w:p>
            <w:pPr>
              <w:spacing w:after="120" w:before="120"/>
              <w:jc w:val="center"/>
            </w:pPr>
            <w:r>
              <w:rPr>
                <w:rFonts w:ascii="Cambria Math" w:cs="Cambria Math" w:eastAsia="Cambria Math" w:hAnsi="Cambria Math"/>
                <w:i/>
                <w:iCs/>
                <w:sz w:val="23"/>
                <w:szCs w:val="23"/>
              </w:rPr>
              <w:t xml:space="preserve">Budget_total = ∑_{i ∈ {Rupture, Critique}} Q_commander,i · cout_unitaire_i  [16]</w:t>
            </w:r>
          </w:p>
        </w:tc>
        <w:tc>
          <w:tcPr>
            <w:tcW w:type="dxa" w:w="1266"/>
            <w:tcBorders>
              <w:top w:val="none" w:color="FFFFFF" w:sz="0"/>
              <w:left w:val="none" w:color="FFFFFF" w:sz="0"/>
              <w:bottom w:val="none" w:color="FFFFFF" w:sz="0"/>
              <w:right w:val="none" w:color="FFFFFF" w:sz="0"/>
            </w:tcBorders>
            <w:vAlign w:val="center"/>
          </w:tcPr>
          <w:p>
            <w:pPr>
              <w:spacing w:after="120" w:before="120"/>
              <w:jc w:val="right"/>
            </w:pPr>
            <w:r>
              <w:rPr>
                <w:rFonts w:ascii="Times New Roman" w:cs="Times New Roman" w:eastAsia="Times New Roman" w:hAnsi="Times New Roman"/>
                <w:sz w:val="22"/>
                <w:szCs w:val="22"/>
              </w:rPr>
              <w:t xml:space="preserve">(5.5)</w:t>
            </w:r>
          </w:p>
        </w:tc>
      </w:tr>
    </w:tbl>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Cette projection permet au directeur financier et au responsable des achats de planifier les engagements de trésorerie avec une rigueur absolue.</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5.6.3 Alertes Intelligentes et Priorisation par Coût d'Arrêt Évité</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chaque article défaillant, le module émet une alerte décisionnelle priorisée intégrant l'identifiant référence, la famille de matière, le stock actuel, la couverture en jours, le volume prescrit et la perte financière potentielle évitée en cas d'arrêt de presse :</w:t>
      </w:r>
    </w:p>
    <w:tbl>
      <w:tblPr>
        <w:tblW w:type="pct" w:w="100%"/>
        <w:jc w:val="center"/>
        <w:tblBorders>
          <w:top w:val="none" w:color="FFFFFF" w:sz="0"/>
          <w:left w:val="none" w:color="FFFFFF" w:sz="0"/>
          <w:bottom w:val="none" w:color="FFFFFF" w:sz="0"/>
          <w:right w:val="none" w:color="FFFFFF" w:sz="0"/>
          <w:insideH w:val="single" w:color="auto" w:sz="4"/>
          <w:insideV w:val="single" w:color="auto" w:sz="4"/>
        </w:tblBorders>
      </w:tblPr>
      <w:tblGrid>
        <w:gridCol w:w="100"/>
        <w:gridCol w:w="100"/>
      </w:tblGrid>
      <w:tr>
        <w:tc>
          <w:tcPr>
            <w:tcW w:type="dxa" w:w="7400"/>
            <w:tcBorders>
              <w:top w:val="none" w:color="FFFFFF" w:sz="0"/>
              <w:left w:val="none" w:color="FFFFFF" w:sz="0"/>
              <w:bottom w:val="none" w:color="FFFFFF" w:sz="0"/>
              <w:right w:val="none" w:color="FFFFFF" w:sz="0"/>
            </w:tcBorders>
            <w:vAlign w:val="center"/>
          </w:tcPr>
          <w:p>
            <w:pPr>
              <w:spacing w:after="120" w:before="120"/>
              <w:jc w:val="center"/>
            </w:pPr>
            <w:r>
              <w:rPr>
                <w:rFonts w:ascii="Cambria Math" w:cs="Cambria Math" w:eastAsia="Cambria Math" w:hAnsi="Cambria Math"/>
                <w:i/>
                <w:iCs/>
                <w:sz w:val="23"/>
                <w:szCs w:val="23"/>
              </w:rPr>
              <w:t xml:space="preserve">Perte_estimee_i = max(0, (45 - couverture_jours_i) · taux_journalier_i · cout_unitaire_i)  [16, 17]</w:t>
            </w:r>
          </w:p>
        </w:tc>
        <w:tc>
          <w:tcPr>
            <w:tcW w:type="dxa" w:w="1266"/>
            <w:tcBorders>
              <w:top w:val="none" w:color="FFFFFF" w:sz="0"/>
              <w:left w:val="none" w:color="FFFFFF" w:sz="0"/>
              <w:bottom w:val="none" w:color="FFFFFF" w:sz="0"/>
              <w:right w:val="none" w:color="FFFFFF" w:sz="0"/>
            </w:tcBorders>
            <w:vAlign w:val="center"/>
          </w:tcPr>
          <w:p>
            <w:pPr>
              <w:spacing w:after="120" w:before="120"/>
              <w:jc w:val="right"/>
            </w:pPr>
            <w:r>
              <w:rPr>
                <w:rFonts w:ascii="Times New Roman" w:cs="Times New Roman" w:eastAsia="Times New Roman" w:hAnsi="Times New Roman"/>
                <w:sz w:val="22"/>
                <w:szCs w:val="22"/>
              </w:rPr>
              <w:t xml:space="preserve">(5.6)</w:t>
            </w:r>
          </w:p>
        </w:tc>
      </w:tr>
    </w:tbl>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alertes sont triées par criticité économique décroissante, mettant en exergue le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Top 20 des articles les plus urgents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afin d'orienter immédiatement les arbitrages de l'ordonnancement d'atelier.</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5.6.4 Moteur Prescriptif du Point de Commande et Stock de Sécurité</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automatiser les déclenchements d'achats en liaison avec l'ERP, le système calcule pour chaque référence son point de commande (</w:t>
      </w:r>
      <w:r>
        <w:rPr>
          <w:rFonts w:ascii="Times New Roman" w:cs="Times New Roman" w:eastAsia="Times New Roman" w:hAnsi="Times New Roman"/>
          <w:b w:val="false"/>
          <w:bCs w:val="false"/>
          <w:i/>
          <w:iCs/>
          <w:color w:val="1A1A1A"/>
          <w:sz w:val="24"/>
          <w:szCs w:val="24"/>
        </w:rPr>
        <w:t xml:space="preserve">Reorder Point - ROP</w:t>
      </w:r>
      <w:r>
        <w:rPr>
          <w:rFonts w:ascii="Times New Roman" w:cs="Times New Roman" w:eastAsia="Times New Roman" w:hAnsi="Times New Roman"/>
          <w:b w:val="false"/>
          <w:bCs w:val="false"/>
          <w:i w:val="false"/>
          <w:iCs w:val="false"/>
          <w:color w:val="1A1A1A"/>
          <w:sz w:val="24"/>
          <w:szCs w:val="24"/>
        </w:rPr>
        <w:t xml:space="preserve">) :</w:t>
      </w:r>
    </w:p>
    <w:tbl>
      <w:tblPr>
        <w:tblW w:type="pct" w:w="100%"/>
        <w:jc w:val="center"/>
        <w:tblBorders>
          <w:top w:val="none" w:color="FFFFFF" w:sz="0"/>
          <w:left w:val="none" w:color="FFFFFF" w:sz="0"/>
          <w:bottom w:val="none" w:color="FFFFFF" w:sz="0"/>
          <w:right w:val="none" w:color="FFFFFF" w:sz="0"/>
          <w:insideH w:val="single" w:color="auto" w:sz="4"/>
          <w:insideV w:val="single" w:color="auto" w:sz="4"/>
        </w:tblBorders>
      </w:tblPr>
      <w:tblGrid>
        <w:gridCol w:w="100"/>
        <w:gridCol w:w="100"/>
      </w:tblGrid>
      <w:tr>
        <w:tc>
          <w:tcPr>
            <w:tcW w:type="dxa" w:w="7400"/>
            <w:tcBorders>
              <w:top w:val="none" w:color="FFFFFF" w:sz="0"/>
              <w:left w:val="none" w:color="FFFFFF" w:sz="0"/>
              <w:bottom w:val="none" w:color="FFFFFF" w:sz="0"/>
              <w:right w:val="none" w:color="FFFFFF" w:sz="0"/>
            </w:tcBorders>
            <w:vAlign w:val="center"/>
          </w:tcPr>
          <w:p>
            <w:pPr>
              <w:spacing w:after="120" w:before="120"/>
              <w:jc w:val="center"/>
            </w:pPr>
            <w:r>
              <w:rPr>
                <w:rFonts w:ascii="Cambria Math" w:cs="Cambria Math" w:eastAsia="Cambria Math" w:hAnsi="Cambria Math"/>
                <w:i/>
                <w:iCs/>
                <w:sz w:val="23"/>
                <w:szCs w:val="23"/>
              </w:rPr>
              <w:t xml:space="preserve">ROP = (d · L) + SS</w:t>
            </w:r>
          </w:p>
        </w:tc>
        <w:tc>
          <w:tcPr>
            <w:tcW w:type="dxa" w:w="1266"/>
            <w:tcBorders>
              <w:top w:val="none" w:color="FFFFFF" w:sz="0"/>
              <w:left w:val="none" w:color="FFFFFF" w:sz="0"/>
              <w:bottom w:val="none" w:color="FFFFFF" w:sz="0"/>
              <w:right w:val="none" w:color="FFFFFF" w:sz="0"/>
            </w:tcBorders>
            <w:vAlign w:val="center"/>
          </w:tcPr>
          <w:p>
            <w:pPr>
              <w:spacing w:after="120" w:before="120"/>
              <w:jc w:val="right"/>
            </w:pPr>
            <w:r>
              <w:rPr>
                <w:rFonts w:ascii="Times New Roman" w:cs="Times New Roman" w:eastAsia="Times New Roman" w:hAnsi="Times New Roman"/>
                <w:sz w:val="22"/>
                <w:szCs w:val="22"/>
              </w:rPr>
              <w:t xml:space="preserve">(5.7)</w:t>
            </w:r>
          </w:p>
        </w:tc>
      </w:tr>
    </w:tbl>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où d représente la consommation journalière moyenne prédite par Prophet, L le délai d'approvisionnement fournisseur en jours ouvrés, et SS le stock de sécurité bayésien dimensionné pour garantir un taux de service d'au moins 98 % :</w:t>
      </w:r>
    </w:p>
    <w:tbl>
      <w:tblPr>
        <w:tblW w:type="pct" w:w="100%"/>
        <w:jc w:val="center"/>
        <w:tblBorders>
          <w:top w:val="none" w:color="FFFFFF" w:sz="0"/>
          <w:left w:val="none" w:color="FFFFFF" w:sz="0"/>
          <w:bottom w:val="none" w:color="FFFFFF" w:sz="0"/>
          <w:right w:val="none" w:color="FFFFFF" w:sz="0"/>
          <w:insideH w:val="single" w:color="auto" w:sz="4"/>
          <w:insideV w:val="single" w:color="auto" w:sz="4"/>
        </w:tblBorders>
      </w:tblPr>
      <w:tblGrid>
        <w:gridCol w:w="100"/>
        <w:gridCol w:w="100"/>
      </w:tblGrid>
      <w:tr>
        <w:tc>
          <w:tcPr>
            <w:tcW w:type="dxa" w:w="7400"/>
            <w:tcBorders>
              <w:top w:val="none" w:color="FFFFFF" w:sz="0"/>
              <w:left w:val="none" w:color="FFFFFF" w:sz="0"/>
              <w:bottom w:val="none" w:color="FFFFFF" w:sz="0"/>
              <w:right w:val="none" w:color="FFFFFF" w:sz="0"/>
            </w:tcBorders>
            <w:vAlign w:val="center"/>
          </w:tcPr>
          <w:p>
            <w:pPr>
              <w:spacing w:after="120" w:before="120"/>
              <w:jc w:val="center"/>
            </w:pPr>
            <w:r>
              <w:rPr>
                <w:rFonts w:ascii="Cambria Math" w:cs="Cambria Math" w:eastAsia="Cambria Math" w:hAnsi="Cambria Math"/>
                <w:i/>
                <w:iCs/>
                <w:sz w:val="23"/>
                <w:szCs w:val="23"/>
              </w:rPr>
              <w:t xml:space="preserve">SS = Z · √[ L · σ_d² + d² · σ_L² ]</w:t>
            </w:r>
          </w:p>
        </w:tc>
        <w:tc>
          <w:tcPr>
            <w:tcW w:type="dxa" w:w="1266"/>
            <w:tcBorders>
              <w:top w:val="none" w:color="FFFFFF" w:sz="0"/>
              <w:left w:val="none" w:color="FFFFFF" w:sz="0"/>
              <w:bottom w:val="none" w:color="FFFFFF" w:sz="0"/>
              <w:right w:val="none" w:color="FFFFFF" w:sz="0"/>
            </w:tcBorders>
            <w:vAlign w:val="center"/>
          </w:tcPr>
          <w:p>
            <w:pPr>
              <w:spacing w:after="120" w:before="120"/>
              <w:jc w:val="right"/>
            </w:pPr>
            <w:r>
              <w:rPr>
                <w:rFonts w:ascii="Times New Roman" w:cs="Times New Roman" w:eastAsia="Times New Roman" w:hAnsi="Times New Roman"/>
                <w:sz w:val="22"/>
                <w:szCs w:val="22"/>
              </w:rPr>
              <w:t xml:space="preserve">(5.8)</w:t>
            </w:r>
          </w:p>
        </w:tc>
      </w:tr>
    </w:tbl>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5.6.5 Recommandations d'Ajustement des Équipes 3x8 et Maintenance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Lorsque les projections de fabrication indiquent une charge saturant la capacité en régime 2x8 sur les presses clés (Demag 420T), le module préconise l'ouverture temporaire d'un poste de nuit (régime 3x8). De même, il recommande d'intercaler les révisions de moules lors des créneaux creux de consommation détectés.</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5.7 Analyse Approfondie et Résultats de Gestion des Stocks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module a été exécuté sur l'ensemble des données d'inventaire de l'entrepôt.</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5.7.1 Segmentation ABC et Analyse de Pareto</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L'analyse de Pareto appliquée à l'inventaire classe les articles selon leur valeur financière totale consommée (tableau 5.3)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1800"/>
        <w:gridCol w:w="3466"/>
      </w:tblGrid>
      <w:tr>
        <w:trPr>
          <w:tblHeader/>
        </w:trPr>
        <w:tc>
          <w:tcPr>
            <w:tcW w:type="dxa" w:w="18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Classe ABC</w:t>
            </w:r>
          </w:p>
        </w:tc>
        <w:tc>
          <w:tcPr>
            <w:tcW w:type="dxa" w:w="16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Proportion Références</w:t>
            </w:r>
          </w:p>
        </w:tc>
        <w:tc>
          <w:tcPr>
            <w:tcW w:type="dxa" w:w="18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Part Valeur Stock</w:t>
            </w:r>
          </w:p>
        </w:tc>
        <w:tc>
          <w:tcPr>
            <w:tcW w:type="dxa" w:w="34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Politique de Gestion et de Réapprovisionnement d'Atelier</w:t>
            </w:r>
          </w:p>
        </w:tc>
      </w:tr>
      <w:tr>
        <w:tc>
          <w:tcPr>
            <w:tcW w:type="dxa" w:w="1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Classe A (Articles Stratégiques)</w:t>
            </w:r>
          </w:p>
        </w:tc>
        <w:tc>
          <w:tcPr>
            <w:tcW w:type="dxa" w:w="1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15 % des articles</w:t>
            </w:r>
          </w:p>
        </w:tc>
        <w:tc>
          <w:tcPr>
            <w:tcW w:type="dxa" w:w="1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72 % de la valeur (Dinars)</w:t>
            </w:r>
          </w:p>
        </w:tc>
        <w:tc>
          <w:tcPr>
            <w:tcW w:type="dxa" w:w="34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Polymères nobles (PA66, PBT) : inventaire tournant hebdomadaire, flux tendu et suivi continu</w:t>
            </w:r>
          </w:p>
        </w:tc>
      </w:tr>
      <w:tr>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Classe B (Articles Intermédiaires)</w:t>
            </w:r>
          </w:p>
        </w:tc>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25 % des articles</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20 % de la valeur (Dinars)</w:t>
            </w:r>
          </w:p>
        </w:tc>
        <w:tc>
          <w:tcPr>
            <w:tcW w:type="dxa" w:w="3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Inserts surmoulés et connecteurs : gestion par point de commande ROP révisé mensuellement</w:t>
            </w:r>
          </w:p>
        </w:tc>
      </w:tr>
      <w:tr>
        <w:tc>
          <w:tcPr>
            <w:tcW w:type="dxa" w:w="1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Classe C (Consommables Génériques)</w:t>
            </w:r>
          </w:p>
        </w:tc>
        <w:tc>
          <w:tcPr>
            <w:tcW w:type="dxa" w:w="1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60 % des articles</w:t>
            </w:r>
          </w:p>
        </w:tc>
        <w:tc>
          <w:tcPr>
            <w:tcW w:type="dxa" w:w="1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8 % de la valeur (Dinars)</w:t>
            </w:r>
          </w:p>
        </w:tc>
        <w:tc>
          <w:tcPr>
            <w:tcW w:type="dxa" w:w="34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Vis, joints toriques, cartons : gestion simplifiée à deux casiers (Kanban) avec commandes forfaitaires</w:t>
            </w:r>
          </w:p>
        </w:tc>
      </w:tr>
    </w:tbl>
    <w:p>
      <w:pPr>
        <w:spacing w:after="120" w:before="80"/>
        <w:jc w:val="center"/>
      </w:pPr>
      <w:r>
        <w:rPr>
          <w:rFonts w:ascii="Times New Roman" w:cs="Times New Roman" w:eastAsia="Times New Roman" w:hAnsi="Times New Roman"/>
          <w:i/>
          <w:iCs/>
          <w:color w:val="595959"/>
          <w:sz w:val="20"/>
          <w:szCs w:val="20"/>
        </w:rPr>
        <w:t xml:space="preserve">Tableau 5.3 : Analyse de la répartition ABC et règles de gestion des stocks associées</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5.7.2 Partitionnement et Clustering Non Supervisé K-Means des Articles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En complément de l'analyse ABC, le modèle non supervisé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K-Means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exposé sur le point d'accès `/cluster/items`, partitionne les articles en 3 grappes homogènes sur l'espace bidimensionnel quantité-valeur en minimisant l'inertie intra-classe :</w:t>
      </w:r>
    </w:p>
    <w:tbl>
      <w:tblPr>
        <w:tblW w:type="pct" w:w="100%"/>
        <w:jc w:val="center"/>
        <w:tblBorders>
          <w:top w:val="none" w:color="FFFFFF" w:sz="0"/>
          <w:left w:val="none" w:color="FFFFFF" w:sz="0"/>
          <w:bottom w:val="none" w:color="FFFFFF" w:sz="0"/>
          <w:right w:val="none" w:color="FFFFFF" w:sz="0"/>
          <w:insideH w:val="single" w:color="auto" w:sz="4"/>
          <w:insideV w:val="single" w:color="auto" w:sz="4"/>
        </w:tblBorders>
      </w:tblPr>
      <w:tblGrid>
        <w:gridCol w:w="100"/>
        <w:gridCol w:w="100"/>
      </w:tblGrid>
      <w:tr>
        <w:tc>
          <w:tcPr>
            <w:tcW w:type="dxa" w:w="7400"/>
            <w:tcBorders>
              <w:top w:val="none" w:color="FFFFFF" w:sz="0"/>
              <w:left w:val="none" w:color="FFFFFF" w:sz="0"/>
              <w:bottom w:val="none" w:color="FFFFFF" w:sz="0"/>
              <w:right w:val="none" w:color="FFFFFF" w:sz="0"/>
            </w:tcBorders>
            <w:vAlign w:val="center"/>
          </w:tcPr>
          <w:p>
            <w:pPr>
              <w:spacing w:after="120" w:before="120"/>
              <w:jc w:val="center"/>
            </w:pPr>
            <w:r>
              <w:rPr>
                <w:rFonts w:ascii="Cambria Math" w:cs="Cambria Math" w:eastAsia="Cambria Math" w:hAnsi="Cambria Math"/>
                <w:i/>
                <w:iCs/>
                <w:sz w:val="23"/>
                <w:szCs w:val="23"/>
              </w:rPr>
              <w:t xml:space="preserve">J = ∑ₖ₌₁ᴷ ∑_{xᵢ ∈ Cₖ} ‖ xᵢ - μₖ ‖²</w:t>
            </w:r>
          </w:p>
        </w:tc>
        <w:tc>
          <w:tcPr>
            <w:tcW w:type="dxa" w:w="1266"/>
            <w:tcBorders>
              <w:top w:val="none" w:color="FFFFFF" w:sz="0"/>
              <w:left w:val="none" w:color="FFFFFF" w:sz="0"/>
              <w:bottom w:val="none" w:color="FFFFFF" w:sz="0"/>
              <w:right w:val="none" w:color="FFFFFF" w:sz="0"/>
            </w:tcBorders>
            <w:vAlign w:val="center"/>
          </w:tcPr>
          <w:p>
            <w:pPr>
              <w:spacing w:after="120" w:before="120"/>
              <w:jc w:val="right"/>
            </w:pPr>
            <w:r>
              <w:rPr>
                <w:rFonts w:ascii="Times New Roman" w:cs="Times New Roman" w:eastAsia="Times New Roman" w:hAnsi="Times New Roman"/>
                <w:sz w:val="22"/>
                <w:szCs w:val="22"/>
              </w:rPr>
              <w:t xml:space="preserve">(5.9)</w:t>
            </w:r>
          </w:p>
        </w:tc>
      </w:tr>
    </w:tbl>
    <w:tbl>
      <w:tblPr>
        <w:tblW w:type="pct" w:w="100%"/>
        <w:jc w:val="center"/>
        <w:tblBorders>
          <w:top w:val="none" w:color="FFFFFF" w:sz="0"/>
          <w:left w:val="none" w:color="FFFFFF" w:sz="0"/>
          <w:bottom w:val="none" w:color="FFFFFF" w:sz="0"/>
          <w:right w:val="none" w:color="FFFFFF" w:sz="0"/>
          <w:insideH w:val="single" w:color="auto" w:sz="4"/>
          <w:insideV w:val="single" w:color="auto" w:sz="4"/>
        </w:tblBorders>
      </w:tblPr>
      <w:tblGrid>
        <w:gridCol w:w="100"/>
        <w:gridCol w:w="100"/>
      </w:tblGrid>
      <w:tr>
        <w:tc>
          <w:tcPr>
            <w:tcW w:type="dxa" w:w="7400"/>
            <w:tcBorders>
              <w:top w:val="none" w:color="FFFFFF" w:sz="0"/>
              <w:left w:val="none" w:color="FFFFFF" w:sz="0"/>
              <w:bottom w:val="none" w:color="FFFFFF" w:sz="0"/>
              <w:right w:val="none" w:color="FFFFFF" w:sz="0"/>
            </w:tcBorders>
            <w:vAlign w:val="center"/>
          </w:tcPr>
          <w:p>
            <w:pPr>
              <w:spacing w:after="120" w:before="120"/>
              <w:jc w:val="center"/>
            </w:pPr>
            <w:r>
              <w:rPr>
                <w:rFonts w:ascii="Cambria Math" w:cs="Cambria Math" w:eastAsia="Cambria Math" w:hAnsi="Cambria Math"/>
                <w:i/>
                <w:iCs/>
                <w:sz w:val="23"/>
                <w:szCs w:val="23"/>
              </w:rPr>
              <w:t xml:space="preserve">μₖ = (1 / |Cₖ|) ∑_{xᵢ ∈ Cₖ} xᵢ</w:t>
            </w:r>
          </w:p>
        </w:tc>
        <w:tc>
          <w:tcPr>
            <w:tcW w:type="dxa" w:w="1266"/>
            <w:tcBorders>
              <w:top w:val="none" w:color="FFFFFF" w:sz="0"/>
              <w:left w:val="none" w:color="FFFFFF" w:sz="0"/>
              <w:bottom w:val="none" w:color="FFFFFF" w:sz="0"/>
              <w:right w:val="none" w:color="FFFFFF" w:sz="0"/>
            </w:tcBorders>
            <w:vAlign w:val="center"/>
          </w:tcPr>
          <w:p>
            <w:pPr>
              <w:spacing w:after="120" w:before="120"/>
              <w:jc w:val="right"/>
            </w:pPr>
            <w:r>
              <w:rPr>
                <w:rFonts w:ascii="Times New Roman" w:cs="Times New Roman" w:eastAsia="Times New Roman" w:hAnsi="Times New Roman"/>
                <w:sz w:val="22"/>
                <w:szCs w:val="22"/>
              </w:rPr>
              <w:t xml:space="preserve">(5.10)</w:t>
            </w:r>
          </w:p>
        </w:tc>
      </w:tr>
    </w:tbl>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4333"/>
        <w:gridCol w:w="4333"/>
      </w:tblGrid>
      <w:tr>
        <w:trPr>
          <w:tblHeader/>
        </w:trPr>
        <w:tc>
          <w:tcPr>
            <w:tcW w:type="dxa" w:w="4333"/>
            <w:tcBorders>
              <w:top w:val="single" w:color="AAAAAA" w:sz="1"/>
              <w:left w:val="single" w:color="AAAAAA" w:sz="1"/>
              <w:bottom w:val="single" w:color="AAAAAA" w:sz="1"/>
              <w:right w:val="single" w:color="AAAAAA" w:sz="1"/>
            </w:tcBorders>
            <w:shd w:fill="D9EAD3" w:val="clear"/>
            <w:tcMar>
              <w:top w:type="dxa" w:w="70"/>
              <w:left w:type="dxa" w:w="100"/>
              <w:bottom w:type="dxa" w:w="70"/>
              <w:right w:type="dxa" w:w="100"/>
            </w:tcMar>
            <w:vAlign w:val="center"/>
          </w:tcPr>
          <w:p>
            <w:pPr>
              <w:spacing w:after="20" w:before="20"/>
              <w:jc w:val="left"/>
            </w:pPr>
            <w:r>
              <w:rPr>
                <w:rFonts w:ascii="Times New Roman" w:cs="Times New Roman" w:eastAsia="Times New Roman" w:hAnsi="Times New Roman"/>
                <w:b/>
                <w:bCs/>
                <w:color w:val="1C3A13"/>
                <w:sz w:val="21"/>
                <w:szCs w:val="21"/>
              </w:rPr>
              <w:t xml:space="preserve">Avantages</w:t>
            </w:r>
          </w:p>
        </w:tc>
        <w:tc>
          <w:tcPr>
            <w:tcW w:type="dxa" w:w="4333"/>
            <w:tcBorders>
              <w:top w:val="single" w:color="AAAAAA" w:sz="1"/>
              <w:left w:val="single" w:color="AAAAAA" w:sz="1"/>
              <w:bottom w:val="single" w:color="AAAAAA" w:sz="1"/>
              <w:right w:val="single" w:color="AAAAAA" w:sz="1"/>
            </w:tcBorders>
            <w:shd w:fill="FCE4D6" w:val="clear"/>
            <w:tcMar>
              <w:top w:type="dxa" w:w="70"/>
              <w:left w:type="dxa" w:w="100"/>
              <w:bottom w:type="dxa" w:w="70"/>
              <w:right w:type="dxa" w:w="100"/>
            </w:tcMar>
            <w:vAlign w:val="center"/>
          </w:tcPr>
          <w:p>
            <w:pPr>
              <w:spacing w:after="20" w:before="20"/>
              <w:jc w:val="left"/>
            </w:pPr>
            <w:r>
              <w:rPr>
                <w:rFonts w:ascii="Times New Roman" w:cs="Times New Roman" w:eastAsia="Times New Roman" w:hAnsi="Times New Roman"/>
                <w:b/>
                <w:bCs/>
                <w:color w:val="4A1C14"/>
                <w:sz w:val="21"/>
                <w:szCs w:val="21"/>
              </w:rPr>
              <w:t xml:space="preserve">Limites</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Partitionnement objectif sans seuils empiriques figés</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Sensible aux valeurs extrêmes tirant les centroïdes</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Convergence algorithmique très rapide en O(K · n · I)</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Suppose des grappes convexes de variances comparables</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Isole les articles atypiques (ex: forts volumes à faible coût)</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Spécification a priori du nombre de clusters (K fixé à 3)</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Visualisation directe en nuage de points (Scatter Plot) dans Metronic 8</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
            </w:r>
          </w:p>
        </w:tc>
      </w:tr>
    </w:tbl>
    <w:p>
      <w:pPr>
        <w:spacing w:after="140" w:before="90"/>
        <w:jc w:val="center"/>
      </w:pPr>
      <w:r>
        <w:rPr>
          <w:rFonts w:ascii="Times New Roman" w:cs="Times New Roman" w:eastAsia="Times New Roman" w:hAnsi="Times New Roman"/>
          <w:b/>
          <w:bCs/>
          <w:color w:val="333333"/>
          <w:sz w:val="20"/>
          <w:szCs w:val="20"/>
        </w:rPr>
        <w:t xml:space="preserve">TABLEAU 5.4 : </w:t>
      </w:r>
      <w:r>
        <w:rPr>
          <w:rFonts w:ascii="Times New Roman" w:cs="Times New Roman" w:eastAsia="Times New Roman" w:hAnsi="Times New Roman"/>
          <w:color w:val="333333"/>
          <w:sz w:val="20"/>
          <w:szCs w:val="20"/>
        </w:rPr>
        <w:t xml:space="preserve">Avantages et limites : K-Means Clustering - Segmentation des Stocks</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5.5 caractérise les trois clusters opérationnels identifiés sur l'inventaire d'atelier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600"/>
        <w:gridCol w:w="1200"/>
        <w:gridCol w:w="1200"/>
        <w:gridCol w:w="1300"/>
        <w:gridCol w:w="1400"/>
        <w:gridCol w:w="1966"/>
      </w:tblGrid>
      <w:tr>
        <w:trPr>
          <w:tblHeader/>
        </w:trPr>
        <w:tc>
          <w:tcPr>
            <w:tcW w:type="dxa" w:w="16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Grappe K-Means</w:t>
            </w:r>
          </w:p>
        </w:tc>
        <w:tc>
          <w:tcPr>
            <w:tcW w:type="dxa" w:w="1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Nombre Références</w:t>
            </w:r>
          </w:p>
        </w:tc>
        <w:tc>
          <w:tcPr>
            <w:tcW w:type="dxa" w:w="1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Quantité Moyenne</w:t>
            </w:r>
          </w:p>
        </w:tc>
        <w:tc>
          <w:tcPr>
            <w:tcW w:type="dxa" w:w="13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Valeur Moyenne</w:t>
            </w:r>
          </w:p>
        </w:tc>
        <w:tc>
          <w:tcPr>
            <w:tcW w:type="dxa" w:w="1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Part Valeur Totale</w:t>
            </w:r>
          </w:p>
        </w:tc>
        <w:tc>
          <w:tcPr>
            <w:tcW w:type="dxa" w:w="19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Action Prescriptive d'Atelier</w:t>
            </w:r>
          </w:p>
        </w:tc>
      </w:tr>
      <w:tr>
        <w:tc>
          <w:tcPr>
            <w:tcW w:type="dxa" w:w="1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Cluster 1 (Classe C)</w:t>
            </w:r>
          </w:p>
        </w:tc>
        <w:tc>
          <w:tcPr>
            <w:tcW w:type="dxa" w:w="1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98 références</w:t>
            </w:r>
          </w:p>
        </w:tc>
        <w:tc>
          <w:tcPr>
            <w:tcW w:type="dxa" w:w="1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420,5 pcs</w:t>
            </w:r>
          </w:p>
        </w:tc>
        <w:tc>
          <w:tcPr>
            <w:tcW w:type="dxa" w:w="13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412,8 TND</w:t>
            </w:r>
          </w:p>
        </w:tc>
        <w:tc>
          <w:tcPr>
            <w:tcW w:type="dxa" w:w="1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7,8 % de la valeur</w:t>
            </w:r>
          </w:p>
        </w:tc>
        <w:tc>
          <w:tcPr>
            <w:tcW w:type="dxa" w:w="19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Consommables &amp; quincaillerie : réapprovisionnement économique groupé</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Cluster 2 (Classe B)</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38 références</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185,2 pcs</w:t>
            </w:r>
          </w:p>
        </w:tc>
        <w:tc>
          <w:tcPr>
            <w:tcW w:type="dxa" w:w="13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3 420,5 TND</w:t>
            </w:r>
          </w:p>
        </w:tc>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21,4 % de la valeur</w:t>
            </w:r>
          </w:p>
        </w:tc>
        <w:tc>
          <w:tcPr>
            <w:tcW w:type="dxa" w:w="19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Inserts &amp; connecteurs réguliers : commandes basées sur point ROP</w:t>
            </w:r>
          </w:p>
        </w:tc>
      </w:tr>
      <w:tr>
        <w:tc>
          <w:tcPr>
            <w:tcW w:type="dxa" w:w="1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Cluster 3 (Classe A)</w:t>
            </w:r>
          </w:p>
        </w:tc>
        <w:tc>
          <w:tcPr>
            <w:tcW w:type="dxa" w:w="1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14 références</w:t>
            </w:r>
          </w:p>
        </w:tc>
        <w:tc>
          <w:tcPr>
            <w:tcW w:type="dxa" w:w="1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78,6 pcs</w:t>
            </w:r>
          </w:p>
        </w:tc>
        <w:tc>
          <w:tcPr>
            <w:tcW w:type="dxa" w:w="13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28 950,2 TND</w:t>
            </w:r>
          </w:p>
        </w:tc>
        <w:tc>
          <w:tcPr>
            <w:tcW w:type="dxa" w:w="1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70,8 % de la valeur</w:t>
            </w:r>
          </w:p>
        </w:tc>
        <w:tc>
          <w:tcPr>
            <w:tcW w:type="dxa" w:w="19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Polymères techniques nobles : suivi haute précision en flux tendu</w:t>
            </w:r>
          </w:p>
        </w:tc>
      </w:tr>
    </w:tbl>
    <w:p>
      <w:pPr>
        <w:spacing w:after="120" w:before="80"/>
        <w:jc w:val="center"/>
      </w:pPr>
      <w:r>
        <w:rPr>
          <w:rFonts w:ascii="Times New Roman" w:cs="Times New Roman" w:eastAsia="Times New Roman" w:hAnsi="Times New Roman"/>
          <w:i/>
          <w:iCs/>
          <w:color w:val="595959"/>
          <w:sz w:val="20"/>
          <w:szCs w:val="20"/>
        </w:rPr>
        <w:t xml:space="preserve">Tableau 5.5 : Caractérisation des clusters d'articles générés par K-Means sur l'inventaire</w:t>
      </w:r>
    </w:p>
    <w:p>
      <w:pPr>
        <w:spacing w:after="40" w:before="40"/>
      </w:pPr>
      <w:r>
        <w:t xml:space="preserve"/>
      </w:r>
    </w:p>
    <w:p>
      <w:pPr>
        <w:spacing w:after="40" w:before="40"/>
      </w:pPr>
      <w:r>
        <w:t xml:space="preserve"/>
      </w:r>
    </w:p>
    <w:p>
      <w:pPr>
        <w:spacing w:after="60" w:before="140"/>
        <w:jc w:val="center"/>
      </w:pPr>
      <w:r>
        <w:drawing>
          <wp:inline distT="0" distB="0" distL="0" distR="0">
            <wp:extent cx="5143500" cy="203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143500" cy="203835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5.1 : Segmentation ABC de Pareto et Partitionnement K-Means des articles</w:t>
      </w:r>
    </w:p>
    <w:p>
      <w:pPr>
        <w:spacing w:after="40" w:before="40"/>
      </w:pPr>
      <w:r>
        <w:t xml:space="preserve"/>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5.7.3 Moteur de Simulation Scénaristique What-If</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permettre au management d'évaluer la robustesse des stocks face à des chocs opérationnels (hausse soudaine de commandes constructeur, retard logistique ou panne machine), le microservice intègre l'endpoint `/simulate/scenario`. L'algorithme simule une variation de charge (+/- 10 %, +/- 20 %) sur 30 jours et calcule instantanément la nouvelle date de rupture prévisionnelle, alertant si le stock de sécurité est franchi.</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5.7.4 Analyse Multi-Sites et Transferts Inter-Usines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L'implantation bi-sites de l'entreprise d'accueil engendre parfois des situations asymétriques : un lot d'inserts peut être en rupture imminente à Kondar (Tunisie) tout en étant excédentaire à Brno (République Tchèque). Le module multi-sites de Nexora compare les couvertures des deux usines et formule des propositions de transferts inter-sites prioritaires avant toute commande fournisseur externe, réduisant les délais d'acheminement et les coûts d'achat.</w:t>
      </w:r>
    </w:p>
    <w:p>
      <w:pPr>
        <w:spacing w:after="40" w:before="40"/>
      </w:pPr>
      <w:r>
        <w:t xml:space="preserve"/>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5.8 Bilan des Livrables et Validation Métier du Sprint 3</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validation du module de stock s'appuie sur des simulations d'approvisionnement réelles, le calcul de couverture sur 45 jours et l'arbitrage des transferts multi-sites, validés conjointement avec les gestionnaires de stock et les responsables d'atelier.</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5.6 récapitule les livrables validés à l'issue du Sprint 3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2000"/>
        <w:gridCol w:w="1466"/>
      </w:tblGrid>
      <w:tr>
        <w:trPr>
          <w:tblHeader/>
        </w:trPr>
        <w:tc>
          <w:tcPr>
            <w:tcW w:type="dxa" w:w="2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Tâche Réalisée</w:t>
            </w:r>
          </w:p>
        </w:tc>
        <w:tc>
          <w:tcPr>
            <w:tcW w:type="dxa" w:w="30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Livrable Associé</w:t>
            </w:r>
          </w:p>
        </w:tc>
        <w:tc>
          <w:tcPr>
            <w:tcW w:type="dxa" w:w="20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Validation Métier &amp; Logistique</w:t>
            </w:r>
          </w:p>
        </w:tc>
        <w:tc>
          <w:tcPr>
            <w:tcW w:type="dxa" w:w="14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w:t>
            </w:r>
          </w:p>
        </w:tc>
      </w:tr>
      <w:tr>
        <w:tc>
          <w:tcPr>
            <w:tcW w:type="dxa" w:w="2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Couplage prévisions Prophet / stock</w:t>
            </w:r>
          </w:p>
        </w:tc>
        <w:tc>
          <w:tcPr>
            <w:tcW w:type="dxa" w:w="3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Algorithme d'intégration du taux de consommation et couverture</w:t>
            </w:r>
          </w:p>
        </w:tc>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par le planificateur de production</w:t>
            </w:r>
          </w:p>
        </w:tc>
        <w:tc>
          <w:tcPr>
            <w:tcW w:type="dxa" w:w="14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Classification 4 statuts de stock</w:t>
            </w:r>
          </w:p>
        </w:tc>
        <w:tc>
          <w:tcPr>
            <w:tcW w:type="dxa" w:w="3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Grille de décision Rupture / Critique / Normal / Surstock</w:t>
            </w:r>
          </w:p>
        </w:tc>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par le responsable logistique</w:t>
            </w:r>
          </w:p>
        </w:tc>
        <w:tc>
          <w:tcPr>
            <w:tcW w:type="dxa" w:w="1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2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Moteur prescriptif de réapprovisionnement</w:t>
            </w:r>
          </w:p>
        </w:tc>
        <w:tc>
          <w:tcPr>
            <w:tcW w:type="dxa" w:w="3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Calcul automatique des quantités 45 jours et budget matière</w:t>
            </w:r>
          </w:p>
        </w:tc>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par le directeur d'atelier</w:t>
            </w:r>
          </w:p>
        </w:tc>
        <w:tc>
          <w:tcPr>
            <w:tcW w:type="dxa" w:w="14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Segmentation Pareto ABC et K-Means</w:t>
            </w:r>
          </w:p>
        </w:tc>
        <w:tc>
          <w:tcPr>
            <w:tcW w:type="dxa" w:w="3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Modules de classification analytique et partitionnement K = 3</w:t>
            </w:r>
          </w:p>
        </w:tc>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par le Data Scientist</w:t>
            </w:r>
          </w:p>
        </w:tc>
        <w:tc>
          <w:tcPr>
            <w:tcW w:type="dxa" w:w="1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2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Équilibrage multi-sites</w:t>
            </w:r>
          </w:p>
        </w:tc>
        <w:tc>
          <w:tcPr>
            <w:tcW w:type="dxa" w:w="3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Système d'arbitrage et de propositions de transferts Tunisie-Brno</w:t>
            </w:r>
          </w:p>
        </w:tc>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par la direction industrielle</w:t>
            </w:r>
          </w:p>
        </w:tc>
        <w:tc>
          <w:tcPr>
            <w:tcW w:type="dxa" w:w="14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bl>
    <w:p>
      <w:pPr>
        <w:spacing w:after="120" w:before="80"/>
        <w:jc w:val="center"/>
      </w:pPr>
      <w:r>
        <w:rPr>
          <w:rFonts w:ascii="Times New Roman" w:cs="Times New Roman" w:eastAsia="Times New Roman" w:hAnsi="Times New Roman"/>
          <w:i/>
          <w:iCs/>
          <w:color w:val="595959"/>
          <w:sz w:val="20"/>
          <w:szCs w:val="20"/>
        </w:rPr>
        <w:t xml:space="preserve">Tableau 5.6 : Bilan des livrables et validation du Sprint 3</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5.9 Conclusion</w:t>
      </w:r>
    </w:p>
    <w:p>
      <w:pPr>
        <w:spacing w:after="160" w:before="160" w:line="360" w:lineRule="auto"/>
        <w:jc w:val="both"/>
      </w:pPr>
      <w:r>
        <w:rPr>
          <w:rFonts w:ascii="Times New Roman" w:cs="Times New Roman" w:eastAsia="Times New Roman" w:hAnsi="Times New Roman"/>
          <w:b w:val="false"/>
          <w:bCs w:val="false"/>
          <w:i w:val="false"/>
          <w:iCs w:val="false"/>
          <w:color w:val="1A1A1A"/>
          <w:sz w:val="24"/>
          <w:szCs w:val="24"/>
        </w:rPr>
        <w:t xml:space="preserve">Le Sprint 3 a doté la plateforme Nexora d'un module complet de gestion intelligente et proactive des stocks d'atelier. En reliant intimement les prévisions de fabrication issues de Prophet aux données réelles d'inventaire, le système classe l'intégralité du catalogue selon quatre statuts opérationnels, génère des recommandations de commande quantifiées pour 45 jours de couverture et optimise les flux entre les usines de Kondar et Brno. Ce module supprime les arrêts de presse imprévus par manque de matière première tout en évitant les surstocks coûteux. Le chapitre 6 présente le Sprint 4, consacré à la réalisation des interfaces décisionnelles Metronic 8, à la mise en œuvre des rapports décisionnels Microsoft Power BI et à la validation globale du système.</w:t>
      </w:r>
    </w:p>
    <w:p>
      <w:pPr>
        <w:spacing w:after="0" w:before="0"/>
      </w:pPr>
      <w:r>
        <w:br w:type="page"/>
      </w:r>
    </w:p>
    <w:p>
      <w:pPr>
        <w:pStyle w:val="Heading1"/>
        <w:pageBreakBefore/>
        <w:pBdr>
          <w:bottom w:val="single" w:color="000000" w:sz="6" w:space="4"/>
        </w:pBdr>
        <w:spacing w:after="140" w:before="260"/>
        <w:outlineLvl w:val="0"/>
      </w:pPr>
      <w:r>
        <w:rPr>
          <w:rFonts w:ascii="Times New Roman" w:cs="Times New Roman" w:eastAsia="Times New Roman" w:hAnsi="Times New Roman"/>
          <w:b/>
          <w:bCs/>
          <w:caps/>
          <w:color w:val="000000"/>
          <w:sz w:val="34"/>
          <w:szCs w:val="34"/>
        </w:rPr>
        <w:t xml:space="preserve">Chapitre 6 : Sprint 4 – Tableaux de Bord Décisionnels et Validation Système</w:t>
      </w:r>
    </w:p>
    <w:p>
      <w:pPr>
        <w:pStyle w:val="Heading2"/>
        <w:spacing w:after="90" w:before="200"/>
        <w:outlineLvl w:val="1"/>
      </w:pPr>
      <w:r>
        <w:rPr>
          <w:rFonts w:ascii="Times New Roman" w:cs="Times New Roman" w:eastAsia="Times New Roman" w:hAnsi="Times New Roman"/>
          <w:b/>
          <w:bCs/>
          <w:color w:val="000000"/>
          <w:sz w:val="28"/>
          <w:szCs w:val="28"/>
        </w:rPr>
        <w:t xml:space="preserve">6.1 Introduction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dernier chapitre de réalisation est dédié au Sprint 4, qui unifie l'ensemble des modules logiciels au sein d'une expérience utilisateur industrielle de premier ordre sous le design system Metronic 8. Nous y présentons la conception des interfaces de production et d'inventaire, le module d'exportation Excel haute performance, ainsi que l'intégration et la publication des rapports décisionnels Microsoft Power BI directement connectés à l'entrepôt de données pour le pilotage exécutif d'atelier. Enfin, nous dressons le bilan exhaustif de la recette fonctionnelle et de la validation métier de l'ensemble du système.</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6.2 Sprint Backlog du Sprint 4</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6.1 détaille le backlog des tâches exécutées lors du Sprint 4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700"/>
        <w:gridCol w:w="3200"/>
        <w:gridCol w:w="3100"/>
        <w:gridCol w:w="800"/>
        <w:gridCol w:w="866"/>
      </w:tblGrid>
      <w:tr>
        <w:trPr>
          <w:tblHeader/>
        </w:trPr>
        <w:tc>
          <w:tcPr>
            <w:tcW w:type="dxa" w:w="7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ID US</w:t>
            </w:r>
          </w:p>
        </w:tc>
        <w:tc>
          <w:tcPr>
            <w:tcW w:type="dxa" w:w="3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Récit Utilisateur (User Story)</w:t>
            </w:r>
          </w:p>
        </w:tc>
        <w:tc>
          <w:tcPr>
            <w:tcW w:type="dxa" w:w="31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Tâche de développement associée</w:t>
            </w:r>
          </w:p>
        </w:tc>
        <w:tc>
          <w:tcPr>
            <w:tcW w:type="dxa" w:w="8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Estimation (SP)</w:t>
            </w:r>
          </w:p>
        </w:tc>
        <w:tc>
          <w:tcPr>
            <w:tcW w:type="dxa" w:w="8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w:t>
            </w:r>
          </w:p>
        </w:tc>
      </w:tr>
      <w:tr>
        <w:tc>
          <w:tcPr>
            <w:tcW w:type="dxa" w:w="7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US17</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une console Metronic 8 avec filtres</w:t>
            </w:r>
          </w:p>
        </w:tc>
        <w:tc>
          <w:tcPr>
            <w:tcW w:type="dxa" w:w="31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Refonte UI Metronic 8, cartes flush et filtres multi-critères</w:t>
            </w:r>
          </w:p>
        </w:tc>
        <w:tc>
          <w:tcPr>
            <w:tcW w:type="dxa" w:w="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 SP</w:t>
            </w:r>
          </w:p>
        </w:tc>
        <w:tc>
          <w:tcPr>
            <w:tcW w:type="dxa" w:w="8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7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US18</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gestionnaire, je veux exporter les données filtrées en XLSX</w:t>
            </w:r>
          </w:p>
        </w:tc>
        <w:tc>
          <w:tcPr>
            <w:tcW w:type="dxa" w:w="3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Intégration de la bibliothèque XLSX avec en-têtes explicites</w:t>
            </w:r>
          </w:p>
        </w:tc>
        <w:tc>
          <w:tcPr>
            <w:tcW w:type="dxa" w:w="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 SP</w:t>
            </w:r>
          </w:p>
        </w:tc>
        <w:tc>
          <w:tcPr>
            <w:tcW w:type="dxa" w:w="8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7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US19</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superviser la production globale sur Power BI</w:t>
            </w:r>
          </w:p>
        </w:tc>
        <w:tc>
          <w:tcPr>
            <w:tcW w:type="dxa" w:w="31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Conception et publication du tableau de bord de production connecté au DWH</w:t>
            </w:r>
          </w:p>
        </w:tc>
        <w:tc>
          <w:tcPr>
            <w:tcW w:type="dxa" w:w="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8 SP</w:t>
            </w:r>
          </w:p>
        </w:tc>
        <w:tc>
          <w:tcPr>
            <w:tcW w:type="dxa" w:w="8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7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US20</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directeur, je veux analyser les mouvements et la valorisation du stock sur Power BI</w:t>
            </w:r>
          </w:p>
        </w:tc>
        <w:tc>
          <w:tcPr>
            <w:tcW w:type="dxa" w:w="3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Modélisation du rapport de valorisation et rotation de stock multi-sites</w:t>
            </w:r>
          </w:p>
        </w:tc>
        <w:tc>
          <w:tcPr>
            <w:tcW w:type="dxa" w:w="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 SP</w:t>
            </w:r>
          </w:p>
        </w:tc>
        <w:tc>
          <w:tcPr>
            <w:tcW w:type="dxa" w:w="8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bl>
    <w:p>
      <w:pPr>
        <w:spacing w:after="120" w:before="80"/>
        <w:jc w:val="center"/>
      </w:pPr>
      <w:r>
        <w:rPr>
          <w:rFonts w:ascii="Times New Roman" w:cs="Times New Roman" w:eastAsia="Times New Roman" w:hAnsi="Times New Roman"/>
          <w:i/>
          <w:iCs/>
          <w:color w:val="595959"/>
          <w:sz w:val="20"/>
          <w:szCs w:val="20"/>
        </w:rPr>
        <w:t xml:space="preserve">Tableau 6.1 : Sprint Backlog du Sprint 4 – Interfaces Décisionnelles et Validation Système</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6.3 Architecture Globale et Diagramme de Séquence du Système Décisionnel</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figure 6.1 modélise le diagramme de séquence global du système décisionnel complet, illustrant l'orchestration fluide entre le client React Metronic 8, l'API Spring Boot 3, le microservice FastAPI (Prophet) et la base SQL Server :</w:t>
      </w:r>
    </w:p>
    <w:p>
      <w:pPr>
        <w:spacing w:after="40" w:before="40"/>
      </w:pPr>
      <w:r>
        <w:t xml:space="preserve"/>
      </w:r>
    </w:p>
    <w:p>
      <w:pPr>
        <w:spacing w:after="60" w:before="140"/>
        <w:jc w:val="center"/>
      </w:pPr>
      <w:r>
        <w:drawing>
          <wp:inline distT="0" distB="0" distL="0" distR="0">
            <wp:extent cx="5143500" cy="169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143500" cy="169545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6.1 : Diagramme de séquence global du système décisionnel Nexora</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6.4 Conception et Réalisation des Interfaces Utilisateur</w:t>
      </w:r>
    </w:p>
    <w:p>
      <w:pPr>
        <w:pStyle w:val="Heading3"/>
        <w:spacing w:after="70" w:before="140"/>
        <w:outlineLvl w:val="2"/>
      </w:pPr>
      <w:r>
        <w:rPr>
          <w:rFonts w:ascii="Times New Roman" w:cs="Times New Roman" w:eastAsia="Times New Roman" w:hAnsi="Times New Roman"/>
          <w:b/>
          <w:bCs/>
          <w:color w:val="000000"/>
          <w:sz w:val="24"/>
          <w:szCs w:val="24"/>
        </w:rPr>
        <w:t xml:space="preserve">6.4.1 Console de Suivi de Production et TRG Temps Réel</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console de suivi d'atelier (figure 6.2) fournit une cartographie en direct des 319 machines. Pour chaque équipement, l'écran restitue le statut actuel (badge vert En Marche, rouge En Panne, orange En Réglage), le taux TRG calculé instantanément, ainsi que le temps écoulé depuis le dernier arrêt. Un clic sur une machine ouvre le détail de l'Ordre de Fabrication en cours avec la référence de la pièce injectée.</w:t>
      </w:r>
    </w:p>
    <w:p>
      <w:pPr>
        <w:spacing w:after="40" w:before="40"/>
      </w:pPr>
      <w:r>
        <w:t xml:space="preserve"/>
      </w:r>
    </w:p>
    <w:tbl>
      <w:tblPr>
        <w:tblW w:type="pct" w:w="90%"/>
        <w:jc w:val="center"/>
        <w:tblBorders>
          <w:top w:val="dashed" w:color="B0B0B0" w:sz="2"/>
          <w:left w:val="dashed" w:color="B0B0B0" w:sz="2"/>
          <w:bottom w:val="dashed" w:color="B0B0B0" w:sz="2"/>
          <w:right w:val="dashed" w:color="B0B0B0" w:sz="2"/>
          <w:insideH w:val="single" w:color="auto" w:sz="4"/>
          <w:insideV w:val="single" w:color="auto" w:sz="4"/>
        </w:tblBorders>
      </w:tblPr>
      <w:tblGrid>
        <w:gridCol w:w="100"/>
      </w:tblGrid>
      <w:tr>
        <w:trPr>
          <w:trHeight w:val="3600" w:hRule="atLeast"/>
        </w:trPr>
        <w:tc>
          <w:tcPr>
            <w:tcW w:type="pct" w:w="90%"/>
            <w:shd w:fill="FAFAFA" w:val="clear"/>
            <w:tcMar>
              <w:top w:type="dxa" w:w="100"/>
              <w:left w:type="dxa" w:w="100"/>
              <w:bottom w:type="dxa" w:w="100"/>
              <w:right w:type="dxa" w:w="100"/>
            </w:tcMar>
            <w:vAlign w:val="center"/>
          </w:tcPr>
          <w:p>
            <w:pPr>
              <w:spacing w:after="120" w:before="120"/>
              <w:jc w:val="center"/>
            </w:pPr>
            <w:r>
              <w:rPr>
                <w:rFonts w:ascii="Times New Roman" w:cs="Times New Roman" w:eastAsia="Times New Roman" w:hAnsi="Times New Roman"/>
                <w:i/>
                <w:iCs/>
                <w:color w:val="888888"/>
                <w:sz w:val="20"/>
                <w:szCs w:val="20"/>
              </w:rPr>
              <w:t xml:space="preserve">[ Emplacement réservé : insérer la figure ici ]</w:t>
            </w:r>
          </w:p>
        </w:tc>
      </w:tr>
    </w:tbl>
    <w:p>
      <w:pPr>
        <w:spacing w:after="180" w:before="80"/>
        <w:jc w:val="center"/>
      </w:pPr>
      <w:r>
        <w:rPr>
          <w:rFonts w:ascii="Times New Roman" w:cs="Times New Roman" w:eastAsia="Times New Roman" w:hAnsi="Times New Roman"/>
          <w:i/>
          <w:iCs/>
          <w:color w:val="595959"/>
          <w:sz w:val="20"/>
          <w:szCs w:val="20"/>
        </w:rPr>
        <w:t xml:space="preserve">Figure 6.2 : Capture d'écran : Console de suivi des machines et calcul du TRG en direct</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6.4.2 Console d'Inventaire, Mouvements DWH et Export XLSX</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console d'inventaire (figure 6.3) exploite les données d'inventaire et l'historique des mouvements de stock. Elle intègre un panneau de filtres multi-critères escamotable permettant d'isoler instantanément des articles par référence, famille de polymère, magasin ou statut de stock. Un bouton d'exportation Excel (.xlsx) dédié permet d'extraire fidèlement en une fraction de seconde la vue actuellement filtrée avec mise en forme automatique.</w:t>
      </w:r>
    </w:p>
    <w:p>
      <w:pPr>
        <w:spacing w:after="40" w:before="40"/>
      </w:pPr>
      <w:r>
        <w:t xml:space="preserve"/>
      </w:r>
    </w:p>
    <w:tbl>
      <w:tblPr>
        <w:tblW w:type="pct" w:w="90%"/>
        <w:jc w:val="center"/>
        <w:tblBorders>
          <w:top w:val="dashed" w:color="B0B0B0" w:sz="2"/>
          <w:left w:val="dashed" w:color="B0B0B0" w:sz="2"/>
          <w:bottom w:val="dashed" w:color="B0B0B0" w:sz="2"/>
          <w:right w:val="dashed" w:color="B0B0B0" w:sz="2"/>
          <w:insideH w:val="single" w:color="auto" w:sz="4"/>
          <w:insideV w:val="single" w:color="auto" w:sz="4"/>
        </w:tblBorders>
      </w:tblPr>
      <w:tblGrid>
        <w:gridCol w:w="100"/>
      </w:tblGrid>
      <w:tr>
        <w:trPr>
          <w:trHeight w:val="3600" w:hRule="atLeast"/>
        </w:trPr>
        <w:tc>
          <w:tcPr>
            <w:tcW w:type="pct" w:w="90%"/>
            <w:shd w:fill="FAFAFA" w:val="clear"/>
            <w:tcMar>
              <w:top w:type="dxa" w:w="100"/>
              <w:left w:type="dxa" w:w="100"/>
              <w:bottom w:type="dxa" w:w="100"/>
              <w:right w:type="dxa" w:w="100"/>
            </w:tcMar>
            <w:vAlign w:val="center"/>
          </w:tcPr>
          <w:p>
            <w:pPr>
              <w:spacing w:after="120" w:before="120"/>
              <w:jc w:val="center"/>
            </w:pPr>
            <w:r>
              <w:rPr>
                <w:rFonts w:ascii="Times New Roman" w:cs="Times New Roman" w:eastAsia="Times New Roman" w:hAnsi="Times New Roman"/>
                <w:i/>
                <w:iCs/>
                <w:color w:val="888888"/>
                <w:sz w:val="20"/>
                <w:szCs w:val="20"/>
              </w:rPr>
              <w:t xml:space="preserve">[ Emplacement réservé : insérer la figure ici ]</w:t>
            </w:r>
          </w:p>
        </w:tc>
      </w:tr>
    </w:tbl>
    <w:p>
      <w:pPr>
        <w:spacing w:after="180" w:before="80"/>
        <w:jc w:val="center"/>
      </w:pPr>
      <w:r>
        <w:rPr>
          <w:rFonts w:ascii="Times New Roman" w:cs="Times New Roman" w:eastAsia="Times New Roman" w:hAnsi="Times New Roman"/>
          <w:i/>
          <w:iCs/>
          <w:color w:val="595959"/>
          <w:sz w:val="20"/>
          <w:szCs w:val="20"/>
        </w:rPr>
        <w:t xml:space="preserve">Figure 6.3 : Capture d'écran : Console de gestion des stocks, mouvements DWH et filtres</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6.4.3 Module de Visualisation Prédictive Prophet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L'interface de prévision (figure 6.4) exploite les composants graphiques ApexCharts pour restituer les projections à 30 jours calculées par Prophet. Les courbes présentent la trajectoire attendue entourée de son fuseau d'incertitude à 95 % (`yhat_lower` et `yhat_upper`). Des cartes synthétiques affichent les métriques de fiabilité en temps réel (MAE : 7,4 pcs, MAPE : 4,8 %).</w:t>
      </w:r>
    </w:p>
    <w:p>
      <w:pPr>
        <w:spacing w:after="40" w:before="40"/>
      </w:pPr>
      <w:r>
        <w:t xml:space="preserve"/>
      </w:r>
    </w:p>
    <w:tbl>
      <w:tblPr>
        <w:tblW w:type="pct" w:w="90%"/>
        <w:jc w:val="center"/>
        <w:tblBorders>
          <w:top w:val="dashed" w:color="B0B0B0" w:sz="2"/>
          <w:left w:val="dashed" w:color="B0B0B0" w:sz="2"/>
          <w:bottom w:val="dashed" w:color="B0B0B0" w:sz="2"/>
          <w:right w:val="dashed" w:color="B0B0B0" w:sz="2"/>
          <w:insideH w:val="single" w:color="auto" w:sz="4"/>
          <w:insideV w:val="single" w:color="auto" w:sz="4"/>
        </w:tblBorders>
      </w:tblPr>
      <w:tblGrid>
        <w:gridCol w:w="100"/>
      </w:tblGrid>
      <w:tr>
        <w:trPr>
          <w:trHeight w:val="3600" w:hRule="atLeast"/>
        </w:trPr>
        <w:tc>
          <w:tcPr>
            <w:tcW w:type="pct" w:w="90%"/>
            <w:shd w:fill="FAFAFA" w:val="clear"/>
            <w:tcMar>
              <w:top w:type="dxa" w:w="100"/>
              <w:left w:type="dxa" w:w="100"/>
              <w:bottom w:type="dxa" w:w="100"/>
              <w:right w:type="dxa" w:w="100"/>
            </w:tcMar>
            <w:vAlign w:val="center"/>
          </w:tcPr>
          <w:p>
            <w:pPr>
              <w:spacing w:after="120" w:before="120"/>
              <w:jc w:val="center"/>
            </w:pPr>
            <w:r>
              <w:rPr>
                <w:rFonts w:ascii="Times New Roman" w:cs="Times New Roman" w:eastAsia="Times New Roman" w:hAnsi="Times New Roman"/>
                <w:i/>
                <w:iCs/>
                <w:color w:val="888888"/>
                <w:sz w:val="20"/>
                <w:szCs w:val="20"/>
              </w:rPr>
              <w:t xml:space="preserve">[ Emplacement réservé : insérer la figure ici ]</w:t>
            </w:r>
          </w:p>
        </w:tc>
      </w:tr>
    </w:tbl>
    <w:p>
      <w:pPr>
        <w:spacing w:after="180" w:before="80"/>
        <w:jc w:val="center"/>
      </w:pPr>
      <w:r>
        <w:rPr>
          <w:rFonts w:ascii="Times New Roman" w:cs="Times New Roman" w:eastAsia="Times New Roman" w:hAnsi="Times New Roman"/>
          <w:i/>
          <w:iCs/>
          <w:color w:val="595959"/>
          <w:sz w:val="20"/>
          <w:szCs w:val="20"/>
        </w:rPr>
        <w:t xml:space="preserve">Figure 6.4 : Capture d'écran : Visualisation interactive des prévisions Prophet sous ApexCharts</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6.4.4 Tableaux de Bord et Reporting Décisionnel Microsoft Power BI</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En complément de la plateforme web opérationnelle, une suite de rapports décisionnels Microsoft Power BI a été modélisée et publiée (figures 6.5 et 6.6). Directement connectés aux données consolidées du Data Warehouse SQL Server (production, inventaires, mouvements de stock), ces tableaux de bord offrent à la direction industrielle une synthèse macroscopique : valorisation globale du stock en Dinars Tunisiens (DT), ventilation des coûts par centre de charge, analyse de l'évolution du TRG mensuel et taux de service client.</w:t>
      </w:r>
    </w:p>
    <w:p>
      <w:pPr>
        <w:spacing w:after="40" w:before="40"/>
      </w:pPr>
      <w:r>
        <w:t xml:space="preserve"/>
      </w:r>
    </w:p>
    <w:tbl>
      <w:tblPr>
        <w:tblW w:type="pct" w:w="90%"/>
        <w:jc w:val="center"/>
        <w:tblBorders>
          <w:top w:val="dashed" w:color="B0B0B0" w:sz="2"/>
          <w:left w:val="dashed" w:color="B0B0B0" w:sz="2"/>
          <w:bottom w:val="dashed" w:color="B0B0B0" w:sz="2"/>
          <w:right w:val="dashed" w:color="B0B0B0" w:sz="2"/>
          <w:insideH w:val="single" w:color="auto" w:sz="4"/>
          <w:insideV w:val="single" w:color="auto" w:sz="4"/>
        </w:tblBorders>
      </w:tblPr>
      <w:tblGrid>
        <w:gridCol w:w="100"/>
      </w:tblGrid>
      <w:tr>
        <w:trPr>
          <w:trHeight w:val="3600" w:hRule="atLeast"/>
        </w:trPr>
        <w:tc>
          <w:tcPr>
            <w:tcW w:type="pct" w:w="90%"/>
            <w:shd w:fill="FAFAFA" w:val="clear"/>
            <w:tcMar>
              <w:top w:type="dxa" w:w="100"/>
              <w:left w:type="dxa" w:w="100"/>
              <w:bottom w:type="dxa" w:w="100"/>
              <w:right w:type="dxa" w:w="100"/>
            </w:tcMar>
            <w:vAlign w:val="center"/>
          </w:tcPr>
          <w:p>
            <w:pPr>
              <w:spacing w:after="120" w:before="120"/>
              <w:jc w:val="center"/>
            </w:pPr>
            <w:r>
              <w:rPr>
                <w:rFonts w:ascii="Times New Roman" w:cs="Times New Roman" w:eastAsia="Times New Roman" w:hAnsi="Times New Roman"/>
                <w:i/>
                <w:iCs/>
                <w:color w:val="888888"/>
                <w:sz w:val="20"/>
                <w:szCs w:val="20"/>
              </w:rPr>
              <w:t xml:space="preserve">[ Emplacement réservé : insérer la figure ici ]</w:t>
            </w:r>
          </w:p>
        </w:tc>
      </w:tr>
    </w:tbl>
    <w:p>
      <w:pPr>
        <w:spacing w:after="180" w:before="80"/>
        <w:jc w:val="center"/>
      </w:pPr>
      <w:r>
        <w:rPr>
          <w:rFonts w:ascii="Times New Roman" w:cs="Times New Roman" w:eastAsia="Times New Roman" w:hAnsi="Times New Roman"/>
          <w:i/>
          <w:iCs/>
          <w:color w:val="595959"/>
          <w:sz w:val="20"/>
          <w:szCs w:val="20"/>
        </w:rPr>
        <w:t xml:space="preserve">Figure 6.5 : Tableau de bord Power BI : Supervision exécutive globale de production</w:t>
      </w:r>
    </w:p>
    <w:p>
      <w:pPr>
        <w:spacing w:after="40" w:before="40"/>
      </w:pPr>
      <w:r>
        <w:t xml:space="preserve"/>
      </w:r>
    </w:p>
    <w:tbl>
      <w:tblPr>
        <w:tblW w:type="pct" w:w="90%"/>
        <w:jc w:val="center"/>
        <w:tblBorders>
          <w:top w:val="dashed" w:color="B0B0B0" w:sz="2"/>
          <w:left w:val="dashed" w:color="B0B0B0" w:sz="2"/>
          <w:bottom w:val="dashed" w:color="B0B0B0" w:sz="2"/>
          <w:right w:val="dashed" w:color="B0B0B0" w:sz="2"/>
          <w:insideH w:val="single" w:color="auto" w:sz="4"/>
          <w:insideV w:val="single" w:color="auto" w:sz="4"/>
        </w:tblBorders>
      </w:tblPr>
      <w:tblGrid>
        <w:gridCol w:w="100"/>
      </w:tblGrid>
      <w:tr>
        <w:trPr>
          <w:trHeight w:val="3600" w:hRule="atLeast"/>
        </w:trPr>
        <w:tc>
          <w:tcPr>
            <w:tcW w:type="pct" w:w="90%"/>
            <w:shd w:fill="FAFAFA" w:val="clear"/>
            <w:tcMar>
              <w:top w:type="dxa" w:w="100"/>
              <w:left w:type="dxa" w:w="100"/>
              <w:bottom w:type="dxa" w:w="100"/>
              <w:right w:type="dxa" w:w="100"/>
            </w:tcMar>
            <w:vAlign w:val="center"/>
          </w:tcPr>
          <w:p>
            <w:pPr>
              <w:spacing w:after="120" w:before="120"/>
              <w:jc w:val="center"/>
            </w:pPr>
            <w:r>
              <w:rPr>
                <w:rFonts w:ascii="Times New Roman" w:cs="Times New Roman" w:eastAsia="Times New Roman" w:hAnsi="Times New Roman"/>
                <w:i/>
                <w:iCs/>
                <w:color w:val="888888"/>
                <w:sz w:val="20"/>
                <w:szCs w:val="20"/>
              </w:rPr>
              <w:t xml:space="preserve">[ Emplacement réservé : insérer la figure ici ]</w:t>
            </w:r>
          </w:p>
        </w:tc>
      </w:tr>
    </w:tbl>
    <w:p>
      <w:pPr>
        <w:spacing w:after="180" w:before="80"/>
        <w:jc w:val="center"/>
      </w:pPr>
      <w:r>
        <w:rPr>
          <w:rFonts w:ascii="Times New Roman" w:cs="Times New Roman" w:eastAsia="Times New Roman" w:hAnsi="Times New Roman"/>
          <w:i/>
          <w:iCs/>
          <w:color w:val="595959"/>
          <w:sz w:val="20"/>
          <w:szCs w:val="20"/>
        </w:rPr>
        <w:t xml:space="preserve">Figure 6.6 : Tableau de bord Power BI : Analyse approfondie des mouvements et valorisation stock</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6.5 Recette Utilisateur et Validation Métier du Système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recette finale de la plateforme Nexora a été effectuée conjointement avec le Product Owner et les utilisateurs métiers. Le tableau 6.2 dresse la matrice de validation et de conformité des 20 User Stories du projet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000"/>
        <w:gridCol w:w="2400"/>
        <w:gridCol w:w="3200"/>
        <w:gridCol w:w="900"/>
        <w:gridCol w:w="1166"/>
      </w:tblGrid>
      <w:tr>
        <w:trPr>
          <w:tblHeader/>
        </w:trPr>
        <w:tc>
          <w:tcPr>
            <w:tcW w:type="dxa" w:w="10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ID US</w:t>
            </w:r>
          </w:p>
        </w:tc>
        <w:tc>
          <w:tcPr>
            <w:tcW w:type="dxa" w:w="2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Récit Utilisateur</w:t>
            </w:r>
          </w:p>
        </w:tc>
        <w:tc>
          <w:tcPr>
            <w:tcW w:type="dxa" w:w="3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Critère d'Acceptation &amp; Validation Métier</w:t>
            </w:r>
          </w:p>
        </w:tc>
        <w:tc>
          <w:tcPr>
            <w:tcW w:type="dxa" w:w="9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Conformité</w:t>
            </w:r>
          </w:p>
        </w:tc>
        <w:tc>
          <w:tcPr>
            <w:tcW w:type="dxa" w:w="11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 Recette</w:t>
            </w:r>
          </w:p>
        </w:tc>
      </w:tr>
      <w:tr>
        <w:tc>
          <w:tcPr>
            <w:tcW w:type="dxa" w:w="1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US01-US02</w:t>
            </w:r>
          </w:p>
        </w:tc>
        <w:tc>
          <w:tcPr>
            <w:tcW w:type="dxa" w:w="2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Authentification JWT &amp; RBAC</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Connexion multi-rôles, rejet des faux jetons et restrictions d'API</w:t>
            </w:r>
          </w:p>
        </w:tc>
        <w:tc>
          <w:tcPr>
            <w:tcW w:type="dxa" w:w="9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100 %</w:t>
            </w:r>
          </w:p>
        </w:tc>
        <w:tc>
          <w:tcPr>
            <w:tcW w:type="dxa" w:w="11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sans réserve ✓</w:t>
            </w:r>
          </w:p>
        </w:tc>
      </w:tr>
      <w:tr>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US03-US04</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Audit DWH &amp; Pipeline ETL</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Assainissement des 1.5M lignes et vérification de complétude</w:t>
            </w:r>
          </w:p>
        </w:tc>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100 %</w:t>
            </w:r>
          </w:p>
        </w:tc>
        <w:tc>
          <w:tcPr>
            <w:tcW w:type="dxa" w:w="11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sans réserve ✓</w:t>
            </w:r>
          </w:p>
        </w:tc>
      </w:tr>
      <w:tr>
        <w:tc>
          <w:tcPr>
            <w:tcW w:type="dxa" w:w="1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US05-US07</w:t>
            </w:r>
          </w:p>
        </w:tc>
        <w:tc>
          <w:tcPr>
            <w:tcW w:type="dxa" w:w="2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Suivi Machines &amp; TRG</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Affichage des 319 machines et calcul dynamique du rendement</w:t>
            </w:r>
          </w:p>
        </w:tc>
        <w:tc>
          <w:tcPr>
            <w:tcW w:type="dxa" w:w="9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100 %</w:t>
            </w:r>
          </w:p>
        </w:tc>
        <w:tc>
          <w:tcPr>
            <w:tcW w:type="dxa" w:w="11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sans réserve ✓</w:t>
            </w:r>
          </w:p>
        </w:tc>
      </w:tr>
      <w:tr>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US08-US10</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Prévisions Prophet à 30 jours</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Génération des courbes prédictives et bornes à 95% (MAPE 4.8%)</w:t>
            </w:r>
          </w:p>
        </w:tc>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100 %</w:t>
            </w:r>
          </w:p>
        </w:tc>
        <w:tc>
          <w:tcPr>
            <w:tcW w:type="dxa" w:w="11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sans réserve ✓</w:t>
            </w:r>
          </w:p>
        </w:tc>
      </w:tr>
      <w:tr>
        <w:tc>
          <w:tcPr>
            <w:tcW w:type="dxa" w:w="1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US11-US13</w:t>
            </w:r>
          </w:p>
        </w:tc>
        <w:tc>
          <w:tcPr>
            <w:tcW w:type="dxa" w:w="2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Stock ABC &amp; Mouvements DWH</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Calcul Pareto 80/20, alertes &lt; 5 pcs et saisie mouvements</w:t>
            </w:r>
          </w:p>
        </w:tc>
        <w:tc>
          <w:tcPr>
            <w:tcW w:type="dxa" w:w="9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100 %</w:t>
            </w:r>
          </w:p>
        </w:tc>
        <w:tc>
          <w:tcPr>
            <w:tcW w:type="dxa" w:w="11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sans réserve ✓</w:t>
            </w:r>
          </w:p>
        </w:tc>
      </w:tr>
      <w:tr>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US14-US16</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Moteur Prescriptif &amp; Multi-sites</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Génération des ROP, planning 3x8 et transferts Tunisie-Brno</w:t>
            </w:r>
          </w:p>
        </w:tc>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100 %</w:t>
            </w:r>
          </w:p>
        </w:tc>
        <w:tc>
          <w:tcPr>
            <w:tcW w:type="dxa" w:w="11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sans réserve ✓</w:t>
            </w:r>
          </w:p>
        </w:tc>
      </w:tr>
      <w:tr>
        <w:tc>
          <w:tcPr>
            <w:tcW w:type="dxa" w:w="1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US17-US18</w:t>
            </w:r>
          </w:p>
        </w:tc>
        <w:tc>
          <w:tcPr>
            <w:tcW w:type="dxa" w:w="2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UI Metronic 8 &amp; Export XLSX</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Filtrage dynamique multi-critères et téléchargement Excel</w:t>
            </w:r>
          </w:p>
        </w:tc>
        <w:tc>
          <w:tcPr>
            <w:tcW w:type="dxa" w:w="9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100 %</w:t>
            </w:r>
          </w:p>
        </w:tc>
        <w:tc>
          <w:tcPr>
            <w:tcW w:type="dxa" w:w="11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sans réserve ✓</w:t>
            </w:r>
          </w:p>
        </w:tc>
      </w:tr>
      <w:tr>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US19-US20</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Tableaux de Bord Power BI</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Supervision globale de production et analyse de la valorisation du stock</w:t>
            </w:r>
          </w:p>
        </w:tc>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100 %</w:t>
            </w:r>
          </w:p>
        </w:tc>
        <w:tc>
          <w:tcPr>
            <w:tcW w:type="dxa" w:w="11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sans réserve ✓</w:t>
            </w:r>
          </w:p>
        </w:tc>
      </w:tr>
    </w:tbl>
    <w:p>
      <w:pPr>
        <w:spacing w:after="120" w:before="80"/>
        <w:jc w:val="center"/>
      </w:pPr>
      <w:r>
        <w:rPr>
          <w:rFonts w:ascii="Times New Roman" w:cs="Times New Roman" w:eastAsia="Times New Roman" w:hAnsi="Times New Roman"/>
          <w:i/>
          <w:iCs/>
          <w:color w:val="595959"/>
          <w:sz w:val="20"/>
          <w:szCs w:val="20"/>
        </w:rPr>
        <w:t xml:space="preserve">Tableau 6.2 : Matrice de recette et conformité des User Stories validées par le Product Owner</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6.6 Bilan des Livrables du Sprint 4</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6.3 résume les livrables validés au terme de ce quatrième et dernier sprint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2200"/>
        <w:gridCol w:w="1266"/>
      </w:tblGrid>
      <w:tr>
        <w:trPr>
          <w:tblHeader/>
        </w:trPr>
        <w:tc>
          <w:tcPr>
            <w:tcW w:type="dxa" w:w="20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Tâche Réalisée</w:t>
            </w:r>
          </w:p>
        </w:tc>
        <w:tc>
          <w:tcPr>
            <w:tcW w:type="dxa" w:w="3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Livrable Associé</w:t>
            </w:r>
          </w:p>
        </w:tc>
        <w:tc>
          <w:tcPr>
            <w:tcW w:type="dxa" w:w="2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Validation Métier &amp; Technique</w:t>
            </w:r>
          </w:p>
        </w:tc>
        <w:tc>
          <w:tcPr>
            <w:tcW w:type="dxa" w:w="12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w:t>
            </w:r>
          </w:p>
        </w:tc>
      </w:tr>
      <w:tr>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Interfaces Metronic 8</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Console de production et inventaire avec filtres dynamiques</w:t>
            </w:r>
          </w:p>
        </w:tc>
        <w:tc>
          <w:tcPr>
            <w:tcW w:type="dxa" w:w="2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par les utilisateurs</w:t>
            </w:r>
          </w:p>
        </w:tc>
        <w:tc>
          <w:tcPr>
            <w:tcW w:type="dxa" w:w="12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Module export Excel</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Exportateur XLSX automatique des données filtrées</w:t>
            </w:r>
          </w:p>
        </w:tc>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par les gestionnaires</w:t>
            </w:r>
          </w:p>
        </w:tc>
        <w:tc>
          <w:tcPr>
            <w:tcW w:type="dxa" w:w="1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Tableaux Power BI</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Rapports décisionnels exécutifs connectés au Data Warehouse</w:t>
            </w:r>
          </w:p>
        </w:tc>
        <w:tc>
          <w:tcPr>
            <w:tcW w:type="dxa" w:w="2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par la direction industrielle</w:t>
            </w:r>
          </w:p>
        </w:tc>
        <w:tc>
          <w:tcPr>
            <w:tcW w:type="dxa" w:w="12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Recette globale</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Validation complète de bout en bout des 20 User Stories</w:t>
            </w:r>
          </w:p>
        </w:tc>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Approuvé par le PO et tuteur d'entreprise</w:t>
            </w:r>
          </w:p>
        </w:tc>
        <w:tc>
          <w:tcPr>
            <w:tcW w:type="dxa" w:w="1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bl>
    <w:p>
      <w:pPr>
        <w:spacing w:after="120" w:before="80"/>
        <w:jc w:val="center"/>
      </w:pPr>
      <w:r>
        <w:rPr>
          <w:rFonts w:ascii="Times New Roman" w:cs="Times New Roman" w:eastAsia="Times New Roman" w:hAnsi="Times New Roman"/>
          <w:i/>
          <w:iCs/>
          <w:color w:val="595959"/>
          <w:sz w:val="20"/>
          <w:szCs w:val="20"/>
        </w:rPr>
        <w:t xml:space="preserve">Tableau 6.3 : Bilan des livrables du Sprint 4</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6.7 Conclusion</w:t>
      </w:r>
    </w:p>
    <w:p>
      <w:pPr>
        <w:spacing w:after="160" w:before="160" w:line="360" w:lineRule="auto"/>
        <w:jc w:val="both"/>
      </w:pPr>
      <w:r>
        <w:rPr>
          <w:rFonts w:ascii="Times New Roman" w:cs="Times New Roman" w:eastAsia="Times New Roman" w:hAnsi="Times New Roman"/>
          <w:b w:val="false"/>
          <w:bCs w:val="false"/>
          <w:i w:val="false"/>
          <w:iCs w:val="false"/>
          <w:color w:val="1A1A1A"/>
          <w:sz w:val="24"/>
          <w:szCs w:val="24"/>
        </w:rPr>
        <w:t xml:space="preserve">Le Sprint 4 a couronné la réalisation de Nexora en fournissant une interface moderne, réactive et complète. L'intégration harmonieuse du modèle prédictif Prophet et des rapports décisionnels Power BI confère à l'entreprise un avantage compétitif décisif dans le pilotage de ses usines de plasturgie. La section suivante présente la conclusion générale et les perspectives d'évolution de ce projet de fin d'études.</w:t>
      </w:r>
    </w:p>
    <w:p>
      <w:pPr>
        <w:spacing w:after="0" w:before="0"/>
      </w:pPr>
      <w:r>
        <w:br w:type="page"/>
      </w:r>
    </w:p>
    <w:p>
      <w:pPr>
        <w:pStyle w:val="Heading1"/>
        <w:pageBreakBefore/>
        <w:pBdr>
          <w:bottom w:val="single" w:color="000000" w:sz="6" w:space="4"/>
        </w:pBdr>
        <w:spacing w:after="140" w:before="260"/>
        <w:outlineLvl w:val="0"/>
      </w:pPr>
      <w:r>
        <w:rPr>
          <w:rFonts w:ascii="Times New Roman" w:cs="Times New Roman" w:eastAsia="Times New Roman" w:hAnsi="Times New Roman"/>
          <w:b/>
          <w:bCs/>
          <w:caps/>
          <w:color w:val="000000"/>
          <w:sz w:val="34"/>
          <w:szCs w:val="34"/>
        </w:rPr>
        <w:t xml:space="preserve">Conclusion Générale et Perspectives</w:t>
      </w:r>
    </w:p>
    <w:p>
      <w:pPr>
        <w:pStyle w:val="Heading2"/>
        <w:spacing w:after="90" w:before="200"/>
        <w:outlineLvl w:val="1"/>
      </w:pPr>
      <w:r>
        <w:rPr>
          <w:rFonts w:ascii="Times New Roman" w:cs="Times New Roman" w:eastAsia="Times New Roman" w:hAnsi="Times New Roman"/>
          <w:b/>
          <w:bCs/>
          <w:color w:val="000000"/>
          <w:sz w:val="28"/>
          <w:szCs w:val="28"/>
        </w:rPr>
        <w:t xml:space="preserve">Bilan des Objectifs Atteints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projet de fin d'études a permis de concevoir, développer et déployer avec succès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Nexora</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une plateforme intelligente de pilotage de production et de gestion des stocks d'atelier destinée à un équipementier automobile de premier rang (Tier-1). En réponse à la fragmentation historique des données et aux limites des saisies manuelles sur fiches papier, Nexora apporte une réponse technologique complète, rigoureuse et pérenne.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L'ensemble des objectifs fixés au lancement du projet ont été intégralement atteints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Unification du Data Warehouse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les 83 tables de l'entrepôt ont été auditées, assainies et optimisées. L'optimisation par indexation clusterisée a réduit les temps de réponse de plus de 30 secondes à seulement 448 ms pour 5 000 lignes de mouvements.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Supervision temps réel des machines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les 319 machines d'atelier font l'objet d'un suivi continu avec calcul dynamique du TRG et détection immédiate des arrêts de ligne.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Modélisation prédictive par IA</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 modèle additif Prophet (Meta) a démontré sa supériorité sur les méthodes classiques avec un taux d'erreur exceptionnel de 4,8 % (MAPE) et 7,4 pièces (MAE), fournissant des projections fiables à 30 jours.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Gestion proactive des stocks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la segmentation ABC de Pareto et le calcul automatique du point de commande ont fiabilisé les approvisionnements et permis l'équilibrage multi-sites Tunisie-Brno.</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Tableaux de bord décisionnels Power BI</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les décideurs disposent d'une suite de rapports visuels interactifs directement connectés au Data Warehouse pour la gouvernance industrielle, le suivi du TRG et la valorisation financière des stocks.</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Bilan Opérationnel et Chiffré pour l'Atelier</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retombées mesurées sur le terrain au terme du déploiement pilote confirment l'impact déterminant de la plateforme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Gain de temps administratif de 75 %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suppression totale des ressaisies manuelles des fiches suiveuses sur les 108 cellules principales.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Réduction de 35 % des ruptures de matière critique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grâce aux alertes de seuil &lt; 5 pièces et aux projections de consommation Prophet.</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Amélioration de 6,2 points du TRG moyen d'atelier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rendue possible par la visibilité instantanée des micro-arrêts et la réactivité accrue des équipes de maintenance.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Fiabilisation à 100 % de la traçabilité des stocks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synchronisation immédiate des mouvements de stock sans écart d'inventaire.</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Difficultés Rencontrées et Solutions Apportées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7.1 synthétise les principaux défis techniques et méthodologiques surmontés au cours de ce projet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466"/>
      </w:tblGrid>
      <w:tr>
        <w:trPr>
          <w:tblHeader/>
        </w:trPr>
        <w:tc>
          <w:tcPr>
            <w:tcW w:type="dxa" w:w="2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Défi Technique / Méthodologique</w:t>
            </w:r>
          </w:p>
        </w:tc>
        <w:tc>
          <w:tcPr>
            <w:tcW w:type="dxa" w:w="18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Impact Initial</w:t>
            </w:r>
          </w:p>
        </w:tc>
        <w:tc>
          <w:tcPr>
            <w:tcW w:type="dxa" w:w="44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Solution Appliquée &amp; Justification</w:t>
            </w:r>
          </w:p>
        </w:tc>
      </w:tr>
      <w:tr>
        <w:tc>
          <w:tcPr>
            <w:tcW w:type="dxa" w:w="2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Temps de réponse &gt; 30s sur mouvements de stock (1,5M lignes)</w:t>
            </w:r>
          </w:p>
        </w:tc>
        <w:tc>
          <w:tcPr>
            <w:tcW w:type="dxa" w:w="1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Timeouts et blocage des écrans</w:t>
            </w:r>
          </w:p>
        </w:tc>
        <w:tc>
          <w:tcPr>
            <w:tcW w:type="dxa" w:w="44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Création d'un index clusterisé primaire sur Entry No_ DESC et index couvrants (temps ramené à 448 ms).</w:t>
            </w:r>
          </w:p>
        </w:tc>
      </w:tr>
      <w:tr>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Stocks négatifs transitoires dans l'inventaire</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Distorsion des indicateurs financiers</w:t>
            </w:r>
          </w:p>
        </w:tc>
        <w:tc>
          <w:tcPr>
            <w:tcW w:type="dxa" w:w="4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Pipeline ETL de recalage automatique par le dernier inventaire physique certifié.</w:t>
            </w:r>
          </w:p>
        </w:tc>
      </w:tr>
      <w:tr>
        <w:tc>
          <w:tcPr>
            <w:tcW w:type="dxa" w:w="2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Sur-apprentissage sur les séries d'atelier</w:t>
            </w:r>
          </w:p>
        </w:tc>
        <w:tc>
          <w:tcPr>
            <w:tcW w:type="dxa" w:w="1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Erreurs sur les variations atypiques</w:t>
            </w:r>
          </w:p>
        </w:tc>
        <w:tc>
          <w:tcPr>
            <w:tcW w:type="dxa" w:w="44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Régularisation bayésienne des changepoints dans Prophet et séries de Fourier calibrées.</w:t>
            </w:r>
          </w:p>
        </w:tc>
      </w:tr>
      <w:tr>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Risque de coupure réseau vers FastAPI</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Perte d'affichage des prévisions</w:t>
            </w:r>
          </w:p>
        </w:tc>
        <w:tc>
          <w:tcPr>
            <w:tcW w:type="dxa" w:w="4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Moteur de calcul de repli offline en local sur le frontend React.</w:t>
            </w:r>
          </w:p>
        </w:tc>
      </w:tr>
      <w:tr>
        <w:tc>
          <w:tcPr>
            <w:tcW w:type="dxa" w:w="2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Complexité d'analyse des métriques pour le management</w:t>
            </w:r>
          </w:p>
        </w:tc>
        <w:tc>
          <w:tcPr>
            <w:tcW w:type="dxa" w:w="1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Frein à l'adoption des modèles prédictifs</w:t>
            </w:r>
          </w:p>
        </w:tc>
        <w:tc>
          <w:tcPr>
            <w:tcW w:type="dxa" w:w="44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Conception d'une interface décisionnelle visuelle unifiée avec indicateurs synthétiques et dialogue en langage naturel.</w:t>
            </w:r>
          </w:p>
        </w:tc>
      </w:tr>
    </w:tbl>
    <w:p>
      <w:pPr>
        <w:spacing w:after="120" w:before="80"/>
        <w:jc w:val="center"/>
      </w:pPr>
      <w:r>
        <w:rPr>
          <w:rFonts w:ascii="Times New Roman" w:cs="Times New Roman" w:eastAsia="Times New Roman" w:hAnsi="Times New Roman"/>
          <w:i/>
          <w:iCs/>
          <w:color w:val="595959"/>
          <w:sz w:val="20"/>
          <w:szCs w:val="20"/>
        </w:rPr>
        <w:t xml:space="preserve">Tableau 7.1 : Synthèse des difficultés rencontrées et solutions apportées</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Perspectives d'Évolution Technologique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projet ouvre des perspectives prometteuses pour l'évolution continue du système d'information de l'entreprise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1. Interconnexion IoT industrielle (MQTT / OPC-UA)</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connecter directement les automates programmables des presses Demag et Arburg via des passerelles industrielles pour acquérir les grandeurs physiques en continu (pression d'injection, température du moule, temps de plastification) sans aucune intervention humaine.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2. Maintenance prédictive par Deep Learning (LSTM)</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enrichir le service de Data Science avec des réseaux de neurones récurrents (Long Short-Term Memory) pour anticiper l'usure mécanique des vis de plastification avant l'apparition de dérives qualité sur les pièces.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3. Synoptique 2D/3D dynamique d'atelier (Digital Twin)</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intégrer une représentation graphique spatiale en temps réel des ateliers de Kondar et Brno visualisant l'ensemble des machines sous forme de jumeau numérique interactif.</w:t>
      </w:r>
    </w:p>
    <w:p>
      <w:pPr>
        <w:spacing w:after="0" w:before="0"/>
      </w:pPr>
      <w:r>
        <w:br w:type="page"/>
      </w:r>
    </w:p>
    <w:p>
      <w:pPr>
        <w:pStyle w:val="Heading1"/>
        <w:pageBreakBefore/>
        <w:pBdr>
          <w:bottom w:val="single" w:color="000000" w:sz="6" w:space="4"/>
        </w:pBdr>
        <w:spacing w:after="140" w:before="260"/>
        <w:outlineLvl w:val="0"/>
      </w:pPr>
      <w:r>
        <w:rPr>
          <w:rFonts w:ascii="Times New Roman" w:cs="Times New Roman" w:eastAsia="Times New Roman" w:hAnsi="Times New Roman"/>
          <w:b/>
          <w:bCs/>
          <w:caps/>
          <w:color w:val="000000"/>
          <w:sz w:val="34"/>
          <w:szCs w:val="34"/>
        </w:rPr>
        <w:t xml:space="preserve">Bibliographie et Webographie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références bibliographiques et sources documentaires sont présentées ci-dessous selon la norme internationale IEEE (Institute of Electrical and Electronics Engineers) :</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Méthodologies Agiles et Génie Logiciel</w:t>
      </w:r>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[1] K. Schwaber et J. Sutherland, « The Scrum Guide: The Definitive Guide to Scrum: The Rules of the Game », Scrum.org, nov. 2020. </w:t>
      </w:r>
      <w:hyperlink w:history="1" r:id="rIdi366kyl4xb2w0tto83j0p">
        <w:r>
          <w:rPr>
            <w:rFonts w:ascii="Times New Roman" w:cs="Times New Roman" w:eastAsia="Times New Roman" w:hAnsi="Times New Roman"/>
            <w:color w:val="0056B3"/>
            <w:sz w:val="22"/>
            <w:szCs w:val="22"/>
            <w:u w:val="single"/>
          </w:rPr>
          <w:t xml:space="preserve">https://scrumguides.org</w:t>
        </w:r>
      </w:hyperlink>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[2] M. Cohn, User Stories Applied: For Agile Software Development. Boston, MA, USA : Addison-Wesley Professional, 2004.</w:t>
      </w:r>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[3] K. Beck et al., « Manifeste pour le développement Agile de logiciels », Agile Alliance, 2001. </w:t>
      </w:r>
      <w:hyperlink w:history="1" r:id="rIdfhsfbei8nao9vapxhuaoc">
        <w:r>
          <w:rPr>
            <w:rFonts w:ascii="Times New Roman" w:cs="Times New Roman" w:eastAsia="Times New Roman" w:hAnsi="Times New Roman"/>
            <w:color w:val="0056B3"/>
            <w:sz w:val="22"/>
            <w:szCs w:val="22"/>
            <w:u w:val="single"/>
          </w:rPr>
          <w:t xml:space="preserve">https://agilemanifesto.org</w:t>
        </w:r>
      </w:hyperlink>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[4] Object Management Group (OMG), « Unified Modeling Language (UML) Specification, Version 2.5.1 », déc. 2017. </w:t>
      </w:r>
      <w:hyperlink w:history="1" r:id="rIdyyker8d7uhmbq4m6mzjzn">
        <w:r>
          <w:rPr>
            <w:rFonts w:ascii="Times New Roman" w:cs="Times New Roman" w:eastAsia="Times New Roman" w:hAnsi="Times New Roman"/>
            <w:color w:val="0056B3"/>
            <w:sz w:val="22"/>
            <w:szCs w:val="22"/>
            <w:u w:val="single"/>
          </w:rPr>
          <w:t xml:space="preserve">https://www.omg.org/spec/UML/2.5.1/</w:t>
        </w:r>
      </w:hyperlink>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[5] I. Sommerville, Software Engineering, 10th ed. Boston, MA, USA : Pearson Education, 2015.</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Architectures Web, Microservices et Sécurité</w:t>
      </w:r>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[6] Spring Framework Team, « Spring Boot 3 Reference Documentation », VMware Tanzu, 2024. </w:t>
      </w:r>
      <w:hyperlink w:history="1" r:id="rId5in64ddi3m3fj8wxjjtv3">
        <w:r>
          <w:rPr>
            <w:rFonts w:ascii="Times New Roman" w:cs="Times New Roman" w:eastAsia="Times New Roman" w:hAnsi="Times New Roman"/>
            <w:color w:val="0056B3"/>
            <w:sz w:val="22"/>
            <w:szCs w:val="22"/>
            <w:u w:val="single"/>
          </w:rPr>
          <w:t xml:space="preserve">https://spring.io/projects/spring-boot</w:t>
        </w:r>
      </w:hyperlink>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[7] Spring Security Team, « Spring Security Reference Documentation, Version 6.2 », VMware Tanzu, 2024. </w:t>
      </w:r>
      <w:hyperlink w:history="1" r:id="rIdu5haw6bcdazkoibbowmcb">
        <w:r>
          <w:rPr>
            <w:rFonts w:ascii="Times New Roman" w:cs="Times New Roman" w:eastAsia="Times New Roman" w:hAnsi="Times New Roman"/>
            <w:color w:val="0056B3"/>
            <w:sz w:val="22"/>
            <w:szCs w:val="22"/>
            <w:u w:val="single"/>
          </w:rPr>
          <w:t xml:space="preserve">https://docs.spring.io/spring-security/reference/</w:t>
        </w:r>
      </w:hyperlink>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[8] Meta Open Source, « React.js 18 Documentation &amp; Design Patterns », Meta Platforms Inc., 2023. </w:t>
      </w:r>
      <w:hyperlink w:history="1" r:id="rId_nhay2tmnmhqfyhykh4wn">
        <w:r>
          <w:rPr>
            <w:rFonts w:ascii="Times New Roman" w:cs="Times New Roman" w:eastAsia="Times New Roman" w:hAnsi="Times New Roman"/>
            <w:color w:val="0056B3"/>
            <w:sz w:val="22"/>
            <w:szCs w:val="22"/>
            <w:u w:val="single"/>
          </w:rPr>
          <w:t xml:space="preserve">https://react.dev</w:t>
        </w:r>
      </w:hyperlink>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[9] Keenthemes, « Metronic 8 — React Admin Dashboard &amp; Design System Guide », Keenthemes, 2024. </w:t>
      </w:r>
      <w:hyperlink w:history="1" r:id="rIdhavlzwb6ftdzmvhvkgxqy">
        <w:r>
          <w:rPr>
            <w:rFonts w:ascii="Times New Roman" w:cs="Times New Roman" w:eastAsia="Times New Roman" w:hAnsi="Times New Roman"/>
            <w:color w:val="0056B3"/>
            <w:sz w:val="22"/>
            <w:szCs w:val="22"/>
            <w:u w:val="single"/>
          </w:rPr>
          <w:t xml:space="preserve">https://keenthemes.com/metronic</w:t>
        </w:r>
      </w:hyperlink>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[10] M. Jones, J. Bradley, et N. Sakimura, « JSON Web Token (JWT) », RFC 7519, Internet Engineering Task Force (IETF), mai 2015. </w:t>
      </w:r>
      <w:hyperlink w:history="1" r:id="rIdtv9knxclozcdvw7hvhylr">
        <w:r>
          <w:rPr>
            <w:rFonts w:ascii="Times New Roman" w:cs="Times New Roman" w:eastAsia="Times New Roman" w:hAnsi="Times New Roman"/>
            <w:color w:val="0056B3"/>
            <w:sz w:val="22"/>
            <w:szCs w:val="22"/>
            <w:u w:val="single"/>
          </w:rPr>
          <w:t xml:space="preserve">https://datatracker.ietf.org/doc/html/rfc7519</w:t>
        </w:r>
      </w:hyperlink>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[11] S. Ramirez, « FastAPI: Modern, Fast Web Framework for Python », 2024. </w:t>
      </w:r>
      <w:hyperlink w:history="1" r:id="rIdjzm3m86omwpblh_lkir2e">
        <w:r>
          <w:rPr>
            <w:rFonts w:ascii="Times New Roman" w:cs="Times New Roman" w:eastAsia="Times New Roman" w:hAnsi="Times New Roman"/>
            <w:color w:val="0056B3"/>
            <w:sz w:val="22"/>
            <w:szCs w:val="22"/>
            <w:u w:val="single"/>
          </w:rPr>
          <w:t xml:space="preserve">https://fastapi.tiangolo.com</w:t>
        </w:r>
      </w:hyperlink>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Science des Données, Séries Temporelles et Intelligence Artificielle</w:t>
      </w:r>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[12] S. J. Taylor et B. Letham, « Forecasting at scale: The Prophet procedure », The American Statistician, vol. 72, n° 1, p. 37-45, 2018. </w:t>
      </w:r>
      <w:hyperlink w:history="1" r:id="rIds7l_drj5c1tinnji0izmp">
        <w:r>
          <w:rPr>
            <w:rFonts w:ascii="Times New Roman" w:cs="Times New Roman" w:eastAsia="Times New Roman" w:hAnsi="Times New Roman"/>
            <w:color w:val="0056B3"/>
            <w:sz w:val="22"/>
            <w:szCs w:val="22"/>
            <w:u w:val="single"/>
          </w:rPr>
          <w:t xml:space="preserve">https://peerj.com/preprints/3190/</w:t>
        </w:r>
      </w:hyperlink>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[13] Meta Open Source, « Prophet: Automatic Forecasting Procedure for Time Series Data », 2023. </w:t>
      </w:r>
      <w:hyperlink w:history="1" r:id="rIdp0bruc4oorujsrkurnsln">
        <w:r>
          <w:rPr>
            <w:rFonts w:ascii="Times New Roman" w:cs="Times New Roman" w:eastAsia="Times New Roman" w:hAnsi="Times New Roman"/>
            <w:color w:val="0056B3"/>
            <w:sz w:val="22"/>
            <w:szCs w:val="22"/>
            <w:u w:val="single"/>
          </w:rPr>
          <w:t xml:space="preserve">https://facebook.github.io/prophet/</w:t>
        </w:r>
      </w:hyperlink>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[14] G. E. Box, G. M. Jenkins, G. C. Reinsel, et G. M. Ljung, Time Series Analysis: Forecasting and Control, 5th ed. Hoboken, NJ, USA : John Wiley &amp; Sons, 2015.</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[15] R. J. Hyndman et G. Athanasopoulos, Forecasting: Principles and Practice, 3rd ed. Melbourne, Australie : OTexts, 2021.</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[16] F. Chollet, Deep Learning with Python, 2nd ed. Shelter Island, NY, USA : Manning Publications, 2021.</w:t>
      </w:r>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[17] W. McKinney, « Data Structures for Statistical Computing in Python (Pandas) », Proc. of the 9th Python in Science Conf., p. 56-61, 2010. </w:t>
      </w:r>
      <w:hyperlink w:history="1" r:id="rIddkhahwnuzj2j3x2eoxji2">
        <w:r>
          <w:rPr>
            <w:rFonts w:ascii="Times New Roman" w:cs="Times New Roman" w:eastAsia="Times New Roman" w:hAnsi="Times New Roman"/>
            <w:color w:val="0056B3"/>
            <w:sz w:val="22"/>
            <w:szCs w:val="22"/>
            <w:u w:val="single"/>
          </w:rPr>
          <w:t xml:space="preserve">https://pandas.pydata.org</w:t>
        </w:r>
      </w:hyperlink>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[18] F. Pedregosa et al., « Scikit-learn: Machine Learning in Python », Journal of Machine Learning Research, vol. 12, p. 2825-2830, 2011. </w:t>
      </w:r>
      <w:hyperlink w:history="1" r:id="rIdbsw-h6p9efiaq7gvoo1kd">
        <w:r>
          <w:rPr>
            <w:rFonts w:ascii="Times New Roman" w:cs="Times New Roman" w:eastAsia="Times New Roman" w:hAnsi="Times New Roman"/>
            <w:color w:val="0056B3"/>
            <w:sz w:val="22"/>
            <w:szCs w:val="22"/>
            <w:u w:val="single"/>
          </w:rPr>
          <w:t xml:space="preserve">https://scikit-learn.org</w:t>
        </w:r>
      </w:hyperlink>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Bases de Données, Data Warehouse et Business Intelligence</w:t>
      </w:r>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[19] Microsoft Corporation, « Microsoft SQL Server 2022 Technical Documentation &amp; Index Architecture », 2024. </w:t>
      </w:r>
      <w:hyperlink w:history="1" r:id="rIdwd4eh9_lugpqpmbn3i2z6">
        <w:r>
          <w:rPr>
            <w:rFonts w:ascii="Times New Roman" w:cs="Times New Roman" w:eastAsia="Times New Roman" w:hAnsi="Times New Roman"/>
            <w:color w:val="0056B3"/>
            <w:sz w:val="22"/>
            <w:szCs w:val="22"/>
            <w:u w:val="single"/>
          </w:rPr>
          <w:t xml:space="preserve">https://learn.microsoft.com/sql/sql-server/</w:t>
        </w:r>
      </w:hyperlink>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[20] R. Kimball et M. Ross, The Data Warehouse Toolkit: The Definitive Guide to Dimensional Modeling, 3rd ed. Indianapolis, IN, USA : John Wiley &amp; Sons, 2013.</w:t>
      </w:r>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[21] Microsoft Corporation, « Microsoft Power BI Guidance Documentation &amp; DAX Reference », 2024. </w:t>
      </w:r>
      <w:hyperlink w:history="1" r:id="rIduhpkicoorqge9otohmzvp">
        <w:r>
          <w:rPr>
            <w:rFonts w:ascii="Times New Roman" w:cs="Times New Roman" w:eastAsia="Times New Roman" w:hAnsi="Times New Roman"/>
            <w:color w:val="0056B3"/>
            <w:sz w:val="22"/>
            <w:szCs w:val="22"/>
            <w:u w:val="single"/>
          </w:rPr>
          <w:t xml:space="preserve">https://learn.microsoft.com/power-bi/</w:t>
        </w:r>
      </w:hyperlink>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[22] SheetJS LLC, « SheetJS Community Edition: Spreadsheet Data Processing Engine (XLSX) », 2024. </w:t>
      </w:r>
      <w:hyperlink w:history="1" r:id="rIdebfjhxumuq89flymdvphy">
        <w:r>
          <w:rPr>
            <w:rFonts w:ascii="Times New Roman" w:cs="Times New Roman" w:eastAsia="Times New Roman" w:hAnsi="Times New Roman"/>
            <w:color w:val="0056B3"/>
            <w:sz w:val="22"/>
            <w:szCs w:val="22"/>
            <w:u w:val="single"/>
          </w:rPr>
          <w:t xml:space="preserve">https://sheetjs.com</w:t>
        </w:r>
      </w:hyperlink>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[23] ApexCharts, « Interactive JavaScript Charting Library Documentation », 2024. </w:t>
      </w:r>
      <w:hyperlink w:history="1" r:id="rIdol2atatkxa-ybe57nv_nl">
        <w:r>
          <w:rPr>
            <w:rFonts w:ascii="Times New Roman" w:cs="Times New Roman" w:eastAsia="Times New Roman" w:hAnsi="Times New Roman"/>
            <w:color w:val="0056B3"/>
            <w:sz w:val="22"/>
            <w:szCs w:val="22"/>
            <w:u w:val="single"/>
          </w:rPr>
          <w:t xml:space="preserve">https://apexcharts.com</w:t>
        </w:r>
      </w:hyperlink>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Industrie 4.0, Plasturgie et Taux de Rendement Global</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[24] S. Nakajima, Introduction to TPM: Total Productive Maintenance. Cambridge, MA, USA : Productivity Press, 1988.</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[25] C. Roser, « All About Overall Equipment Effectiveness (OEE) and How to Use It », AllAboutLean, 2021.</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[26] D. V. Rosato, D. V. Rosato, et M. G. Rosato, Plastic Product Design: Injection Molding, Blow Molding, Thermoforming, and Extrusion. Springer Science &amp; Business Media, 2012.</w:t>
      </w:r>
    </w:p>
    <w:sectPr>
      <w:footerReference w:type="default" r:id="rId10"/>
      <w:pgSz w:w="11906" w:h="16838" w:orient="portrait"/>
      <w:pgMar w:top="1440" w:right="1440" w:bottom="1440" w:left="180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tabs>
        <w:tab w:val="right" w:pos="8666"/>
      </w:tabs>
      <w:jc w:val="left"/>
    </w:pPr>
    <w:r>
      <w:rPr>
        <w:rFonts w:ascii="Times New Roman" w:cs="Times New Roman" w:eastAsia="Times New Roman" w:hAnsi="Times New Roman"/>
        <w:color w:val="595959"/>
        <w:sz w:val="18"/>
        <w:szCs w:val="18"/>
      </w:rPr>
      <w:t xml:space="preserve">Nexora — Rapport de Projet de Fin d'Études</w:t>
    </w:r>
    <w:r>
      <w:rPr>
        <w:rFonts w:ascii="Times New Roman" w:cs="Times New Roman" w:eastAsia="Times New Roman" w:hAnsi="Times New Roman"/>
        <w:sz w:val="18"/>
        <w:szCs w:val="18"/>
      </w:rPr>
      <w:tab/>
    </w:r>
    <w:r>
      <w:rPr>
        <w:rFonts w:ascii="Times New Roman" w:cs="Times New Roman" w:eastAsia="Times New Roman" w:hAnsi="Times New Roman"/>
        <w:color w:val="595959"/>
        <w:sz w:val="18"/>
        <w:szCs w:val="18"/>
      </w:rPr>
      <w:t xml:space="preserve">Page </w:t>
    </w:r>
    <w:r>
      <w:rPr>
        <w:rFonts w:ascii="Times New Roman" w:cs="Times New Roman" w:eastAsia="Times New Roman" w:hAnsi="Times New Roman"/>
        <w:color w:val="595959"/>
        <w:sz w:val="18"/>
        <w:szCs w:val="18"/>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tabs>
        <w:tab w:val="right" w:pos="8666"/>
      </w:tabs>
      <w:jc w:val="left"/>
    </w:pPr>
    <w:r>
      <w:rPr>
        <w:rFonts w:ascii="Times New Roman" w:cs="Times New Roman" w:eastAsia="Times New Roman" w:hAnsi="Times New Roman"/>
        <w:color w:val="595959"/>
        <w:sz w:val="18"/>
        <w:szCs w:val="18"/>
      </w:rPr>
      <w:t xml:space="preserve">Nexora — Rapport de Projet de Fin d'Études</w:t>
    </w:r>
    <w:r>
      <w:rPr>
        <w:rFonts w:ascii="Times New Roman" w:cs="Times New Roman" w:eastAsia="Times New Roman" w:hAnsi="Times New Roman"/>
        <w:sz w:val="18"/>
        <w:szCs w:val="18"/>
      </w:rPr>
      <w:tab/>
    </w:r>
    <w:r>
      <w:rPr>
        <w:rFonts w:ascii="Times New Roman" w:cs="Times New Roman" w:eastAsia="Times New Roman" w:hAnsi="Times New Roman"/>
        <w:color w:val="595959"/>
        <w:sz w:val="18"/>
        <w:szCs w:val="18"/>
      </w:rPr>
      <w:t xml:space="preserve">Page </w:t>
    </w:r>
    <w:r>
      <w:rPr>
        <w:rFonts w:ascii="Times New Roman" w:cs="Times New Roman" w:eastAsia="Times New Roman" w:hAnsi="Times New Roman"/>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Times New Roman" w:cs="Times New Roman" w:eastAsia="Times New Roman" w:hAnsi="Times New Roman"/>
      <w:b/>
      <w:bCs/>
      <w:caps/>
      <w:color w:val="000000"/>
      <w:sz w:val="34"/>
      <w:szCs w:val="34"/>
    </w:rPr>
  </w:style>
  <w:style w:type="paragraph" w:styleId="Heading2">
    <w:name w:val="Heading 2"/>
    <w:basedOn w:val="Normal"/>
    <w:next w:val="Normal"/>
    <w:qFormat/>
    <w:pPr>
      <w:spacing w:after="110" w:before="260"/>
      <w:outlineLvl w:val="1"/>
    </w:pPr>
    <w:rPr>
      <w:rFonts w:ascii="Times New Roman" w:cs="Times New Roman" w:eastAsia="Times New Roman" w:hAnsi="Times New Roman"/>
      <w:b/>
      <w:bCs/>
      <w:color w:val="000000"/>
      <w:sz w:val="28"/>
      <w:szCs w:val="28"/>
    </w:rPr>
  </w:style>
  <w:style w:type="paragraph" w:styleId="Heading3">
    <w:name w:val="Heading 3"/>
    <w:basedOn w:val="Normal"/>
    <w:next w:val="Normal"/>
    <w:qFormat/>
    <w:pPr>
      <w:spacing w:after="90" w:before="180"/>
      <w:outlineLvl w:val="2"/>
    </w:pPr>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oter" Target="footer3.xml"/><Relationship Id="rIdi366kyl4xb2w0tto83j0p" Type="http://schemas.openxmlformats.org/officeDocument/2006/relationships/hyperlink" Target="https://scrumguides.org" TargetMode="External"/><Relationship Id="rIdfhsfbei8nao9vapxhuaoc" Type="http://schemas.openxmlformats.org/officeDocument/2006/relationships/hyperlink" Target="https://agilemanifesto.org" TargetMode="External"/><Relationship Id="rIdyyker8d7uhmbq4m6mzjzn" Type="http://schemas.openxmlformats.org/officeDocument/2006/relationships/hyperlink" Target="https://www.omg.org/spec/UML/2.5.1/" TargetMode="External"/><Relationship Id="rId5in64ddi3m3fj8wxjjtv3" Type="http://schemas.openxmlformats.org/officeDocument/2006/relationships/hyperlink" Target="https://spring.io/projects/spring-boot" TargetMode="External"/><Relationship Id="rIdu5haw6bcdazkoibbowmcb" Type="http://schemas.openxmlformats.org/officeDocument/2006/relationships/hyperlink" Target="https://docs.spring.io/spring-security/reference/" TargetMode="External"/><Relationship Id="rId_nhay2tmnmhqfyhykh4wn" Type="http://schemas.openxmlformats.org/officeDocument/2006/relationships/hyperlink" Target="https://react.dev" TargetMode="External"/><Relationship Id="rIdhavlzwb6ftdzmvhvkgxqy" Type="http://schemas.openxmlformats.org/officeDocument/2006/relationships/hyperlink" Target="https://keenthemes.com/metronic" TargetMode="External"/><Relationship Id="rIdtv9knxclozcdvw7hvhylr" Type="http://schemas.openxmlformats.org/officeDocument/2006/relationships/hyperlink" Target="https://datatracker.ietf.org/doc/html/rfc7519" TargetMode="External"/><Relationship Id="rIdjzm3m86omwpblh_lkir2e" Type="http://schemas.openxmlformats.org/officeDocument/2006/relationships/hyperlink" Target="https://fastapi.tiangolo.com" TargetMode="External"/><Relationship Id="rIds7l_drj5c1tinnji0izmp" Type="http://schemas.openxmlformats.org/officeDocument/2006/relationships/hyperlink" Target="https://peerj.com/preprints/3190/" TargetMode="External"/><Relationship Id="rIdp0bruc4oorujsrkurnsln" Type="http://schemas.openxmlformats.org/officeDocument/2006/relationships/hyperlink" Target="https://facebook.github.io/prophet/" TargetMode="External"/><Relationship Id="rIddkhahwnuzj2j3x2eoxji2" Type="http://schemas.openxmlformats.org/officeDocument/2006/relationships/hyperlink" Target="https://pandas.pydata.org" TargetMode="External"/><Relationship Id="rIdbsw-h6p9efiaq7gvoo1kd" Type="http://schemas.openxmlformats.org/officeDocument/2006/relationships/hyperlink" Target="https://scikit-learn.org" TargetMode="External"/><Relationship Id="rIdwd4eh9_lugpqpmbn3i2z6" Type="http://schemas.openxmlformats.org/officeDocument/2006/relationships/hyperlink" Target="https://learn.microsoft.com/sql/sql-server/" TargetMode="External"/><Relationship Id="rIduhpkicoorqge9otohmzvp" Type="http://schemas.openxmlformats.org/officeDocument/2006/relationships/hyperlink" Target="https://learn.microsoft.com/power-bi/" TargetMode="External"/><Relationship Id="rIdebfjhxumuq89flymdvphy" Type="http://schemas.openxmlformats.org/officeDocument/2006/relationships/hyperlink" Target="https://sheetjs.com" TargetMode="External"/><Relationship Id="rIdol2atatkxa-ybe57nv_nl" Type="http://schemas.openxmlformats.org/officeDocument/2006/relationships/hyperlink" Target="https://apexcharts.com" TargetMode="External"/><Relationship Id="rId11" Type="http://schemas.openxmlformats.org/officeDocument/2006/relationships/image" Target="media/fe65776b946ee3e30970a2bc3cb6200c43a2998d.undefined"/><Relationship Id="rId12" Type="http://schemas.openxmlformats.org/officeDocument/2006/relationships/image" Target="media/4be5a1274612a017cc41446d9f350420ef5b79cc.undefined"/><Relationship Id="rId13" Type="http://schemas.openxmlformats.org/officeDocument/2006/relationships/image" Target="media/9dd5e9a114f13b358237690766cdee9a567c75b1.undefined"/><Relationship Id="rId14" Type="http://schemas.openxmlformats.org/officeDocument/2006/relationships/image" Target="media/b641cd8f12a5c67fc8f2f31e8a7d67dfb8abc697.undefined"/><Relationship Id="rId15" Type="http://schemas.openxmlformats.org/officeDocument/2006/relationships/image" Target="media/99ecc24c9fec0fc73c1844a0d8b8b914ed9579bc.undefined"/><Relationship Id="rId16" Type="http://schemas.openxmlformats.org/officeDocument/2006/relationships/image" Target="media/5c85fbe67b8254353f754495c55c027bac20724f.undefined"/><Relationship Id="rId17" Type="http://schemas.openxmlformats.org/officeDocument/2006/relationships/image" Target="media/a0e7e45b1dc145261bf160671c20d05ab35f1619.undefined"/><Relationship Id="rId18" Type="http://schemas.openxmlformats.org/officeDocument/2006/relationships/image" Target="media/ccb623c60c87add3afdd925caf9fe57cf2231cd4.undefined"/><Relationship Id="rId19" Type="http://schemas.openxmlformats.org/officeDocument/2006/relationships/image" Target="media/56cc877aae7410ea811a7251130314b4759e7bfe.undefined"/><Relationship Id="rId20" Type="http://schemas.openxmlformats.org/officeDocument/2006/relationships/image" Target="media/23b0bcfc336007c40707fd58801b9c28f11373e6.undefined"/><Relationship Id="rId21" Type="http://schemas.openxmlformats.org/officeDocument/2006/relationships/image" Target="media/45cc5354756369b42bd065c78f96f83912633f6c.undefined"/><Relationship Id="rId22" Type="http://schemas.openxmlformats.org/officeDocument/2006/relationships/image" Target="media/0d70d93885f02ae9f00717ef0ba9f8bf6afb9966.undefined"/><Relationship Id="rId23" Type="http://schemas.openxmlformats.org/officeDocument/2006/relationships/image" Target="media/663ed9adefa0c458e0a150e1155ebb295d3467e3.undefined"/><Relationship Id="rId24" Type="http://schemas.openxmlformats.org/officeDocument/2006/relationships/image" Target="media/a45a26862f10ccf9f8f6042073f94e2ea2c09a1a.undefined"/><Relationship Id="rId25" Type="http://schemas.openxmlformats.org/officeDocument/2006/relationships/image" Target="media/ddc6e6f4e5ee5a2dba3d0072a518a6a0c739e933.undefined"/><Relationship Id="rId26" Type="http://schemas.openxmlformats.org/officeDocument/2006/relationships/image" Target="media/a884a33f45071419cd7467c4c992095dba4fe287.undefined"/><Relationship Id="rId27" Type="http://schemas.openxmlformats.org/officeDocument/2006/relationships/image" Target="media/a578b6db75183dd27dd76933f420c2d246178052.undefined"/><Relationship Id="rId4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2026-09-24T21:32:04.056Z</dcterms:created>
  <dcterms:modified xsi:type="dcterms:W3CDTF">2026-09-24T21:32:04.063Z</dcterms:modified>
</cp:coreProperties>
</file>

<file path=docProps/custom.xml><?xml version="1.0" encoding="utf-8"?>
<Properties xmlns="http://schemas.openxmlformats.org/officeDocument/2006/custom-properties" xmlns:vt="http://schemas.openxmlformats.org/officeDocument/2006/docPropsVTypes"/>
</file>