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5667375"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666750"/>
                    </a:xfrm>
                    <a:prstGeom prst="rect">
                      <a:avLst/>
                    </a:prstGeom>
                  </pic:spPr>
                </pic:pic>
              </a:graphicData>
            </a:graphic>
          </wp:inline>
        </w:drawing>
      </w:r>
    </w:p>
    <w:p>
      <w:pPr>
        <w:spacing w:after="0" w:before="0"/>
      </w:pPr>
      <w:r>
        <w:drawing>
          <wp:anchor distT="0" distB="0" distL="0" distR="0" simplePos="0" allowOverlap="1" behindDoc="1" locked="0" layoutInCell="0" relativeHeight="5905500">
            <wp:simplePos x="0" y="0"/>
            <wp:positionH relativeFrom="page">
              <wp:posOffset>360000</wp:posOffset>
            </wp:positionH>
            <wp:positionV relativeFrom="page">
              <wp:posOffset>1260000</wp:posOffset>
            </wp:positionV>
            <wp:extent cx="4762500" cy="59055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5905500"/>
                    </a:xfrm>
                    <a:prstGeom prst="rect">
                      <a:avLst/>
                    </a:prstGeom>
                  </pic:spPr>
                </pic:pic>
              </a:graphicData>
            </a:graphic>
          </wp:anchor>
        </w:drawing>
      </w:r>
    </w:p>
    <w:p>
      <w:pPr>
        <w:spacing w:after="400" w:before="600"/>
        <w:jc w:val="center"/>
      </w:pPr>
      <w:r>
        <w:rPr>
          <w:rFonts w:ascii="Times New Roman" w:cs="Times New Roman" w:eastAsia="Times New Roman" w:hAnsi="Times New Roman"/>
          <w:b/>
          <w:bCs/>
          <w:color w:val="000000"/>
          <w:sz w:val="30"/>
          <w:szCs w:val="30"/>
        </w:rPr>
        <w:t xml:space="preserve">RAPPORT DE STAGE DE PROJET DE FIN D'ETUDES</w:t>
      </w:r>
    </w:p>
    <w:p>
      <w:pPr>
        <w:pBdr>
          <w:bottom w:val="single" w:color="000000" w:sz="6" w:space="2"/>
        </w:pBdr>
        <w:spacing w:after="40" w:before="0"/>
      </w:pPr>
      <w:r>
        <w:t xml:space="preserve"/>
      </w:r>
    </w:p>
    <w:p>
      <w:pPr>
        <w:spacing w:after="80" w:before="200"/>
        <w:jc w:val="center"/>
      </w:pPr>
      <w:r>
        <w:rPr>
          <w:rFonts w:ascii="Times New Roman" w:cs="Times New Roman" w:eastAsia="Times New Roman" w:hAnsi="Times New Roman"/>
          <w:color w:val="2E74B5"/>
          <w:sz w:val="20"/>
          <w:szCs w:val="20"/>
        </w:rPr>
        <w:t xml:space="preserve">Intitulé du stage</w:t>
      </w:r>
    </w:p>
    <w:p>
      <w:pPr>
        <w:spacing w:after="160" w:before="0"/>
        <w:jc w:val="center"/>
      </w:pPr>
      <w:r>
        <w:rPr>
          <w:rFonts w:ascii="Times New Roman" w:cs="Times New Roman" w:eastAsia="Times New Roman" w:hAnsi="Times New Roman"/>
          <w:b/>
          <w:bCs/>
          <w:color w:val="000000"/>
          <w:sz w:val="24"/>
          <w:szCs w:val="24"/>
        </w:rPr>
        <w:t xml:space="preserve">Conception et Développement d'une Plateforme Intelligente de Gestion de Production et de Stock : Nexora</w:t>
      </w:r>
    </w:p>
    <w:p>
      <w:pPr>
        <w:pBdr>
          <w:bottom w:val="single" w:color="000000" w:sz="6" w:space="2"/>
        </w:pBdr>
        <w:spacing w:after="40" w:before="0"/>
      </w:pPr>
      <w:r>
        <w:t xml:space="preserve"/>
      </w:r>
    </w:p>
    <w:p>
      <w:pPr>
        <w:spacing w:after="60" w:before="200"/>
        <w:jc w:val="center"/>
      </w:pPr>
      <w:r>
        <w:rPr>
          <w:rFonts w:ascii="Times New Roman" w:cs="Times New Roman" w:eastAsia="Times New Roman" w:hAnsi="Times New Roman"/>
          <w:color w:val="2E74B5"/>
          <w:sz w:val="20"/>
          <w:szCs w:val="20"/>
        </w:rPr>
        <w:t xml:space="preserve">Réalisé par</w:t>
      </w:r>
    </w:p>
    <w:p>
      <w:pPr>
        <w:spacing w:after="500" w:before="0"/>
        <w:jc w:val="center"/>
      </w:pPr>
      <w:r>
        <w:rPr>
          <w:rFonts w:ascii="Times New Roman" w:cs="Times New Roman" w:eastAsia="Times New Roman" w:hAnsi="Times New Roman"/>
          <w:b/>
          <w:bCs/>
          <w:color w:val="000000"/>
          <w:sz w:val="26"/>
          <w:szCs w:val="26"/>
        </w:rPr>
        <w:t xml:space="preserve">Imen</w:t>
      </w:r>
    </w:p>
    <w:p>
      <w:pPr>
        <w:spacing w:after="120" w:before="0"/>
        <w:jc w:val="center"/>
      </w:pPr>
      <w:r>
        <w:rPr>
          <w:rFonts w:ascii="Times New Roman" w:cs="Times New Roman" w:eastAsia="Times New Roman" w:hAnsi="Times New Roman"/>
          <w:color w:val="2E74B5"/>
          <w:sz w:val="20"/>
          <w:szCs w:val="20"/>
        </w:rPr>
        <w:t xml:space="preserve">Entreprise d'accueil</w:t>
      </w:r>
    </w:p>
    <w:p>
      <w:pPr>
        <w:spacing w:after="80" w:before="0"/>
        <w:jc w:val="center"/>
      </w:pPr>
      <w:r>
        <w:drawing>
          <wp:inline distT="0" distB="0" distL="0" distR="0">
            <wp:extent cx="9525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52500" cy="762000"/>
                    </a:xfrm>
                    <a:prstGeom prst="rect">
                      <a:avLst/>
                    </a:prstGeom>
                  </pic:spPr>
                </pic:pic>
              </a:graphicData>
            </a:graphic>
          </wp:inline>
        </w:drawing>
      </w:r>
    </w:p>
    <w:p>
      <w:pPr>
        <w:spacing w:after="400" w:before="0"/>
        <w:jc w:val="center"/>
      </w:pPr>
      <w:r>
        <w:rPr>
          <w:rFonts w:ascii="Times New Roman" w:cs="Times New Roman" w:eastAsia="Times New Roman" w:hAnsi="Times New Roman"/>
          <w:b/>
          <w:bCs/>
          <w:color w:val="000000"/>
          <w:sz w:val="26"/>
          <w:szCs w:val="26"/>
        </w:rPr>
        <w:t xml:space="preserve">........................</w:t>
      </w:r>
    </w:p>
    <w:p>
      <w:pPr>
        <w:spacing w:after="60" w:before="0"/>
        <w:jc w:val="center"/>
      </w:pPr>
      <w:r>
        <w:rPr>
          <w:rFonts w:ascii="Times New Roman" w:cs="Times New Roman" w:eastAsia="Times New Roman" w:hAnsi="Times New Roman"/>
          <w:color w:val="2E74B5"/>
          <w:sz w:val="20"/>
          <w:szCs w:val="20"/>
        </w:rPr>
        <w:t xml:space="preserve">Encadrant Entreprise</w:t>
      </w:r>
    </w:p>
    <w:p>
      <w:pPr>
        <w:spacing w:after="200" w:before="0"/>
        <w:jc w:val="center"/>
      </w:pPr>
      <w:r>
        <w:rPr>
          <w:rFonts w:ascii="Times New Roman" w:cs="Times New Roman" w:eastAsia="Times New Roman" w:hAnsi="Times New Roman"/>
          <w:b/>
          <w:bCs/>
          <w:color w:val="000000"/>
          <w:sz w:val="24"/>
          <w:szCs w:val="24"/>
        </w:rPr>
        <w:t xml:space="preserve">........................</w:t>
      </w:r>
    </w:p>
    <w:p>
      <w:pPr>
        <w:spacing w:after="60" w:before="0"/>
        <w:jc w:val="center"/>
      </w:pPr>
      <w:r>
        <w:rPr>
          <w:rFonts w:ascii="Times New Roman" w:cs="Times New Roman" w:eastAsia="Times New Roman" w:hAnsi="Times New Roman"/>
          <w:color w:val="2E74B5"/>
          <w:sz w:val="20"/>
          <w:szCs w:val="20"/>
        </w:rPr>
        <w:t xml:space="preserve">Encadrant SESAME</w:t>
      </w:r>
    </w:p>
    <w:p>
      <w:pPr>
        <w:spacing w:after="300" w:before="0"/>
        <w:jc w:val="center"/>
      </w:pPr>
      <w:r>
        <w:rPr>
          <w:rFonts w:ascii="Times New Roman" w:cs="Times New Roman" w:eastAsia="Times New Roman" w:hAnsi="Times New Roman"/>
          <w:b/>
          <w:bCs/>
          <w:color w:val="000000"/>
          <w:sz w:val="24"/>
          <w:szCs w:val="24"/>
        </w:rPr>
        <w:t xml:space="preserve">........................</w:t>
      </w:r>
    </w:p>
    <w:p>
      <w:pPr>
        <w:spacing w:after="0" w:before="0"/>
        <w:jc w:val="center"/>
      </w:pPr>
      <w:r>
        <w:rPr>
          <w:rFonts w:ascii="Times New Roman" w:cs="Times New Roman" w:eastAsia="Times New Roman" w:hAnsi="Times New Roman"/>
          <w:b/>
          <w:bCs/>
          <w:color w:val="E97132"/>
          <w:sz w:val="22"/>
          <w:szCs w:val="22"/>
        </w:rPr>
        <w:t xml:space="preserve">Année Universitaire 2025-2026</w:t>
      </w:r>
    </w:p>
    <w:p>
      <w:pPr>
        <w:sectPr>
          <w:footerReference w:type="default" r:id="rId7"/>
          <w:pgSz w:w="11906" w:h="16838" w:orient="portrait"/>
          <w:pgMar w:top="720" w:right="1080" w:bottom="720" w:left="1080" w:header="708" w:footer="708" w:gutter="0"/>
          <w:pgNumType/>
          <w:docGrid w:linePitch="360"/>
        </w:sectPr>
      </w:pP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DÉDICACE</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Je dédie ce travail de fin d'études :</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mes très chers parents, pour leur amour inconditionnel, leurs prières et leur soutien indéfectible tout au long de mon parcours universitaire.</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toute ma famille, mes proches et mes ami(e)s qui m'ont encouragée, soutenue et accompagnée dans l'accomplissement de ce projet.</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tous mes enseignants et encadrants pour leur bienveillance, leurs conseils précieux et la qualité de la formation dispensée.</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REMERCIEMENTS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premiers remerciements s'adressent chaleureusement à mon encadrant(e) académique, [..........], pour son suivi attentif, sa rigueur scientifique et ses conseils avisés qui ont guidé l'orientation de ce projet de fin d'études.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également à témoigner ma reconnaissance à mon encadrant professionnel, [..........], au sein de l'entreprise d'accueil [..........], dont le soutien constant, l'expertise technique et la disponibilité tout au long de ce stage ont été déterminants dans l'aboutissement de ce travail.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J'exprime ma profonde gratitude envers [..........] pour la confiance accordée ainsi que pour le partage d'expérience et l'assistance technique tout au long du projet.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Toute ma considération s'adresse au responsable de l'entreprise d'accueil, [..........], qui a rendu possible ce stage et m'a permis d'intervenir sur un projet d'une telle importance stratégique pour la modernisation du système d'information.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remerciements s'étendent à l'ensemble du personnel de l'entreprise d'accueil pour son accueil chaleureux, sa bienveillance et l'atmosphère collaborative qui ont rendu ce stage particulièrement formateur.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Enfin, je salue l'ensemble du corps professoral et de l'administration de mon établissement d'enseignement pour la rigueur de la formation académique reçue, sans oublier tous ceux qui ont contribué de près ou de loin au succès de cette étape importante de mon parcours.</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RÉSUMÉ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de fin d'études expose la conception et le déploiement de Nexora, une plateforme intelligente destinée à moderniser la gestion de production et le suivi des stocks au sein de l'entreprise [..........]. Le dispositif intègre une interface web d'administration et de pilotage d'atelier permettant d'unifier l'échange d'informations entre les gestionnaires et les opérateurs.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Développée sous un socle technologique moderne combinant Spring Boot 3 (Java), React.js (TypeScript), FastAPI (Python) et Microsoft SQL Server, la solution a été conduite selon l'approche itérative Scrum en cinq cycles distincts. L'application couvre des fonctionnalités clés telles que le suivi des machines et du rendement d'atelier (TRG), la planification des ordres de production, la traçabilité des mouvements d'inventaire, ainsi que des modules d'Intelligence Artificielle prédictive pour l'aide à la décision.</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SOMMAIRE</w:t>
      </w:r>
    </w:p>
    <w:p>
      <w:pPr>
        <w:spacing w:after="120" w:before="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Dédicace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w:t>
      </w:r>
    </w:p>
    <w:p>
      <w:pPr>
        <w:tabs>
          <w:tab w:val="right" w:pos="9200" w:leader="dot"/>
        </w:tabs>
        <w:spacing w:after="60" w:before="180"/>
        <w:ind w:left="0"/>
      </w:pPr>
      <w:r>
        <w:rPr>
          <w:rFonts w:ascii="Times New Roman" w:cs="Times New Roman" w:eastAsia="Times New Roman" w:hAnsi="Times New Roman"/>
          <w:b/>
          <w:bCs/>
          <w:sz w:val="24"/>
          <w:szCs w:val="24"/>
        </w:rPr>
        <w:t xml:space="preserve">Remerciements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ii</w:t>
      </w:r>
    </w:p>
    <w:p>
      <w:pPr>
        <w:tabs>
          <w:tab w:val="right" w:pos="9200" w:leader="dot"/>
        </w:tabs>
        <w:spacing w:after="60" w:before="180"/>
        <w:ind w:left="0"/>
      </w:pPr>
      <w:r>
        <w:rPr>
          <w:rFonts w:ascii="Times New Roman" w:cs="Times New Roman" w:eastAsia="Times New Roman" w:hAnsi="Times New Roman"/>
          <w:b/>
          <w:bCs/>
          <w:sz w:val="24"/>
          <w:szCs w:val="24"/>
        </w:rPr>
        <w:t xml:space="preserve">Résumé</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iii</w:t>
      </w:r>
    </w:p>
    <w:p>
      <w:pPr>
        <w:tabs>
          <w:tab w:val="right" w:pos="9200" w:leader="dot"/>
        </w:tabs>
        <w:spacing w:after="60" w:before="180"/>
        <w:ind w:left="0"/>
      </w:pPr>
      <w:r>
        <w:rPr>
          <w:rFonts w:ascii="Times New Roman" w:cs="Times New Roman" w:eastAsia="Times New Roman" w:hAnsi="Times New Roman"/>
          <w:b/>
          <w:bCs/>
          <w:sz w:val="24"/>
          <w:szCs w:val="24"/>
        </w:rPr>
        <w:t xml:space="preserve">Résumé Exécutif</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iv</w:t>
      </w:r>
    </w:p>
    <w:p>
      <w:pPr>
        <w:tabs>
          <w:tab w:val="right" w:pos="9200" w:leader="dot"/>
        </w:tabs>
        <w:spacing w:after="60" w:before="180"/>
        <w:ind w:left="0"/>
      </w:pPr>
      <w:r>
        <w:rPr>
          <w:rFonts w:ascii="Times New Roman" w:cs="Times New Roman" w:eastAsia="Times New Roman" w:hAnsi="Times New Roman"/>
          <w:b/>
          <w:bCs/>
          <w:sz w:val="24"/>
          <w:szCs w:val="24"/>
        </w:rPr>
        <w:t xml:space="preserve">Sommaire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Figures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vi</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Tableaux</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vii</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Abréviations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viii</w:t>
      </w:r>
    </w:p>
    <w:p>
      <w:pPr>
        <w:spacing w:after="0" w:before="40"/>
      </w:pPr>
      <w:r>
        <w:t xml:space="preserve"/>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Introduction Générale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1</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1 : Cadre Général du Projet</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1.2 Cadre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1.2.1 Description Générale du Projet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1.2.2 Présentation de l'Organisme d'Accueil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1.2.3 Fiche d'Identité de l'Entreprise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1.2.4 Organigramme de Nexora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1.3 Analyse de l'Existant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1.3.1 Étude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1.3.2 Étude des Solutions Existantes sur le Marché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1.3.3 Critique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1.3.4 Solution Proposée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1.4 Méthodologie de Développement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1.4.1 Étude Comparative des Méthodologies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1.4.2 Méthodologie Adoptée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1.5 Langage de Modélisation UML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1.6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2 : Analyse et Spécification des Besoins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2.2 Analyse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2.2.1 Identification des acteurs du système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2.2.2 Besoins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2.2.3 Les besoins non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2.3 Diagramme de Cas d'Utilisation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2.4 Structure et Découpage du Projet avec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2.4.1 Identification de l'équipe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2.4.2 Planification de Sprints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2.5 Technologies Utilisées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2.6 Architecture Proposée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2.6.1 Architecture Logique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2.6.2 Architecture Physique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2.6.3 Diagramme de classes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2.7 Déploiement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40</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3 : Sprint 1 – Sécurité et Accès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3.3.3 Diagramme de Séquence : Authentification d'un utilisateur et obtention du jeton JWT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4 : Sprint 2 – Gestion de Production et Suivi des Machines d'Atelier</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4.3.3 Diagramme de Séquence : Planification et affectation d'un ordre de production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5 : Sprint 3 – Gestion des Stocks, Mouvements DWH, Power BI et Refonte UI Metronic</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5.3.3 Diagramme de Séquence : Enregistrement d'un mouvement de stock</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5.5 Système de Filtrage Dynamique Multi-Critères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5.6 Module d'Exportation Excel Automatique (.xlsx)</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5.7 Tableau de Bord et Reporting Décisionnel sous Microsoft Power BI</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5.8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6 : Sprint 4 – Intelligence Artificielle et Data Science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6.3.3 Diagramme de Séquence : Consultation du comparatif multi-modèles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6.5.1 Captures d'écran de l'interface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81</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7 : Sprint 5 – Administration, Supervision et Monitoring</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7.3.3 Diagramme de Séquence : Consultation des notifications et alertes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87</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Conclusion Générale et Perspectives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Synthèse des Difficultés Rencontrées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Bilan Global de la Validation et des Tests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Perspectives d'Évolution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60" w:before="180"/>
        <w:ind w:left="0"/>
      </w:pPr>
      <w:r>
        <w:rPr>
          <w:rFonts w:ascii="Times New Roman" w:cs="Times New Roman" w:eastAsia="Times New Roman" w:hAnsi="Times New Roman"/>
          <w:b/>
          <w:bCs/>
          <w:sz w:val="24"/>
          <w:szCs w:val="24"/>
        </w:rPr>
        <w:t xml:space="preserve">Bibliographie et Webographie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90</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FIGURES</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1.1 : Vue d'ensemble du framework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2.1 : Diagramme de cas d'utilisation global de la plateforme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2.2 : Architecture physique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2.3 : Architecture logique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2.4 : Diagramme de classes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3.1 : Diagramme de cas d'utilisation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3.2 : Diagramme de séquence : Authentification d'un utilisateur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3.3 : Diagramme de classes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3.4 : Diagramme d'activité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3.5 : Captures d'écran : Interface d'Authentification et Gestion des Rôles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4.1 : Diagramme de cas d'utilisation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4.2 : Diagramme de séquence : Planification d'un ordre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4.3 : Diagramme de classes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4.4 : Diagramme d'activité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4.5 : Captures d'écran : Tableau de bord de suivi des machines et Taux TRG en direct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5.1 : Diagramme de cas d'utilisation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5.2 : Diagramme de séquence : Enregistrement d'un mouvement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5.3 : Diagramme de classes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5.4 : Diagramme d'activité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5.5 : Captures d'écran : Console de gestion d'inventaire, entrées/sorties et alertes de seuils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6.1 : Diagramme de cas d'utilisation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6.2 : Diagramme de séquence : Consultation du comparatif multi-modèles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6.3 : Diagramme de classes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6.4 : Diagramme d'activité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6.5 : Captures d'écran : Interface d'Intelligence Artificielle et prévisions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7.1 : Diagramme de cas d'utilisation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7.2 : Diagramme de séquence : Consultation des alertes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7.3 : Diagramme de classes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7.4 : Diagramme d'activité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7.5 : Captures d'écran : Console technique d'audit ActivityLog et notifications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spacing w:after="40" w:before="40"/>
      </w:pPr>
      <w:r>
        <w:t xml:space="preserve"/>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TABLEAUX</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1.1 : Fiche d'identité de l'entreprise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1.3 : Étude comparative des solutions du marché</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1.2 : Comparaison des méthodologies de gestion de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2.1 : Acteurs de la Plateforme de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2.2 : Liste des Fonctionnalités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2.3 : Équipe Scrum et responsabilités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2.4 : Planification des Sprints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2.5 : Indicateurs de synthèse du Backlog Produit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2.6 : Backlog produit complet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2.7 : Stack technologique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2.8 : Outils de gestion de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3.1 : Sprint Backlog du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3.2 : Tests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4.1 : Sprint Backlog du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4.2 : Tests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5.1 : Sprint Backlog du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5.2 : Tests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6.1 : Sprint Backlog du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6.2 : Tests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7.1 : Sprint Backlog du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7.2 : Tests du Sprint 5</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8.1 : Synthèse des difficultés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8.2 : Métriques consolidées des exécutions de tests par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ABRÉVIATIONS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22"/>
        <w:gridCol w:w="6444"/>
      </w:tblGrid>
      <w:tr>
        <w:trPr>
          <w:tblHeader/>
        </w:trPr>
        <w:tc>
          <w:tcPr>
            <w:tcW w:type="dxa" w:w="22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Abréviation</w:t>
            </w:r>
          </w:p>
        </w:tc>
        <w:tc>
          <w:tcPr>
            <w:tcW w:type="dxa" w:w="644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Programming Interface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Business Intelligence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CRM</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Customer Relationship Management</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CRUD</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Create, Read, Update, Delete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GMV</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Gross Merchandise Value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JWT</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JSON Web Token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KPI</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Key Performance Indicator</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NMV</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Net Merchandise Value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 et L</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Profit and Loss (Profits et Pertes)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RBAC</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Role-Based Access Control (Contrôle d'Accès Basé sur les Rôles)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Representational State Transfer</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RLS</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Row-Level Security (Sécurité au Niveau des Lignes)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SKU</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Keeping Unit (Unité de Gestion des Stocks)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SPA</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Single-Page Application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Structured Query Language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3PL</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Third-Party Logistics (Logistique Externalisée)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TVA</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Taxe sur la Valeur Ajoutée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Unified Modeling Language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User Story (Récit Utilisateur)</w:t>
            </w:r>
          </w:p>
        </w:tc>
      </w:tr>
    </w:tbl>
    <w:p>
      <w:pPr>
        <w:sectPr>
          <w:footerReference w:type="default" r:id="rId8"/>
          <w:pgSz w:w="11906" w:h="16838" w:orient="portrait"/>
          <w:pgMar w:top="1440" w:right="1440" w:bottom="1440" w:left="1800" w:header="708" w:footer="708" w:gutter="0"/>
          <w:pgNumType w:start="1" w:fmt="lowerRoman"/>
          <w:docGrid w:linePitch="360"/>
        </w:sectPr>
      </w:pPr>
    </w:p>
    <w:p>
      <w:pPr>
        <w:pStyle w:val="Heading1"/>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Introduction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paysage industriel moderne, la transition vers l'industrie 4.0 et l'automatisation des flux d'information imposent aux ateliers de production une révision profonde de leurs méthodes de gestion interne. Ce processus de transformation numérique est devenu un prérequis incontournable pour pérenniser la compétitivité des entreprises manufacturières, accroître l'efficacité de leurs lignes de fabrication et optimiser les niveaux de stock en temps réel. Au cœur de cette dynamique, le suivi du rendement d'atelier (TRG) s'impose à la fois comme un défi opérationnel majeur et comme un levier d'optimisation central.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travail présenté dans ce mémoire répond directement à cet enjeu en concevant et déployant une solution unifiée de pilotage de production et de gestion d'inventaire. Devant l'accroissement des cadences de travail, l'entreprise s'est trouvée confrontée à la nécessité de se doter d'un outil centralisé capable d'enregistrer les ordres de production, d'affecter dynamiquement les machines d'atelier, de comptabiliser les temps d'arrêt et de tracer l'intégralité des mouvements de stock sans dépendre de ressaisies manuelles sur papier ou tableur.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y parvenir, nous avons développé la plateforme intelligente Nexora. Celle-ci intègre un back-end d'API REST robuste avec Spring Boot 3 (Java 17) connecté à une base SQL Server centralisée, couplé à une application web monopage (SPA) réactive sous React.js pour les gestionnaires et opérateurs d'atelier. De plus, elle intègre un service de Machine Learning et Data Science sous FastAPI (Python 3.10) pour les analyses prédictives (ARIMA, Prophet), le clustering K-Means et la détection d'anomalies (Isolation Forest).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mise en œuvre de cette solution a été menée suivant la démarche Agile Scrum, jalonnée par cinq sprints distincts, garantissant un développement itératif et une validation progressive des fonctionnalités.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rendre compte de ce projet de manière claire et structurée, notre travail est organisé en sept chapitres distincts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1 : Cadre Général du Projet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présente le contexte du projet, l'organisme d'accueil, le diagnostic de l'existant avec une étude comparative des solutions d'atelier du marché, puis détaille le cadre méthodologique Scrum [1] [3] et le langage de modélisation UML [15] retenu.</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2 : Analyse et Spécification des Besoins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formalise les acteurs et leurs rôles (matrice de contrôle d'accès RBAC), détaille les exigences fonctionnelles (postes de travail, ordres de production, stocks et modèles d'IA) et non fonctionnelles, puis décrit l'architecture physique/logique et l'environnement de développement.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3 : Sprint 1 – Sécurité et Accès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traite de la conception et du développement de la couche d'accès sécurisée de la plateforme, incluant l'authentification par jeton JWT, les menus de navigation dynamiques adaptés aux rôles (ADMIN, MANAGER, OPERATEUR), et la journalisation des actions sensibles.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4 : Sprint 2 – Gestion de Production et Suivi des Machines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présente la configuration des postes de travail d'atelier, le suivi des états des machines en direct, le calcul automatique du taux de rendement global (TRG) et la gestion des ordres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5 : Sprint 3 – Gestion des Stocks et Mouvements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est dédié à la mise en œuvre du suivi d'inventaire, de la saisie des mouvements d'entrée/sorties, de la gestion des ajustements et des alertes de seuils critiques de réapprovisionnement.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6 : Sprint 4 – Intelligence Artificielle et Data Science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décrit le service FastAPI (Python) hébergeant les modèles prédictifs de production et de stock (ARIMA, Prophet), la segmentation ABC des articles via K-Means et la détection d'anomalies de fonctionnement via Isolation Forest.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7 : Sprint 5 – Supervision et Centre d'Alertes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présente le centre d'historisation des notifications d'alertes système.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finir, une conclusion générale synthétise les apports techniques et fonctionnels du projet, puis présente les futures opportunités d'amélioration de la solution.</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1 : Cadre Général du Projet</w:t>
      </w:r>
    </w:p>
    <w:p>
      <w:pPr>
        <w:pStyle w:val="Heading2"/>
        <w:spacing w:after="80" w:before="180"/>
        <w:outlineLvl w:val="1"/>
      </w:pPr>
      <w:r>
        <w:rPr>
          <w:rFonts w:ascii="Times New Roman" w:cs="Times New Roman" w:eastAsia="Times New Roman" w:hAnsi="Times New Roman"/>
          <w:b/>
          <w:bCs/>
          <w:color w:val="000000"/>
          <w:sz w:val="28"/>
          <w:szCs w:val="28"/>
        </w:rPr>
        <w:t xml:space="preserve">1.1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pose le contexte général de ce projet de fin d'études en décrivant l'organisme d'accueil (l'entreprise d'accueil), ainsi que le cadre opérationnel de notre travail. Nous établissons un diagnostic de l'existant d'atelier afin d'identifier les problématiques d'exécution de la production et de justifier la réalisation d'une solution logicielle personnalisée. Enfin, nous présentons la démarche de gestion de projet agile Scrum retenue ainsi que les standards de modélisation choisis pour mener à bien la conception.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1.2 Cadre du Projet</w:t>
      </w:r>
    </w:p>
    <w:p>
      <w:pPr>
        <w:pStyle w:val="Heading3"/>
        <w:spacing w:after="60" w:before="120"/>
        <w:outlineLvl w:val="2"/>
      </w:pPr>
      <w:r>
        <w:rPr>
          <w:rFonts w:ascii="Times New Roman" w:cs="Times New Roman" w:eastAsia="Times New Roman" w:hAnsi="Times New Roman"/>
          <w:b/>
          <w:bCs/>
          <w:color w:val="000000"/>
          <w:sz w:val="24"/>
          <w:szCs w:val="24"/>
        </w:rPr>
        <w:t xml:space="preserve">1.2.1 Description Générale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"Nexora" consiste à concevoir, développer et déployer une plateforme d'information centralisée sur mesure. Cette solution vise à unifier, automatiser et optimiser l'ensemble des processus logistiques, commerciaux et décisionnels de l'entreprise [..........]. Elle englobe une application d'administration web multi-rôles et une application mobile dédiée aux marchands partenaires (vendeurs).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1.2.2 Présentation de l'Organisme d'Accueil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cadre de réalisation de ce projet s'inscrit au sein d'un groupe industriel international d'équipementier automobile (Tier-1) spécialisé dans l'injection thermoplastique et l'assemblage de composants automobiles de haute précision. L'entreprise opère sur plusieurs sites de production stratégiques : les usines de Tunisie (Kondar et Sousse) et l'usine de République Tchèque (Brno - CZ1).</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L'infrastructure industrielle comprend un parc complet de 108 machines réelles (presses à injecter Demag Systec 50T à 420T, Arburg 50T à 500T, Billion 150T à 320T, Engel vertical, robots de soudure laser Inautec 1 à 7, bancs d'éclatement et de test d'étanchéité Huber Suhner) interconnectées à un Data Warehouse d'entreprise (dbDWH) alimenté par l'ERP Microsoft Dynamics NAV (Navision).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Ses activités principales s'articulent autour de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 fabrication et l'assemblage de pièces automobiles de haute exigence pour de grands constructeurs mondiaux : Valeo, Bosch, Delphi / Aptiv, Continental, Porsche, Mann+Hummel, Renault / Nissan, Nexteer, YAPP.</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L'exploitation d'ateliers spécialisés : Injection Plastique (TN1-INJE, TN2-INJ), Assemblage &amp; Tests (TN1-ASSE, TN2-ASSE), Soudure Spéciale (CZA), Moulage de Précision (CZM) et Contrôle Qualité Permanent (CZQ).</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Le calcul et l'analyse continue du Taux de Rendement Global (TRG/OEE) des machines pour évaluer et maximiser la productivité globale.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 gestion intégrée des stocks et le suivi chronologique de plus de 1,5 million de mouvements réels de matières premières et produits finis (FACT_ILE).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L'analyse prédictive et l'aide à la décision par Machine Learning (Prophet, ARIMA) pour anticiper la charge d'atelier et la consommation de composants sur 30 jours.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1.2.3 Fiche d'Identité de l'Entreprise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mieux cerner l'environnement industriel du projet, nous présentons ci-dessous sa fiche d'identité opérationnelle et technique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193"/>
        <w:gridCol w:w="5473"/>
      </w:tblGrid>
      <w:tr>
        <w:trPr>
          <w:tblHeader/>
        </w:trPr>
        <w:tc>
          <w:tcPr>
            <w:tcW w:type="dxa" w:w="319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Caractéristique</w:t>
            </w:r>
          </w:p>
        </w:tc>
        <w:tc>
          <w:tcPr>
            <w:tcW w:type="dxa" w:w="547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Détail de l'entreprise</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Raison Sociale</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Groupe Industriel Plasturgie &amp; Équipementier Automobile</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Secteur d'Activité</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Industrie Automobile (Tier-1), Injection Plastique &amp; Assemblage</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Sites de Production</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Tunisie (Usines de Kondar et Sousse) &amp; République Tchèque (Usine de Brno - CZ1)</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Principaux Clients</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Valeo, Bosch, Delphi/Aptiv, Continental, Porsche, Mann+Hummel, Renault, Nexteer, YAPP</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d'Information</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 Microsoft Dynamics NAV, Data Warehouse (dbDWH), Spring Boot 3, React Metronic 8, FastAPI Python</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Parc Machines</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108 machines réelles (Demag, Arburg, Billion, Engel, Inautec, Huber Suhner)</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Volumétrie Données</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Plus de 3 millions de transactions historiques (1.5M ILE, 876k CLE, 814k Stock)</w:t>
            </w:r>
          </w:p>
        </w:tc>
      </w:tr>
    </w:tbl>
    <w:p>
      <w:pPr>
        <w:spacing w:after="100" w:before="100"/>
        <w:jc w:val="center"/>
      </w:pPr>
      <w:r>
        <w:rPr>
          <w:rFonts w:ascii="Times New Roman" w:cs="Times New Roman" w:eastAsia="Times New Roman" w:hAnsi="Times New Roman"/>
          <w:i/>
          <w:iCs/>
          <w:color w:val="595959"/>
          <w:sz w:val="20"/>
          <w:szCs w:val="20"/>
        </w:rPr>
        <w:t xml:space="preserve">Tableau 1.1 : Fiche d'identité de l'entreprise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1.2.4 Organisation Multi-Sites et Ateliers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L'organisation industrielle s'articule autour de centres de charge et d'ateliers complémentaires répartis sur les différents sites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Site Tunisie (Kondar &amp; Sousse)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regroupe les ateliers d'injection thermoplastique lourde (TN1-INJE, TN2-INJ) et les lignes d'assemblage complexes (TN1-ASSE, TN2-ASSE) pour flotteurs de carburant, réservoirs et modules SCR.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Site République Tchèque (Brno - CZ1)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dédié aux technologies de soudure laser robotisée (CZA avec Inautec 1..7), au moulage de précision (CZM) et aux lignes de contrôle qualité permanent (CZQ).</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Informatique &amp; Data Science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assure l'alimentation du Data Warehouse (dbDWH) et l'intégration des modèles prédictifs d'aide à la décision.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Logistique &amp; Supply Chain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gère les flux physiques, la traçabilité des lots et la valorisation financière des stocks multi-sites.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1.3 Analyse de l'Existant</w:t>
      </w:r>
    </w:p>
    <w:p>
      <w:pPr>
        <w:pStyle w:val="Heading3"/>
        <w:spacing w:after="60" w:before="120"/>
        <w:outlineLvl w:val="2"/>
      </w:pPr>
      <w:r>
        <w:rPr>
          <w:rFonts w:ascii="Times New Roman" w:cs="Times New Roman" w:eastAsia="Times New Roman" w:hAnsi="Times New Roman"/>
          <w:b/>
          <w:bCs/>
          <w:color w:val="000000"/>
          <w:sz w:val="24"/>
          <w:szCs w:val="24"/>
        </w:rPr>
        <w:t xml:space="preserve">1.3.1 Étude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des outils et méthodes de travail actuellement en place au sein de l'atelier révèle une gestion artisanale et non informatisée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Fiches papier de production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opérateurs notent manuellement le début et la fin d'usinage de chaque pièce, sans horodatage fiable.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Feuilles de calcul Excel fragmentées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utilisées pour récapituler les volumes de production hebdomadaires et l'inventaire des stocks. Source fréquente d'erreurs, de pertes de données et d'écarts d'inventaire.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de calcul de rendement (TRG)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TRG des postes de travail n'est pas quantifié automatiquement, rendant difficile l'évaluation de l'efficacité globale de l'atelier.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Pas de vision prédictive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planification des réapprovisionnements est réactive, ce qui provoque régulièrement des ruptures de stock critiques ou du surstockage coûteux.</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1.3.2 Étude des Solutions Existantes sur le Marché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justifier le développement d'une solution personnalisée, il convient de dresser un bilan comparatif des progiciels de gestion intégrés (ERP/MES) existants sur le marché, tant au niveau international qu'au niveau des solutions locales :</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Progiciels ERP/MES à l'échelle internationale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Des progiciels industriels de renommée mondiale comme SAP ERP (module PP/MM) ou Siemens Opcenter proposent de gérer l'intégralité de la chaîne de fabrication, le suivi des machines et l'ordonnancement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Avantages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API robustes et standardisées, intégrations CMS en un clic, fonctionnalités prêtes à l'emploi (gestion des retours, étiquettes).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Limites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Coût d'acquisition et d'intégration prohibitif pour les PME tunisiennes, grande complexité de paramétrage, et lourdeur d'utilisation nécessitant une longue formation.</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Solutions d'ateliers basées sur des tableurs et outils simples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 nombreux ateliers locaux s'appuient sur des solutions maison développées sous Microsoft Access ou des feuilles Excel partagées.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Avantages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Solution gratuite, nativement connectée aux opérations du transporteur concerné.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Limites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Absence de connexion directe avec les machines d'atelier (pas d'acquisition de données en temps réel), risque élevé de corruption de données lors des accès simultanés, aucun module d'intelligence artificielle prédictive intégré, et manque d'une interface web moderne et réactive pour les opérateurs.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1.3.3 Critique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détaillée du fonctionnement interne de l'atelier met en évidence plusieurs faiblesses opérationnelles majeures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Ruptures d'information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stockage d'informations sur fiches papier empêche toute analyse instantanée des performances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de temps réel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statuts de livraison ne sont pas synchronisés automatiquement entre l'atelier, la gestion de stock et le Data Warehouse.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Silo de données d'inventaire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stocks ne sont pas reliés dynamiquement à la consommation réelle d'atelier, ce qui entraîne de fréquentes ruptures de matières premières.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d'anticipation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manque de modèles prédictifs empêche de planifier efficacement la production future et l'approvisionnement.</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32"/>
        <w:gridCol w:w="1649"/>
        <w:gridCol w:w="1649"/>
        <w:gridCol w:w="1832"/>
        <w:gridCol w:w="1704"/>
      </w:tblGrid>
      <w:tr>
        <w:trPr>
          <w:tblHeader/>
        </w:trPr>
        <w:tc>
          <w:tcPr>
            <w:tcW w:type="dxa" w:w="183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w:t>
            </w:r>
          </w:p>
        </w:tc>
        <w:tc>
          <w:tcPr>
            <w:tcW w:type="dxa" w:w="164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Suivi TRG Temps Réel</w:t>
            </w:r>
          </w:p>
        </w:tc>
        <w:tc>
          <w:tcPr>
            <w:tcW w:type="dxa" w:w="164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Analyses Prédictives (IA)</w:t>
            </w:r>
          </w:p>
        </w:tc>
        <w:tc>
          <w:tcPr>
            <w:tcW w:type="dxa" w:w="183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Simplicité &amp; Ergonomie</w:t>
            </w:r>
          </w:p>
        </w:tc>
        <w:tc>
          <w:tcPr>
            <w:tcW w:type="dxa" w:w="170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Coût Global</w:t>
            </w:r>
          </w:p>
        </w:tc>
      </w:tr>
      <w:tr>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ERP/MES Industriels (SAP, Siemens)</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(Très complet)</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Optionnel (Coûteux à configurer)</w:t>
            </w:r>
          </w:p>
        </w:tc>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Complexe (Courbe d'apprentissage longue)</w:t>
            </w:r>
          </w:p>
        </w:tc>
        <w:tc>
          <w:tcPr>
            <w:tcW w:type="dxa" w:w="170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 (Licences et intégration majeures)</w:t>
            </w:r>
          </w:p>
        </w:tc>
      </w:tr>
      <w:tr>
        <w:tc>
          <w:tcPr>
            <w:tcW w:type="dxa" w:w="183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Systèmes basés sur Excel / Access</w:t>
            </w:r>
          </w:p>
        </w:tc>
        <w:tc>
          <w:tcPr>
            <w:tcW w:type="dxa" w:w="164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(Uniquement saisies manuelles différées)</w:t>
            </w:r>
          </w:p>
        </w:tc>
        <w:tc>
          <w:tcPr>
            <w:tcW w:type="dxa" w:w="164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(Aucun modèle prédictif)</w:t>
            </w:r>
          </w:p>
        </w:tc>
        <w:tc>
          <w:tcPr>
            <w:tcW w:type="dxa" w:w="183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 (Interface rudimentaire)</w:t>
            </w:r>
          </w:p>
        </w:tc>
        <w:tc>
          <w:tcPr>
            <w:tcW w:type="dxa" w:w="170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(Développement interne basique)</w:t>
            </w:r>
          </w:p>
        </w:tc>
      </w:tr>
      <w:tr>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Nexora (Solution proposée)</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(Calcul automatique instantané par machine)</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(ARIMA, Prophet, K-Means, Isolation Forest)</w:t>
            </w:r>
          </w:p>
        </w:tc>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(Interface React moderne et réactive)</w:t>
            </w:r>
          </w:p>
        </w:tc>
        <w:tc>
          <w:tcPr>
            <w:tcW w:type="dxa" w:w="170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Coût initial modéré, maintenance réduite</w:t>
            </w:r>
          </w:p>
        </w:tc>
      </w:tr>
    </w:tbl>
    <w:p>
      <w:pPr>
        <w:spacing w:after="100" w:before="100"/>
        <w:jc w:val="center"/>
      </w:pPr>
      <w:r>
        <w:rPr>
          <w:rFonts w:ascii="Times New Roman" w:cs="Times New Roman" w:eastAsia="Times New Roman" w:hAnsi="Times New Roman"/>
          <w:i/>
          <w:iCs/>
          <w:color w:val="595959"/>
          <w:sz w:val="20"/>
          <w:szCs w:val="20"/>
        </w:rPr>
        <w:t xml:space="preserve">Tableau 1.3 : Étude comparative des solutions du marché</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1.3.4 Solution Proposée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Face aux limites de l'existant, nous proposons la mise en place de la plateforme d'information intelligente Nexora, centralisant et optimisant la production d'atelier et la gestion des stocks.</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Objectifs de la solution proposée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Concevoir une application web d'administration moderne, ergonomique et sécurisée, permettant aux managers et opérateurs de piloter l'atelier.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Enregistrer les configurations des postes de travail (machines) et suivre leur disponibilité en temps réel.</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Calculer à la volée le taux de rendement global (TRG/OEE) pour identifier instantanément les baisses de productivité.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Automatiser la gestion et la planification des ordres de production avec suivi d'avancement par les opérateurs.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Développer un module d'inventaire complet pour enregistrer les entrées, sorties et ajustements de stock, avec alertes sur seuils de réapprovisionnement.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Intégrer des algorithmes de Data Science (FastAPI Python) : prévision de production/stocks par Prophet et ARIMA, segmentation ABC par K-Means, et détection d'anomalies opérationnelles par Isolation Forest.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Garantir la traçabilité des modifications critiques en consignant l'intégralité des actions au sein d'une console technique (ActivityLog).</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Sécuriser les transactions de la plateforme par jetons JWT et contrôle d'accès basé sur les rôles (RBAC).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1.4 Méthodologie de Développement</w:t>
      </w:r>
    </w:p>
    <w:p>
      <w:pPr>
        <w:pStyle w:val="Heading3"/>
        <w:spacing w:after="60" w:before="120"/>
        <w:outlineLvl w:val="2"/>
      </w:pPr>
      <w:r>
        <w:rPr>
          <w:rFonts w:ascii="Times New Roman" w:cs="Times New Roman" w:eastAsia="Times New Roman" w:hAnsi="Times New Roman"/>
          <w:b/>
          <w:bCs/>
          <w:color w:val="000000"/>
          <w:sz w:val="24"/>
          <w:szCs w:val="24"/>
        </w:rPr>
        <w:t xml:space="preserve">1.4.1 Étude Comparative des Méthodologies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Sélectionner une méthodologie de gestion de projet adaptée s'avère déterminant pour garantir la réussite des développements. Le tableau comparatif suivant synthétise les caractéristiques des approches les plus répandues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24"/>
        <w:gridCol w:w="2281"/>
        <w:gridCol w:w="2281"/>
        <w:gridCol w:w="2281"/>
      </w:tblGrid>
      <w:tr>
        <w:trPr>
          <w:tblHeader/>
        </w:trPr>
        <w:tc>
          <w:tcPr>
            <w:tcW w:type="dxa" w:w="182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Cascade (Waterfall)</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Processus Unifié (UP)</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Agile Scrum (Adoptée)</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Flexibilité</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(étapes rigides)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 (itératif par phases)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(ajustements continus)</w:t>
            </w:r>
          </w:p>
        </w:tc>
      </w:tr>
      <w:tr>
        <w:tc>
          <w:tcPr>
            <w:tcW w:type="dxa" w:w="182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Visibilité client</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(produit en fin de cycle)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 (livraisons par phases)</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(démos à chaque sprint)</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risques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Tardive (en phase de test)</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Précoce (phases d'élaboration)</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Continue (revues de sprint quotidiennes)</w:t>
            </w:r>
          </w:p>
        </w:tc>
      </w:tr>
      <w:tr>
        <w:tc>
          <w:tcPr>
            <w:tcW w:type="dxa" w:w="182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Adaptabilité aux besoins</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Difficile et coûteuse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Planifiée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Immédiate (priorisation du backlog)</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Recommandation</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simples et stables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complexes bien définis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innovants et évolutifs</w:t>
            </w:r>
          </w:p>
        </w:tc>
      </w:tr>
    </w:tbl>
    <w:p>
      <w:pPr>
        <w:spacing w:after="100" w:before="100"/>
        <w:jc w:val="center"/>
      </w:pPr>
      <w:r>
        <w:rPr>
          <w:rFonts w:ascii="Times New Roman" w:cs="Times New Roman" w:eastAsia="Times New Roman" w:hAnsi="Times New Roman"/>
          <w:i/>
          <w:iCs/>
          <w:color w:val="595959"/>
          <w:sz w:val="20"/>
          <w:szCs w:val="20"/>
        </w:rPr>
        <w:t xml:space="preserve">Tableau 1.2 : Comparaison des méthodologies de gestion de projet</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1.4.2 Méthodologie Adoptée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aux exigences d'un projet logiciel complexe dans un environnement métier évolutif, la méthodologie Agile Scrum [1] [3] a été adoptée. Elle structure le développement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sprints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durée variable (de 2 à 4 semaines), couvrant l'ensemble du périmètre fonctionnel défini dans le backlog produit, pour une durée totale d'environ 4,5 mois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Découpage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sprints courts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assurant des livraisons fonctionnelles régulières.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Gestion des priorités via un backlog produit classé par niveaux de priorité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Haute / Moyenne / Basse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Coopération continue avec les différents acteurs du projet afin de valider les livrables au terme de chaque itération.</w:t>
      </w:r>
    </w:p>
    <w:p>
      <w:pPr>
        <w:spacing w:after="40" w:before="40"/>
      </w:pPr>
      <w:r>
        <w:t xml:space="preserve"/>
      </w:r>
    </w:p>
    <w:p>
      <w:pPr>
        <w:spacing w:after="80" w:before="160"/>
        <w:jc w:val="center"/>
      </w:pPr>
      <w:r>
        <w:drawing>
          <wp:inline distT="0" distB="0" distL="0" distR="0">
            <wp:extent cx="5238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261937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1.1 : Vue d'ensemble du framework Scrum</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1.5 Langage de Modélisation UML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la conception de la plateforme Nexora, le langage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UML (Unified Modeling Language)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[15] a été sélectionné comme standard de modélisation objet. UML offre un cadre formel et normalisé pour concevoir et documenter la solution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Cas d'Utilisation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modéliser les besoins fonctionnels et les interactions entre les acteurs et le système.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Séquence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spécifier les scénarios dynamiques et l'échange de messages entre les composants du système.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Classes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concevoir la structure statique des données et les relations entre les entités métiers.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d'Activité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illustrer l'enchaînement des flux de traitement et des règles métiers.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1.6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premier chapitre a permis de présenter le cadre général du projet Nexora, en introduisant l’organisme d’accueil, les problématiques logistiques identifiées ainsi que les objectifs visés. Le choix de la méthodologie Agile Scrum [1] garantit une démarche de développement incrémentale, tandis que le langage UML structure la phase de conception. La partie qui suit s'attachera à détailler l'analyse ainsi que la spécification des besoins requis pour le système.</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2 : Analyse et Spécification des Besoins</w:t>
      </w:r>
    </w:p>
    <w:p>
      <w:pPr>
        <w:pStyle w:val="Heading2"/>
        <w:spacing w:after="80" w:before="180"/>
        <w:outlineLvl w:val="1"/>
      </w:pPr>
      <w:r>
        <w:rPr>
          <w:rFonts w:ascii="Times New Roman" w:cs="Times New Roman" w:eastAsia="Times New Roman" w:hAnsi="Times New Roman"/>
          <w:b/>
          <w:bCs/>
          <w:color w:val="000000"/>
          <w:sz w:val="28"/>
          <w:szCs w:val="28"/>
        </w:rPr>
        <w:t xml:space="preserve">2.1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deuxième chapitre détaille la phase d'analyse, l'expression des exigences et la modélisation générale de la plateforme Nexora. Nous y décrivons les différents rôles utilisateurs intervenant sur le système, recensons les exigences fonctionnelles et non fonctionnels, organisons le backlog produit ordonné, puis établissons les fondations d'architecture physique, logique et de persistance de la solution.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2.2 Analyse des Besoins</w:t>
      </w:r>
    </w:p>
    <w:p>
      <w:pPr>
        <w:pStyle w:val="Heading3"/>
        <w:spacing w:after="60" w:before="120"/>
        <w:outlineLvl w:val="2"/>
      </w:pPr>
      <w:r>
        <w:rPr>
          <w:rFonts w:ascii="Times New Roman" w:cs="Times New Roman" w:eastAsia="Times New Roman" w:hAnsi="Times New Roman"/>
          <w:b/>
          <w:bCs/>
          <w:color w:val="000000"/>
          <w:sz w:val="24"/>
          <w:szCs w:val="24"/>
        </w:rPr>
        <w:t xml:space="preserve">2.2.1 Identification des Acteurs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gestion des droits d’accès et de la sécurité au sein de la plateforme s'appuie sur une politique de contrôle d'accès basée sur les rôles RBAC pour trois profils d'atelier. Chaque profil dispose d'un ensemble de droits spécifiques pour interagir avec le système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592"/>
        <w:gridCol w:w="6074"/>
      </w:tblGrid>
      <w:tr>
        <w:trPr>
          <w:tblHeader/>
        </w:trPr>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Acteur / Rôle</w:t>
            </w:r>
          </w:p>
        </w:tc>
        <w:tc>
          <w:tcPr>
            <w:tcW w:type="dxa" w:w="607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 et responsabilités</w:t>
            </w:r>
          </w:p>
        </w:tc>
      </w:tr>
      <w:tr>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Administrateur</w:t>
            </w:r>
          </w:p>
        </w:tc>
        <w:tc>
          <w:tcPr>
            <w:tcW w:type="dxa" w:w="607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technique complète : création et désactivation des comptes utilisateurs, configuration globale des rôles et permissions RBAC, consultation de la console d'audit de sécurité et de l'historique d'activité.</w:t>
            </w:r>
          </w:p>
        </w:tc>
      </w:tr>
      <w:tr>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Manager</w:t>
            </w:r>
          </w:p>
        </w:tc>
        <w:tc>
          <w:tcPr>
            <w:tcW w:type="dxa" w:w="607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 et de l'inventaire : configuration des machines d'atelier, planification et affectation des ordres de production, consultation en temps réel du rendement global, paramétrage des seuils d'alerte de stock et visualisation des prévisions d'IA.</w:t>
            </w:r>
          </w:p>
        </w:tc>
      </w:tr>
      <w:tr>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Opérateur</w:t>
            </w:r>
          </w:p>
        </w:tc>
        <w:tc>
          <w:tcPr>
            <w:tcW w:type="dxa" w:w="607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Exécution des tâches d'atelier : consultation des ordres de production affectés, mise à jour des statuts d'usinage, saisie des mouvements d'entrée et de sortie de stock d'articles, et réception des alertes de rupture.</w:t>
            </w:r>
          </w:p>
        </w:tc>
      </w:tr>
    </w:tbl>
    <w:p>
      <w:pPr>
        <w:spacing w:after="100" w:before="100"/>
        <w:jc w:val="center"/>
      </w:pPr>
      <w:r>
        <w:rPr>
          <w:rFonts w:ascii="Times New Roman" w:cs="Times New Roman" w:eastAsia="Times New Roman" w:hAnsi="Times New Roman"/>
          <w:i/>
          <w:iCs/>
          <w:color w:val="595959"/>
          <w:sz w:val="20"/>
          <w:szCs w:val="20"/>
        </w:rPr>
        <w:t xml:space="preserve">Tableau 2.1 : Acteurs du système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2.2.2 Besoins Fonctionnels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41"/>
        <w:gridCol w:w="2592"/>
        <w:gridCol w:w="5333"/>
      </w:tblGrid>
      <w:tr>
        <w:trPr>
          <w:tblHeader/>
        </w:trPr>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Code</w:t>
            </w:r>
          </w:p>
        </w:tc>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Fonctionnalité</w:t>
            </w:r>
          </w:p>
        </w:tc>
        <w:tc>
          <w:tcPr>
            <w:tcW w:type="dxa" w:w="5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F01</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et Sécurité</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par jetons JWT, contrôle d'accès basé sur les rôles RBAC pour l'administrateur, le manager et l'opérateur.</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F02</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Postes de Travail</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des machines d'atelier, suivi de leur état en direct et calcul automatique du taux de rendement global.</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F03</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Planification des ordres de production, affectation dynamique des machines d'exécution et suivi de l'avancement.</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F04</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l'Inventaire</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des niveaux de stock d'articles, saisie des mouvements d'entrée, de sortie, d'ajustement et alertes automatiques.</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F05</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de Production</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Algorithmes de prévision de volume de production comparant Prophet, ARIMA et la Régression Linéaire.</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F06</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de Stock</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de l'évolution des stocks par Prophet pour anticiper les ruptures et le surstockage.</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F07</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d'Articles</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automatique ABC des articles en stock par l'algorithme de clustering non supervisé K-Means.</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F08</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d'Anomalies</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automatique d'anomalies de fonctionnement dans l'atelier par l'algorithme Isolation Forest.</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F09</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et Alertes</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chronologique et notification des événements de stock et de production.</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F10</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Reporting et Dashboards Power BI</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de tableaux de bord décisionnels interactifs Microsoft Power BI connectés au Data Warehouse pour l'analyse des mouvements, stocks et performances.</w:t>
            </w:r>
          </w:p>
        </w:tc>
      </w:tr>
    </w:tbl>
    <w:p>
      <w:pPr>
        <w:spacing w:after="100" w:before="100"/>
        <w:jc w:val="center"/>
      </w:pPr>
      <w:r>
        <w:rPr>
          <w:rFonts w:ascii="Times New Roman" w:cs="Times New Roman" w:eastAsia="Times New Roman" w:hAnsi="Times New Roman"/>
          <w:i/>
          <w:iCs/>
          <w:color w:val="595959"/>
          <w:sz w:val="20"/>
          <w:szCs w:val="20"/>
        </w:rPr>
        <w:t xml:space="preserve">Tableau 2.2 : Liste des Fonctionnalités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2.2.3 Les besoins non fonctionnels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Performance : maintien d'un temps de réponse des API inférieur à 300 ms et optimisation des index SQL Server.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Sécurité : authentification sans état par jetons JWT, chiffrement des mots de passe par BCrypt, validation systématique des formulaires et isolation du microservice d'IA.</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Robustesse et disponibilité : tolérance aux pannes du microservice de Machine Learning avec mécanisme de secours et prévisions locales sur le frontend React.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Évolutivité et scalabilité : architecture découplée microservices facilitant l'ajout de nouveaux modèles d'IA sans impacter l'API de gestion Spring Boot.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Ergonomie et utilisabilité : interface React dynamique conçue avec le design system Metronic, tableaux de bord réactifs, visualisations d'IA interactives et notifications visuelles claires.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Maintenabilité : code structuré selon les standards Spring Boot et typage rigoureux du code React en TypeScript.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2.3 Diagramme de Cas d'Utilisation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diagramme de cas d'utilisation global modélise l'ensemble des interactions entre les trois profils d'utilisateurs (Administrateur, Manager et Opérateur) et les cas d'utilisation majeurs de la plateforme Nexora. Il fournit une vue d'ensemble de la couverture fonctionnelle du système.</w:t>
      </w:r>
    </w:p>
    <w:p>
      <w:pPr>
        <w:spacing w:after="80" w:before="160"/>
        <w:jc w:val="center"/>
      </w:pPr>
      <w:r>
        <w:drawing>
          <wp:inline distT="0" distB="0" distL="0" distR="0">
            <wp:extent cx="338359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3590" cy="47625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2.1 Diagramme de cas d'utilisation global de la plateforme Nexora</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2.4 Structure et Découpage du Projet avec SCRUM</w:t>
      </w:r>
    </w:p>
    <w:p>
      <w:pPr>
        <w:pStyle w:val="Heading3"/>
        <w:spacing w:after="60" w:before="120"/>
        <w:outlineLvl w:val="2"/>
      </w:pPr>
      <w:r>
        <w:rPr>
          <w:rFonts w:ascii="Times New Roman" w:cs="Times New Roman" w:eastAsia="Times New Roman" w:hAnsi="Times New Roman"/>
          <w:b/>
          <w:bCs/>
          <w:color w:val="000000"/>
          <w:sz w:val="24"/>
          <w:szCs w:val="24"/>
        </w:rPr>
        <w:t xml:space="preserve">2.4.1 Identification de l'équipe Scrum</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22"/>
        <w:gridCol w:w="2592"/>
        <w:gridCol w:w="3852"/>
      </w:tblGrid>
      <w:tr>
        <w:trPr>
          <w:tblHeader/>
        </w:trPr>
        <w:tc>
          <w:tcPr>
            <w:tcW w:type="dxa" w:w="22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Scrum</w:t>
            </w:r>
          </w:p>
        </w:tc>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Acteur</w:t>
            </w:r>
          </w:p>
        </w:tc>
        <w:tc>
          <w:tcPr>
            <w:tcW w:type="dxa" w:w="385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Responsabilités principales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Product Owner</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w:t>
            </w:r>
          </w:p>
        </w:tc>
        <w:tc>
          <w:tcPr>
            <w:tcW w:type="dxa" w:w="385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Définition et priorisation du backlog produit, arbitrage des besoins et validation des fonctionnalités livrées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Scrum Master</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w:t>
            </w:r>
          </w:p>
        </w:tc>
        <w:tc>
          <w:tcPr>
            <w:tcW w:type="dxa" w:w="385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Animation des cérémonies Scrum, gestion des obstacles et garantie de l'application du cadre méthodologique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Imen</w:t>
            </w:r>
          </w:p>
        </w:tc>
        <w:tc>
          <w:tcPr>
            <w:tcW w:type="dxa" w:w="385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conception, développement et tests des User Stories</w:t>
            </w:r>
          </w:p>
        </w:tc>
      </w:tr>
    </w:tbl>
    <w:p>
      <w:pPr>
        <w:spacing w:after="100" w:before="100"/>
        <w:jc w:val="center"/>
      </w:pPr>
      <w:r>
        <w:rPr>
          <w:rFonts w:ascii="Times New Roman" w:cs="Times New Roman" w:eastAsia="Times New Roman" w:hAnsi="Times New Roman"/>
          <w:i/>
          <w:iCs/>
          <w:color w:val="595959"/>
          <w:sz w:val="20"/>
          <w:szCs w:val="20"/>
        </w:rPr>
        <w:t xml:space="preserve">Tableau 2.3 : Équipe Scrum et responsabilités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2.4.2 Planification de Sprints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s'étale sur une durée globale de stage de 6 mois (24 semaines), structuré selon le cadre Scrum en 5 Sprints de réalisation d'une durée de 4 semaines chacun (respectant la norme Agile de 4 semaines maximum par sprint)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111"/>
        <w:gridCol w:w="2778"/>
        <w:gridCol w:w="1481"/>
        <w:gridCol w:w="741"/>
        <w:gridCol w:w="1111"/>
        <w:gridCol w:w="1444"/>
      </w:tblGrid>
      <w:tr>
        <w:trPr>
          <w:tblHeader/>
        </w:trPr>
        <w:tc>
          <w:tcPr>
            <w:tcW w:type="dxa" w:w="111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277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Thématique principale</w:t>
            </w:r>
          </w:p>
        </w:tc>
        <w:tc>
          <w:tcPr>
            <w:tcW w:type="dxa" w:w="14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Nb US</w:t>
            </w:r>
          </w:p>
        </w:tc>
        <w:tc>
          <w:tcPr>
            <w:tcW w:type="dxa" w:w="111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w:t>
            </w:r>
          </w:p>
        </w:tc>
        <w:tc>
          <w:tcPr>
            <w:tcW w:type="dxa" w:w="144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 et gestion des accès (JWT, RBAC)</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c>
          <w:tcPr>
            <w:tcW w:type="dxa" w:w="277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 et machines d'atelier (TRG)</w:t>
            </w:r>
          </w:p>
        </w:tc>
        <w:tc>
          <w:tcPr>
            <w:tcW w:type="dxa" w:w="14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5-9</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US</w:t>
            </w:r>
          </w:p>
        </w:tc>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 SP</w:t>
            </w:r>
          </w:p>
        </w:tc>
        <w:tc>
          <w:tcPr>
            <w:tcW w:type="dxa" w:w="1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stocks, Mouvements DWH &amp; Power BI</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10-14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c>
          <w:tcPr>
            <w:tcW w:type="dxa" w:w="277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Machine Learning et Data Science (FastAPI, Prophet)</w:t>
            </w:r>
          </w:p>
        </w:tc>
        <w:tc>
          <w:tcPr>
            <w:tcW w:type="dxa" w:w="14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15-19</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US</w:t>
            </w:r>
          </w:p>
        </w:tc>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 SP</w:t>
            </w:r>
          </w:p>
        </w:tc>
        <w:tc>
          <w:tcPr>
            <w:tcW w:type="dxa" w:w="1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5</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ActivityLog &amp; Recette finale globale</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20-24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bl>
    <w:p>
      <w:pPr>
        <w:spacing w:after="100" w:before="100"/>
        <w:jc w:val="center"/>
      </w:pPr>
      <w:r>
        <w:rPr>
          <w:rFonts w:ascii="Times New Roman" w:cs="Times New Roman" w:eastAsia="Times New Roman" w:hAnsi="Times New Roman"/>
          <w:i/>
          <w:iCs/>
          <w:color w:val="595959"/>
          <w:sz w:val="20"/>
          <w:szCs w:val="20"/>
        </w:rPr>
        <w:t xml:space="preserve">Tableau 2.4 : Planification des 5 Sprints (4 semaines max) sur 6 mois de stage PFE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2.4.3 Le Product Backlog</w:t>
      </w:r>
    </w:p>
    <w:p>
      <w:pPr>
        <w:pStyle w:val="Heading3"/>
        <w:spacing w:after="60" w:before="120"/>
        <w:outlineLvl w:val="2"/>
      </w:pPr>
      <w:r>
        <w:rPr>
          <w:rFonts w:ascii="Times New Roman" w:cs="Times New Roman" w:eastAsia="Times New Roman" w:hAnsi="Times New Roman"/>
          <w:b/>
          <w:bCs/>
          <w:color w:val="000000"/>
          <w:sz w:val="24"/>
          <w:szCs w:val="24"/>
        </w:rPr>
        <w:t xml:space="preserve">2.4.3.1 Synthèse du Backlog</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148"/>
        <w:gridCol w:w="4518"/>
      </w:tblGrid>
      <w:tr>
        <w:trPr>
          <w:tblHeader/>
        </w:trPr>
        <w:tc>
          <w:tcPr>
            <w:tcW w:type="dxa" w:w="414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w:t>
            </w:r>
          </w:p>
        </w:tc>
        <w:tc>
          <w:tcPr>
            <w:tcW w:type="dxa" w:w="451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Fonctionnalités (Epics)</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User Stories</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27</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Estimation totale (Story Points)</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98 SP</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Sprints de Réalisation</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Sprints</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Durée par Sprint</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 (Norme Scrum)</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Durée totale du stage PFE</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mois (24 semaines)</w:t>
            </w:r>
          </w:p>
        </w:tc>
      </w:tr>
    </w:tbl>
    <w:p>
      <w:pPr>
        <w:spacing w:after="100" w:before="100"/>
        <w:jc w:val="center"/>
      </w:pPr>
      <w:r>
        <w:rPr>
          <w:rFonts w:ascii="Times New Roman" w:cs="Times New Roman" w:eastAsia="Times New Roman" w:hAnsi="Times New Roman"/>
          <w:i/>
          <w:iCs/>
          <w:color w:val="595959"/>
          <w:sz w:val="20"/>
          <w:szCs w:val="20"/>
        </w:rPr>
        <w:t xml:space="preserve">Tableau 2.5 : Indicateurs de synthèse du Backlog Produit (Stage PFE 6 Mois)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2.4.3.2 Backlog Produit Complet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backlog produit regroupe l’ensemble des besoins fonctionnels identifiés pour le projet, exprimés sous forme de récits utilisateurs (</w:t>
      </w:r>
      <w:r>
        <w:rPr>
          <w:rFonts w:ascii="Times New Roman" w:cs="Times New Roman" w:eastAsia="Times New Roman" w:hAnsi="Times New Roman"/>
          <w:b w:val="false"/>
          <w:bCs w:val="false"/>
          <w:i/>
          <w:iCs/>
          <w:color w:val="1A1A1A"/>
          <w:sz w:val="24"/>
          <w:szCs w:val="24"/>
        </w:rPr>
        <w:t xml:space="preserve">User Stories</w:t>
      </w:r>
      <w:r>
        <w:rPr>
          <w:rFonts w:ascii="Times New Roman" w:cs="Times New Roman" w:eastAsia="Times New Roman" w:hAnsi="Times New Roman"/>
          <w:b w:val="false"/>
          <w:bCs w:val="false"/>
          <w:i w:val="false"/>
          <w:iCs w:val="false"/>
          <w:color w:val="1A1A1A"/>
          <w:sz w:val="24"/>
          <w:szCs w:val="24"/>
        </w:rPr>
        <w:t xml:space="preserve">) [2] selon le formalisme standard : « En tant que [rôle], je veux [action] afin de [bénéfice]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backlog présente uniquement les exigences fonctionnelles du système et ne détaille pas les aspects techniques liés à la réalisation. Les tâches de développement, les choix d’architecture ainsi que les détails d’implémentation sont définis dans les backlogs de sprint présentés dans la suite de ce document.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ci-dessous présente la liste ordonnée des récits utilisateurs, regroupés par domaine fonctionnel, priorisés selon les niveaux Haute / Moyenne / Basse et répartis sur les cinq sprints du projet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594"/>
        <w:gridCol w:w="1781"/>
        <w:gridCol w:w="2671"/>
        <w:gridCol w:w="890"/>
        <w:gridCol w:w="1088"/>
        <w:gridCol w:w="692"/>
        <w:gridCol w:w="950"/>
      </w:tblGrid>
      <w:tr>
        <w:trPr>
          <w:tblHeader/>
        </w:trPr>
        <w:tc>
          <w:tcPr>
            <w:tcW w:type="dxa" w:w="59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17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Thème</w:t>
            </w:r>
          </w:p>
        </w:tc>
        <w:tc>
          <w:tcPr>
            <w:tcW w:type="dxa" w:w="267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89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108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6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95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de manière sécurisée afin d'accéder aux fonctions de la plateforme.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sécuriser l'accès aux routes de l'API afin de protéger les données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définir des permissions par rôle afin de restreindre l'accès selon les rôles (ADMIN, MANAGER, OPERATEUR)</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gérer les comptes utilisateurs afin d'ajouter, modifier ou désactiver les collaborateurs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disposer d'un menu adapté à mon rôle afin de naviguer de manière intuitive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le monitoring de sécurité afin de détecter les tentatives d'accès suspectes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les postes de travail (machines) d'atelier afin de voir leur disponibilité</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 TRG (taux de rendement global) en direct afin de piloter la productivité</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planifier et créer un ordre de production afin d'organiser le planning d'atelier</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affecter une machine à un ordre de production afin de distribuer les tâches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mettre à jour le statut d'exécution d'un ordre afin de signaler l'avancement</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enregistrer et suivre les temps d'arrêt des machines afin d'analyser les pannes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0.8</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l'état et la quantité en stock de chaque article afin de prévenir les ruptures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saisir une entrée de stock afin de mettre à jour le niveau d'inventaire suite aux livraisons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saisir une sortie de stock afin de tracer l'utilisation des matières premières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réaliser un ajustement de stock afin de corriger les anomalies constatées lors d'un inventaire</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paramétrer des seuils d'alerte critiques afin d'être averti avant une rupture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recevoir des alertes de rupture en temps réel afin de déclencher les réapprovisionnements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les volumes de production futurs (ARIMA, Prophet, Régression Linéaire) afin de planifier les ressources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comparer les performances et erreurs des modèles (MAE, RMSE, MAPE) afin de retenir le plus fiable</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l'évolution des niveaux de stock afin d'ajuster le stockage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segmenter les articles en stock (K-Means, analyse ABC) afin d'identifier les pièces critiques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détecter les anomalies de fonctionnement (Isolation Forest) afin de prévenir les défaillances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5.1</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consulter les alertes système afin d'anticiper les ruptures et anomalies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S5</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5.2</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historiser les notifications d'alertes afin de disposer d'un historique complet d'audit</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S5</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2.6 : Backlog produit complet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2.5 Environnement de développement</w:t>
      </w:r>
    </w:p>
    <w:p>
      <w:pPr>
        <w:pStyle w:val="Heading3"/>
        <w:spacing w:after="60" w:before="120"/>
        <w:outlineLvl w:val="2"/>
      </w:pPr>
      <w:r>
        <w:rPr>
          <w:rFonts w:ascii="Times New Roman" w:cs="Times New Roman" w:eastAsia="Times New Roman" w:hAnsi="Times New Roman"/>
          <w:b/>
          <w:bCs/>
          <w:color w:val="000000"/>
          <w:sz w:val="24"/>
          <w:szCs w:val="24"/>
        </w:rPr>
        <w:t xml:space="preserve">2.5.1 Environnement matériel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développement et le déploiement de la plateforme Nexora ont été réalisés à l’aide d’un environnement matériel adapté aux besoins du projet, garantissant des conditions de travail favorables au développement, aux tests et à l’exécution de l’application.</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2.5.2 Environnement logiciel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la configuration logicielle globale incluant les systèmes d'exploitation, frameworks, bibliothèques de code, serveurs et utilitaires exploités lors des phases d'implémentation, de validation et d'hébergement de l'application.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2.5 Technologies Utilisées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sept choix technologiques structurants du projet. Pour chaque technologie, sa présentation générale, ses caractéristiques clés et son rôle dans l'architecture logicielle sont explicités.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2.7.1 Spring Boot</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Spring Boot est un framework Java d'entreprise reconnu pour sa robustesse, sa modularité et son niveau élevé de sécurité. Il permet de concevoir une architecture backend évolutive et sécurisée, exposant des API REST performantes et assurant la gestion de la logique métier applicative.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2.7.2 React.js</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React.js est une bibliothèque JavaScript moderne dédiée à la création d'interfaces utilisateur réactives, modulaires et monopages. Il offre une expérience utilisateur fluide, un rendu dynamique des composants web et une gestion réactive de l'état applicatif.</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2.7.3 FastAPI</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FastAPI est un framework web Python moderne à haute performance, spécialement conçu pour la construction d'API rapides et adaptées aux traitements d'analyse de données. Il assure l'exécution fluide des algorithmes de Data Science, de prévision temporelle et d'apprentissage automatique avec une communication asynchrone réactive.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2.7.4 Microsoft SQL Server</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SQL Server est un système de gestion de base de données relationnelle et de Data Warehouse d'entreprise haute performance. Il garantit le stockage sécurisé, la structuration optimale des données décisionnelles et l'exécution rapide de requêtes analytiques complexes.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2.7.5 Microsoft Power BI</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Power BI est une solution d'analyse décisionnelle et de Business Intelligence d'entreprise. Elle permet la modélisation multi-dimensionnelle des données, la création de tableaux de bord interactifs et la restitution visuelle des indicateurs clés de performance.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2.7.6 Git &amp; GitHub</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Git est un système de contrôle de version décentralisé associé à la plateforme d'hébergement collaboratif GitHub. Ils assurent la traçabilité des modifications du code source, le travail collaboratif rigoureux et la gestion des versions sur l'ensemble des modules logiciels.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2.7.7 Uvicorn</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Uvicorn est un serveur web ASGI ultra-rapide pour Python, optimisé pour le traitement asynchrone des requêtes HTTP. Il sert de moteur d'exécution réactif pour les microservices d'analyse et de traitement, garantissant un temps de réponse minimal lors des échanges de données.</w:t>
      </w:r>
    </w:p>
    <w:p>
      <w:pPr>
        <w:spacing w:after="40" w:before="40"/>
      </w:pPr>
      <w:r>
        <w:t xml:space="preserve"/>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2.6 Architecture Proposée</w:t>
      </w:r>
    </w:p>
    <w:p>
      <w:pPr>
        <w:pStyle w:val="Heading3"/>
        <w:spacing w:after="60" w:before="120"/>
        <w:outlineLvl w:val="2"/>
      </w:pPr>
      <w:r>
        <w:rPr>
          <w:rFonts w:ascii="Times New Roman" w:cs="Times New Roman" w:eastAsia="Times New Roman" w:hAnsi="Times New Roman"/>
          <w:b/>
          <w:bCs/>
          <w:color w:val="000000"/>
          <w:sz w:val="24"/>
          <w:szCs w:val="24"/>
        </w:rPr>
        <w:t xml:space="preserve">2.6.1 Architecture Logique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structure interne de la plateforme Nexora repose sur une architecture en couches logiques étanches. Cette décomposition assure le découplage des composants et facilite la maintenance évolutive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de Présentation (React) : Interface utilisateur monopage pour la console d'administration et d'exécution d'atelier.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de Sécurité (Spring Security &amp; JWT) : Interception des requêtes HTTP pour la vérification du jeton et le contrôle d'accès basé sur les rôles RBAC.</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Contrôleur REST : Points d'accès d'API exposés sous Spring Boot et FastAPI qui valident la conformité des requêtes et sérialisent les données en JSON.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Service Métier : Logique métier de l'application (calcul du taux de rendement, affectations de production, alertes de stock et exécution des algorithmes d'IA).</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Persistance &amp; Repositories : Accès aux données relationnelles du Data Warehouse Microsoft SQL Server via Spring Data JPA.</w:t>
      </w:r>
    </w:p>
    <w:p>
      <w:pPr>
        <w:spacing w:after="40" w:before="40"/>
      </w:pPr>
      <w:r>
        <w:t xml:space="preserve"/>
      </w:r>
    </w:p>
    <w:p>
      <w:pPr>
        <w:spacing w:after="80" w:before="160"/>
        <w:jc w:val="center"/>
      </w:pPr>
      <w:r>
        <w:drawing>
          <wp:inline distT="0" distB="0" distL="0" distR="0">
            <wp:extent cx="5414036"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14036" cy="333375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2.2 : Architecture logique du système Nexora</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2.6.2 Architecture Physique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L'infrastructure de déploiement et d'hébergement physique d'Nexora est organisée selon une architecture distribuée moderne et sécurisée, séparant l'API de gestion, le service d'IA et la base de données centralisée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de Base de Données Centralisé : Exécute le SGBDR Microsoft SQL Server sur son port par défaut 1433, assurant la persistance sécurisée des données.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Applicatif Back-end : Héberge le service Spring Boot API exposant les endpoints REST sécurisés pour le client web.</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IA &amp; Machine Learning : Exécute le service FastAPI sous Uvicorn pour traiter les prévisions temporelles Prophet, le clustering K-Means et les anomalies.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Navigateur Client Web : Client React exécuté au sein du navigateur de l'utilisateur (manager ou opérateur) communiquant via HTTPS.</w:t>
      </w:r>
    </w:p>
    <w:p>
      <w:pPr>
        <w:spacing w:after="40" w:before="40"/>
      </w:pPr>
      <w:r>
        <w:t xml:space="preserve"/>
      </w:r>
    </w:p>
    <w:p>
      <w:pPr>
        <w:spacing w:after="80" w:before="160"/>
        <w:jc w:val="center"/>
      </w:pPr>
      <w:r>
        <w:drawing>
          <wp:inline distT="0" distB="0" distL="0" distR="0">
            <wp:extent cx="4733296"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33296" cy="333375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2.3 : Architecture physique du système Nexora</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2.6.3 Diagramme de classes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conceptuel présente l'organisation logique des informations au sein de la plateforme Nexora en structurant les entités métiers avec leurs relations d'association. Les éléments clés de ce modèle reposent sur les classes de production et de stock : Utilisateur, Role, Machine, MachineStop, ProductionOrder, Article, StockMovement et KpiLog.</w:t>
      </w:r>
    </w:p>
    <w:p>
      <w:pPr>
        <w:spacing w:after="80" w:before="160"/>
        <w:jc w:val="center"/>
      </w:pPr>
      <w:r>
        <w:drawing>
          <wp:inline distT="0" distB="0" distL="0" distR="0">
            <wp:extent cx="5238750" cy="40189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38750" cy="401898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2.4 : Diagramme de classes global de la plateforme Nexora</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2.7 Déploiement de l'Application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mise en production de la solution applicative s'appuie sur le déploiement conteneurisé et les serveurs d'application Java/Python connectés à SQL Server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principales étapes opérationnelles retenues sont les suivantes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Déploiement de la base relationnelle Microsoft SQL Server sur l'infrastructure d'entreprise.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Compilation du package JAR Spring Boot 3 et exécution du serveur Tomcat intégré.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Configuration de l'environnement virtuel Python 3.10 et démarrage du serveur ML FastAPI via Uvicorn.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Déploiement des fichiers statiques du frontend React 18.</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Configuration des variables d'environnement de connexion SQL Server et endpoints d'IA FastAPI.</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Exécution et validation des tests d'intégration unitaires finaux.</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L'utilisation systématique de SSH permet d'assurer des livraisons rapides, transparentes et hautement protégées contre les intrusions en production.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la phase d'analyse des exigences, des choix technologiques et de conception globale a permis de définir une architecture robuste pour la plateforme Nexora. L'articulation de l'API Spring Boot, de l'interface web React, du service FastAPI (Python) et de la base SQL Server garantit des temps de réponse faibles, une sécurité rigoureuse et une évolutivité fonctionnelle. Le chapitre suivant détaille l'implémentation de cette architecture itération par itération.</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3 : Sprint 1 – Sécurité et Accès</w:t>
      </w:r>
    </w:p>
    <w:p>
      <w:pPr>
        <w:pStyle w:val="Heading2"/>
        <w:spacing w:after="80" w:before="180"/>
        <w:outlineLvl w:val="1"/>
      </w:pPr>
      <w:r>
        <w:rPr>
          <w:rFonts w:ascii="Times New Roman" w:cs="Times New Roman" w:eastAsia="Times New Roman" w:hAnsi="Times New Roman"/>
          <w:b/>
          <w:bCs/>
          <w:color w:val="000000"/>
          <w:sz w:val="28"/>
          <w:szCs w:val="28"/>
        </w:rPr>
        <w:t xml:space="preserve">3.1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expose le déroulement et les livrables du Sprint 1, dédié à la sécurité et à la gestion des accès. Nous y étudions le backlog de cette itération, les spécifications fonctionnelles d'authentification par jetons JWT, la modélisation des rôles RBAC (ADMIN, MANAGER, OPERATEUR) et les consoles d'administration.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de manière sécurisée afin d'accéder aux fonctionnalités de la plateforme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formulaire de connexion et sécurisation par jetons JWT</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sécuriser l'accès aux routes de l'API afin de protéger les données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du middleware de protection des routes d'API par authentification JWT</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définir des permissions par rôle afin de restreindre l'accès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matrice RBAC (ADMIN, MANAGER, OPERATEUR)</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gérer les comptes utilisateurs afin d'ajouter, modifier ou désactiver les collaborateurs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 la page d'administration des utilisateurs (CRUD)</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disposer d'un menu adapté à mon rôle afin de naviguer de manière intuitive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dynamique du menu du frontend React en fonction du rôle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le monitoring de sécurité afin de détecter les tentatives suspectes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console d'historiques techniques ActivityLog</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3.1 : Sprint Backlog du Sprint 1 – Sécurité et 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3.3.1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les fonctionnalités liées à la sécurité d'accès de la plateforme. Il permet de visualiser comment l'administrateur et les différents services s'authentifient et gèrent les sessions actives. Les principales interactions présentées permettent de décrire le contrôle d'accès basé sur les rôles.</w:t>
      </w:r>
    </w:p>
    <w:p>
      <w:pPr>
        <w:spacing w:after="80" w:before="160"/>
        <w:jc w:val="center"/>
      </w:pPr>
      <w:r>
        <w:drawing>
          <wp:inline distT="0" distB="0" distL="0" distR="0">
            <wp:extent cx="5238750" cy="35588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38750" cy="3558886"/>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3.1 Diagramme de cas d'utilisation : Sprint 1 – Sécurité et Accès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S'authentifier et gérer la session JWT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Tout utilisateur (Administrateur, Responsable Production, Gestionnaire Stock, Opérateur 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L'utilisateur dispose d'un compte actif et d'identifiants valides.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accède à la mire de connexion Metronic UI.</w:t>
            </w:r>
          </w:p>
          <w:p>
            <w:pPr>
              <w:spacing w:after="20" w:before="20" w:line="240" w:lineRule="auto"/>
            </w:pPr>
            <w:r>
              <w:rPr>
                <w:rFonts w:ascii="Times New Roman" w:cs="Times New Roman" w:eastAsia="Times New Roman" w:hAnsi="Times New Roman"/>
                <w:sz w:val="20"/>
                <w:szCs w:val="20"/>
              </w:rPr>
              <w:t xml:space="preserve">2. Il saisit son adresse e-mail et son mot de passe.</w:t>
            </w:r>
          </w:p>
          <w:p>
            <w:pPr>
              <w:spacing w:after="20" w:before="20" w:line="240" w:lineRule="auto"/>
            </w:pPr>
            <w:r>
              <w:rPr>
                <w:rFonts w:ascii="Times New Roman" w:cs="Times New Roman" w:eastAsia="Times New Roman" w:hAnsi="Times New Roman"/>
                <w:sz w:val="20"/>
                <w:szCs w:val="20"/>
              </w:rPr>
              <w:t xml:space="preserve">3. Le backend Spring Boot valide les identifiants et génère un jeton JWT.</w:t>
            </w:r>
          </w:p>
          <w:p>
            <w:pPr>
              <w:spacing w:after="20" w:before="20" w:line="240" w:lineRule="auto"/>
            </w:pPr>
            <w:r>
              <w:rPr>
                <w:rFonts w:ascii="Times New Roman" w:cs="Times New Roman" w:eastAsia="Times New Roman" w:hAnsi="Times New Roman"/>
                <w:sz w:val="20"/>
                <w:szCs w:val="20"/>
              </w:rPr>
              <w:t xml:space="preserve">4. Le jeton est décodé par le frontend pour déterminer le rôle et les autorisations.</w:t>
            </w:r>
          </w:p>
          <w:p>
            <w:pPr>
              <w:spacing w:after="20" w:before="20" w:line="240" w:lineRule="auto"/>
            </w:pPr>
            <w:r>
              <w:rPr>
                <w:rFonts w:ascii="Times New Roman" w:cs="Times New Roman" w:eastAsia="Times New Roman" w:hAnsi="Times New Roman"/>
                <w:sz w:val="20"/>
                <w:szCs w:val="20"/>
              </w:rPr>
              <w:t xml:space="preserve">5. L'utilisateur est redirigé vers son tableau de bord spécifique.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session est active et le menu dynamique est adapté aux droits de l'utilisateur.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Identifiants invalides : message d'alerte. Compte désactivé : accès refusé.</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Gérer les rôles et droits d'accès RBAC</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Administrateur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L'Administrateur est authentifié.</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L'administrateur accède au module de gestion des utilisateurs.</w:t>
            </w:r>
          </w:p>
          <w:p>
            <w:pPr>
              <w:spacing w:after="20" w:before="20" w:line="240" w:lineRule="auto"/>
            </w:pPr>
            <w:r>
              <w:rPr>
                <w:rFonts w:ascii="Times New Roman" w:cs="Times New Roman" w:eastAsia="Times New Roman" w:hAnsi="Times New Roman"/>
                <w:sz w:val="20"/>
                <w:szCs w:val="20"/>
              </w:rPr>
              <w:t xml:space="preserve">2. Il sélectionne un utilisateur et modifie son rôle (ADMIN, MANAGER, OPERATEUR).</w:t>
            </w:r>
          </w:p>
          <w:p>
            <w:pPr>
              <w:spacing w:after="20" w:before="20" w:line="240" w:lineRule="auto"/>
            </w:pPr>
            <w:r>
              <w:rPr>
                <w:rFonts w:ascii="Times New Roman" w:cs="Times New Roman" w:eastAsia="Times New Roman" w:hAnsi="Times New Roman"/>
                <w:sz w:val="20"/>
                <w:szCs w:val="20"/>
              </w:rPr>
              <w:t xml:space="preserve">3. Le système enregistre les modifications dans SQL Server.</w:t>
            </w:r>
          </w:p>
          <w:p>
            <w:pPr>
              <w:spacing w:after="20" w:before="20" w:line="240" w:lineRule="auto"/>
            </w:pPr>
            <w:r>
              <w:rPr>
                <w:rFonts w:ascii="Times New Roman" w:cs="Times New Roman" w:eastAsia="Times New Roman" w:hAnsi="Times New Roman"/>
                <w:sz w:val="20"/>
                <w:szCs w:val="20"/>
              </w:rPr>
              <w:t xml:space="preserve">4. Les autorisations d'accès aux API et aux vues du frontend sont mises à jour.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droits d'accès de l'utilisateur sont immédiatement appliqués.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Tentative d'auto-révocation du dernier compte administrateur : action bloquée.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3.3.3 Diagramme de Séquence : Authentification d'un utilisateur et obtention du jeton JWT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modélise le cas d'utilisation « S'authentifier » : il illustre les échanges entre l'utilisateur, le front-end React et l'API Spring Boot pour la validation des identifiants, la génération du jeton JWT et la redirection vers le tableau de bord.</w:t>
      </w:r>
    </w:p>
    <w:p>
      <w:pPr>
        <w:spacing w:after="80" w:before="160"/>
        <w:jc w:val="center"/>
      </w:pPr>
      <w:r>
        <w:drawing>
          <wp:inline distT="0" distB="0" distL="0" distR="0">
            <wp:extent cx="5238750" cy="363181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238750" cy="3631816"/>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3.2 Diagramme de séquence : Authentification d'un utilisateur et obtention du jeton JWT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3.4.1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la structure statique des données d'authentification du système. Il permet de visualiser la classe Utilisateur et l'énumération de ses différents rôles applicatifs. Les principales entités présentées permettent de décrire le modèle de données assurant le contrôle d'accès.</w:t>
      </w:r>
    </w:p>
    <w:p>
      <w:pPr>
        <w:spacing w:after="80" w:before="160"/>
        <w:jc w:val="center"/>
      </w:pPr>
      <w:r>
        <w:drawing>
          <wp:inline distT="0" distB="0" distL="0" distR="0">
            <wp:extent cx="2027583"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027583"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3.3 Diagramme de classes : Sprint 1 – Sécurité et Accès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 déroulement général du processus de connexion et de vérification d'accès. Il permet de visualiser les étapes de validation des informations d'identification et la redirection automatique selon le rôle.</w:t>
      </w:r>
    </w:p>
    <w:p>
      <w:pPr>
        <w:spacing w:after="80" w:before="160"/>
        <w:jc w:val="center"/>
      </w:pPr>
      <w:r>
        <w:drawing>
          <wp:inline distT="0" distB="0" distL="0" distR="0">
            <wp:extent cx="5238750" cy="38477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238750" cy="384777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3.4 Diagramme d'activité : Sprint 1 – Sécurité et 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sprint a permis de mettre en œuvre le mécanisme d'authentification sécurisée par jeton JWT ainsi que la gestion des accès basée sur les rôles (RBAC). Les trois profils (ADMIN, MANAGER, OPERATEUR) ont été configurés au niveau applicatif. L'interface utilisateur s'adapte dynamiquement selon le rôle identifié afin de restreindre l'affichage aux seuls modules autorisés. Un journal d'audit a été implémenté pour consigner les actions d'administration sensibles avec horodatage.</w:t>
      </w:r>
    </w:p>
    <w:p>
      <w:pPr>
        <w:spacing w:after="80" w:before="160"/>
        <w:jc w:val="center"/>
      </w:pPr>
      <w:r>
        <w:drawing>
          <wp:inline distT="0" distB="0" distL="0" distR="0">
            <wp:extent cx="5238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238750" cy="261937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3.5 Captures d'écran de l'interface : Interface d'Authentification et Gestion des Rôles (RBAC)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1, un volume de 27 cas de test a été exécuté lors de la validation (comprenant 15 tests unitaires sous PHPUnit et 12 tests d'intégration via Postman), avec 26 succès et 1 anomalie mineure temporairement identifiée sur la restriction d'accès aux routes d'API (soit un taux de réussite de 96,3 % en pré-livraison).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de la logique RBAC, du chiffrement BCrypt et de la structure JWT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Méthodes de sécurité validées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d'accès et restrictions des routes API selon les rôles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Security</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Accès bloqué aux non-autorisés</w:t>
            </w:r>
          </w:p>
        </w:tc>
      </w:tr>
    </w:tbl>
    <w:p>
      <w:pPr>
        <w:spacing w:after="100" w:before="100"/>
        <w:jc w:val="center"/>
      </w:pPr>
      <w:r>
        <w:rPr>
          <w:rFonts w:ascii="Times New Roman" w:cs="Times New Roman" w:eastAsia="Times New Roman" w:hAnsi="Times New Roman"/>
          <w:i/>
          <w:iCs/>
          <w:color w:val="595959"/>
          <w:sz w:val="20"/>
          <w:szCs w:val="20"/>
        </w:rPr>
        <w:t xml:space="preserve">Tableau 3.2 : Tests du Sprint 1</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objectifs de ce sprint ont été atteints avec la réalisation des User Stories planifiées. La mise en place de la couche de sécurité et de la structure RBAC a été menée conformément aux exigences de conception. Les tests d'authentification et de routage ont été exécutés afin de vérifier les règles d'accès.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premier sprint a permis d'implémenter les fondations de sécurité du système Nexora. Grâce à l'authentification JWT et la gestion fine des rôles (RBAC), les accès à la plateforme sont sécurisés et toutes les transactions critiques sont tracées.</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4 : Sprint 2 – Gestion de Production et Suivi des Machines d'Atelier</w:t>
      </w:r>
    </w:p>
    <w:p>
      <w:pPr>
        <w:pStyle w:val="Heading2"/>
        <w:spacing w:after="80" w:before="180"/>
        <w:outlineLvl w:val="1"/>
      </w:pPr>
      <w:r>
        <w:rPr>
          <w:rFonts w:ascii="Times New Roman" w:cs="Times New Roman" w:eastAsia="Times New Roman" w:hAnsi="Times New Roman"/>
          <w:b/>
          <w:bCs/>
          <w:color w:val="000000"/>
          <w:sz w:val="28"/>
          <w:szCs w:val="28"/>
        </w:rPr>
        <w:t xml:space="preserve">4.1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décrit la réalisation du Sprint 2, axé sur la gestion de production et le suivi des machines d'atelier. Il présente l'affectation des ordres de fabrication (table DWH FACT_CLE), le calcul automatique du Taux de Rendement Global (TRG/OEE) en temps réel et la gestion des temps d'arrêt.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les postes de travail (machines) d'atelier afin de voir leur disponibilité</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page de liste et de suivi des machines</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 TRG en direct afin de piloter la productivité</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l'affichage dynamique et calcul en temps réel du TRG par machine</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planifier et créer un ordre de production afin d'organiser le planning d'atelier</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du formulaire de création et planification d'ordre de production</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affecter une machine à un ordre de production afin de distribuer les tâches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la liaison dynamique entre ordre et machine en base de données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mettre à jour le statut d'exécution d'un ordre afin de signaler l'avancement</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boutons d'état d'ordre de production sur le frontend</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enregistrer et suivre les temps d'arrêt des machines afin d'analyser les pannes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l'historique et de la comptabilisation des durées de pannes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0.8</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4.1 : Sprint Backlog du Sprint 2 – Gestion de Production et Suivi des Machines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4.3.1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présente les cas d'utilisation liés à la gestion opérationnelle de la production et des machines d'atelier.</w:t>
      </w:r>
    </w:p>
    <w:p>
      <w:pPr>
        <w:spacing w:after="80" w:before="160"/>
        <w:jc w:val="center"/>
      </w:pPr>
      <w:r>
        <w:drawing>
          <wp:inline distT="0" distB="0" distL="0" distR="0">
            <wp:extent cx="5238750" cy="43411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238750" cy="434114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4.1 Diagramme de cas d'utilisation : Sprint 2 – Gestion de Production et Suivi des Machines d'Atelier</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Suivre les machines d'atelier et calculer le TRG</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Opérateur 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machines d'atelier et les postes de travail sont configurés.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consulte la vue de suivi des machines en temps réel.</w:t>
            </w:r>
          </w:p>
          <w:p>
            <w:pPr>
              <w:spacing w:after="20" w:before="20" w:line="240" w:lineRule="auto"/>
            </w:pPr>
            <w:r>
              <w:rPr>
                <w:rFonts w:ascii="Times New Roman" w:cs="Times New Roman" w:eastAsia="Times New Roman" w:hAnsi="Times New Roman"/>
                <w:sz w:val="20"/>
                <w:szCs w:val="20"/>
              </w:rPr>
              <w:t xml:space="preserve">2. Le système extrait les statuts (En Marche, En Panne, En Réglage) et les heures de fonctionnement.</w:t>
            </w:r>
          </w:p>
          <w:p>
            <w:pPr>
              <w:spacing w:after="20" w:before="20" w:line="240" w:lineRule="auto"/>
            </w:pPr>
            <w:r>
              <w:rPr>
                <w:rFonts w:ascii="Times New Roman" w:cs="Times New Roman" w:eastAsia="Times New Roman" w:hAnsi="Times New Roman"/>
                <w:sz w:val="20"/>
                <w:szCs w:val="20"/>
              </w:rPr>
              <w:t xml:space="preserve">3. Le backend calcule dynamiquement le Taux de Rendement Global (TRG).</w:t>
            </w:r>
          </w:p>
          <w:p>
            <w:pPr>
              <w:spacing w:after="20" w:before="20" w:line="240" w:lineRule="auto"/>
            </w:pPr>
            <w:r>
              <w:rPr>
                <w:rFonts w:ascii="Times New Roman" w:cs="Times New Roman" w:eastAsia="Times New Roman" w:hAnsi="Times New Roman"/>
                <w:sz w:val="20"/>
                <w:szCs w:val="20"/>
              </w:rPr>
              <w:t xml:space="preserve">4. Les indicateurs KPI et graphiques de performance sont mis à jour.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taux TRG et les alertes d'arrêt machine sont affichés en direct.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Donnée machine manquante : affichage du dernier état connu avec avertissement.</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Planifier et suivre les Ordres de Fabrication (OF)</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Des requêtes SQL optimisées extraient les ordres de fabrication depuis la table FACT_CLE du DWH.</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responsable accède à la liste des Ordres de Fabrication.</w:t>
            </w:r>
          </w:p>
          <w:p>
            <w:pPr>
              <w:spacing w:after="20" w:before="20" w:line="240" w:lineRule="auto"/>
            </w:pPr>
            <w:r>
              <w:rPr>
                <w:rFonts w:ascii="Times New Roman" w:cs="Times New Roman" w:eastAsia="Times New Roman" w:hAnsi="Times New Roman"/>
                <w:sz w:val="20"/>
                <w:szCs w:val="20"/>
              </w:rPr>
              <w:t xml:space="preserve">2. Il filtre les OF par statut (Planifié, En cours, Terminé, En retard) et par période.</w:t>
            </w:r>
          </w:p>
          <w:p>
            <w:pPr>
              <w:spacing w:after="20" w:before="20" w:line="240" w:lineRule="auto"/>
            </w:pPr>
            <w:r>
              <w:rPr>
                <w:rFonts w:ascii="Times New Roman" w:cs="Times New Roman" w:eastAsia="Times New Roman" w:hAnsi="Times New Roman"/>
                <w:sz w:val="20"/>
                <w:szCs w:val="20"/>
              </w:rPr>
              <w:t xml:space="preserve">3. Il consulte les détails d'un OF (quantités prévues/réalisées, coût unitaire).</w:t>
            </w:r>
          </w:p>
          <w:p>
            <w:pPr>
              <w:spacing w:after="20" w:before="20" w:line="240" w:lineRule="auto"/>
            </w:pPr>
            <w:r>
              <w:rPr>
                <w:rFonts w:ascii="Times New Roman" w:cs="Times New Roman" w:eastAsia="Times New Roman" w:hAnsi="Times New Roman"/>
                <w:sz w:val="20"/>
                <w:szCs w:val="20"/>
              </w:rPr>
              <w:t xml:space="preserve">4. Il met à jour le statut ou réassigne l'OF à une machine.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statut de l'ordre de fabrication est actualisé dans la base du Data Warehouse.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Conflit de capacité machine : alerte de surréservation affichée.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4.3.3 Diagramme de Séquence : Planification et affectation d'un ordre de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montre l'affectation et le lancement d'un ordre de production avec calcul en arrière-plan du TRG.</w:t>
      </w:r>
    </w:p>
    <w:p>
      <w:pPr>
        <w:spacing w:after="80" w:before="160"/>
        <w:jc w:val="center"/>
      </w:pPr>
      <w:r>
        <w:drawing>
          <wp:inline distT="0" distB="0" distL="0" distR="0">
            <wp:extent cx="5238750" cy="29973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238750" cy="299736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4.2 Diagramme de séquence : Planification et affectation d'un ordre de production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4.4.1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classes modélise les entités de production : Machine, OrdreProduction, et Utilisateur.</w:t>
      </w:r>
    </w:p>
    <w:p>
      <w:pPr>
        <w:spacing w:after="80" w:before="160"/>
        <w:jc w:val="center"/>
      </w:pPr>
      <w:r>
        <w:drawing>
          <wp:inline distT="0" distB="0" distL="0" distR="0">
            <wp:extent cx="3659798"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659798"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4.3 Diagramme de classes : Sprint 2 – Gestion de Production et Suivi des Machines d'Atelier</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les étapes de cycle de vie d'un ordre de production, de sa création à son achèvement d'usinage.</w:t>
      </w:r>
    </w:p>
    <w:p>
      <w:pPr>
        <w:spacing w:after="80" w:before="160"/>
        <w:jc w:val="center"/>
      </w:pPr>
      <w:r>
        <w:drawing>
          <wp:inline distT="0" distB="0" distL="0" distR="0">
            <wp:extent cx="2067881"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067881"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4.4 Diagramme d'activité : Sprint 2 – Gestion de Production et Suivi des Machines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production et postes de travail est structuré pour maximiser l'efficience de l'atelier. Les ordres de production sont affectés à des machines spécifiques et leur statut de réalisation met à jour automatiquement le taux de rendement global (TRG).</w:t>
      </w:r>
    </w:p>
    <w:p>
      <w:pPr>
        <w:spacing w:after="80" w:before="160"/>
        <w:jc w:val="center"/>
      </w:pPr>
      <w:r>
        <w:drawing>
          <wp:inline distT="0" distB="0" distL="0" distR="0">
            <wp:extent cx="5238750" cy="2845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238750" cy="284536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4.5 Captures d'écran de l'interface : Tableau de bord de suivi des machines et Taux TRG en direct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2, un volume de 56 cas de test a été exécuté (comprenant 32 tests unitaires, 18 tests d'intégration et 6 tests fonctionnels), affichant 52 succès et 4 anomalies mineures (notamment des cas limites de timeout lors des appels aux API de transporteurs tiers), résolues avant la mise en production (soit un taux de réussite de 92,9 % en validation initiale).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du TRG en fonction de la disponibilité, de la performance et de la qualité</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Calculs conformes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et affectation d'ordre de production via l'API REST</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Boot MockMVC</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Liaison Machine-Ordre validée</w:t>
            </w:r>
          </w:p>
        </w:tc>
      </w:tr>
    </w:tbl>
    <w:p>
      <w:pPr>
        <w:spacing w:after="100" w:before="100"/>
        <w:jc w:val="center"/>
      </w:pPr>
      <w:r>
        <w:rPr>
          <w:rFonts w:ascii="Times New Roman" w:cs="Times New Roman" w:eastAsia="Times New Roman" w:hAnsi="Times New Roman"/>
          <w:i/>
          <w:iCs/>
          <w:color w:val="595959"/>
          <w:sz w:val="20"/>
          <w:szCs w:val="20"/>
        </w:rPr>
        <w:t xml:space="preserve">Tableau 4.2 : Tests du Sprint 2</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sprint a finalisé la couche de gestion de production et de calcul de rendement machine. Les tests unitaires et d'intégration ont validé l'affectation correcte des ordres sans collision de planning.</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deuxième sprint a permis de mettre en œuvre le suivi de production d'atelier. La gestion des machines et des ordres de production offre une visibilité totale sur l'avancement et le calcul automatique du rendement (TRG).</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5 : Sprint 3 – Gestion des Stocks, Mouvements DWH, Power BI et Refonte UI Metronic</w:t>
      </w:r>
    </w:p>
    <w:p>
      <w:pPr>
        <w:pStyle w:val="Heading2"/>
        <w:spacing w:after="80" w:before="180"/>
        <w:outlineLvl w:val="1"/>
      </w:pPr>
      <w:r>
        <w:rPr>
          <w:rFonts w:ascii="Times New Roman" w:cs="Times New Roman" w:eastAsia="Times New Roman" w:hAnsi="Times New Roman"/>
          <w:b/>
          <w:bCs/>
          <w:color w:val="000000"/>
          <w:sz w:val="28"/>
          <w:szCs w:val="28"/>
        </w:rPr>
        <w:t xml:space="preserve">5.1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détaille la conception et l'implémentation du Sprint 3, traitant de la gestion des stocks, des mouvements DWH FACT_ILE (1.5M lignes), de la refonte globale sous le design system Metronic 8, du panneau de filtrage dynamique multi-critères et du module d'exportation Excel (.xlsx).</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l'inventaire global DWH afin de piloter l'approvisionnement</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l'interface de suivi du stock connecté à la table DWH ASTOCKDATE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l'historique des mouvements réels de l'ERP DWH</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Exploitation de la table FACT_ILE (1,502,702 lignes) avec optimisation par index clusterisé PK (Entry No_ DESC)</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enregistrer une entrée/sortie de stock afin de suivre la consommation</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formulaires d'enregistrement et de validation des mouvements d'atelier</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effectuer un filtrage dynamique multi-critères sur les données de stock et production</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panneau de filtres escamotable (recherche textuelle, dates, statuts, catégories, sites)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exporter les résultats filtrés sous format Excel (.xlsx)</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du module d'exportation dynamique XLSX avec colonnes auto-dimensionnées et en-têtes explicites</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bénéficier d'une interface professionnelle 100% conforme au standard Metronic</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Refonte globale de la UI (cards flush, badges light, form-controls solid, pagination et icônes KTIcon)</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3.7</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décideur, je veux consulter un tableau de bord décisionnel Power BI connecté au Data Warehouse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des visuels interactifs Power BI (KPIs, TRG, mouvements FACT_ILE, valorisation stock)</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5.1 : Sprint Backlog du Sprint 3 – Gestion des Stocks, Mouvements DWH, Power BI et Refonte UI Metronic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5.3.1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les fonctionnalités liées au suivi des stocks. Il permet de visualiser les actions de l'opérateur et du manager pour gérer l'état physique du dépôt.</w:t>
      </w:r>
    </w:p>
    <w:p>
      <w:pPr>
        <w:spacing w:after="80" w:before="160"/>
        <w:jc w:val="center"/>
      </w:pPr>
      <w:r>
        <w:drawing>
          <wp:inline distT="0" distB="0" distL="0" distR="0">
            <wp:extent cx="5238750" cy="351201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38750" cy="351201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5.1 Diagramme de cas d'utilisation : Sprint 3 – Gestion des Stocks, Mouvements DWH, Power BI et Refonte UI Metronic</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Consulter l'inventaire d'articles et exporter en Excel (XLSX)</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Gestionnaire Stock, Responsable Production</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données d'inventaire ASTOCKDATE sont à jour dans le Data Warehouse.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gestionnaire accède à la console de gestion des stocks Metronic.</w:t>
            </w:r>
          </w:p>
          <w:p>
            <w:pPr>
              <w:spacing w:after="20" w:before="20" w:line="240" w:lineRule="auto"/>
            </w:pPr>
            <w:r>
              <w:rPr>
                <w:rFonts w:ascii="Times New Roman" w:cs="Times New Roman" w:eastAsia="Times New Roman" w:hAnsi="Times New Roman"/>
                <w:sz w:val="20"/>
                <w:szCs w:val="20"/>
              </w:rPr>
              <w:t xml:space="preserve">2. Il applique des filtres multi-critères (site, famille d'article, niveau de stock).</w:t>
            </w:r>
          </w:p>
          <w:p>
            <w:pPr>
              <w:spacing w:after="20" w:before="20" w:line="240" w:lineRule="auto"/>
            </w:pPr>
            <w:r>
              <w:rPr>
                <w:rFonts w:ascii="Times New Roman" w:cs="Times New Roman" w:eastAsia="Times New Roman" w:hAnsi="Times New Roman"/>
                <w:sz w:val="20"/>
                <w:szCs w:val="20"/>
              </w:rPr>
              <w:t xml:space="preserve">3. Il consulte la liste paginée et les alertes de seuil critique.</w:t>
            </w:r>
          </w:p>
          <w:p>
            <w:pPr>
              <w:spacing w:after="20" w:before="20" w:line="240" w:lineRule="auto"/>
            </w:pPr>
            <w:r>
              <w:rPr>
                <w:rFonts w:ascii="Times New Roman" w:cs="Times New Roman" w:eastAsia="Times New Roman" w:hAnsi="Times New Roman"/>
                <w:sz w:val="20"/>
                <w:szCs w:val="20"/>
              </w:rPr>
              <w:t xml:space="preserve">4. Il clique sur le bouton d'export Excel XLSX.</w:t>
            </w:r>
          </w:p>
          <w:p>
            <w:pPr>
              <w:spacing w:after="20" w:before="20" w:line="240" w:lineRule="auto"/>
            </w:pPr>
            <w:r>
              <w:rPr>
                <w:rFonts w:ascii="Times New Roman" w:cs="Times New Roman" w:eastAsia="Times New Roman" w:hAnsi="Times New Roman"/>
                <w:sz w:val="20"/>
                <w:szCs w:val="20"/>
              </w:rPr>
              <w:t xml:space="preserve">5. Le système génère un fichier Excel structuré contenant uniquement la vue filtrée.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fichier Excel horodaté est téléchargé par l'utilisateur.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Aucune donnée correspondant aux filtres : l'exportation produit un fichier contenant les en-têtes.</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Analyser l'historique des mouvements DWH (FACT_ILE) et Dashboards Power BI</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Gestionnaire Stock, Administrateur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table FACT_ILE (1,5M lignes) est indexée sur Entry No_ DESC.</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accède à l'onglet des mouvements réels d'entrée/sortie.</w:t>
            </w:r>
          </w:p>
          <w:p>
            <w:pPr>
              <w:spacing w:after="20" w:before="20" w:line="240" w:lineRule="auto"/>
            </w:pPr>
            <w:r>
              <w:rPr>
                <w:rFonts w:ascii="Times New Roman" w:cs="Times New Roman" w:eastAsia="Times New Roman" w:hAnsi="Times New Roman"/>
                <w:sz w:val="20"/>
                <w:szCs w:val="20"/>
              </w:rPr>
              <w:t xml:space="preserve">2. Le backend exécute la requête SQL optimisée et retourne les 5 000 derniers mouvements en 448 ms.</w:t>
            </w:r>
          </w:p>
          <w:p>
            <w:pPr>
              <w:spacing w:after="20" w:before="20" w:line="240" w:lineRule="auto"/>
            </w:pPr>
            <w:r>
              <w:rPr>
                <w:rFonts w:ascii="Times New Roman" w:cs="Times New Roman" w:eastAsia="Times New Roman" w:hAnsi="Times New Roman"/>
                <w:sz w:val="20"/>
                <w:szCs w:val="20"/>
              </w:rPr>
              <w:t xml:space="preserve">3. L'utilisateur interagit avec les 6 tableaux de bord décisionnels Power BI intégrés.</w:t>
            </w:r>
          </w:p>
          <w:p>
            <w:pPr>
              <w:spacing w:after="20" w:before="20" w:line="240" w:lineRule="auto"/>
            </w:pPr>
            <w:r>
              <w:rPr>
                <w:rFonts w:ascii="Times New Roman" w:cs="Times New Roman" w:eastAsia="Times New Roman" w:hAnsi="Times New Roman"/>
                <w:sz w:val="20"/>
                <w:szCs w:val="20"/>
              </w:rPr>
              <w:t xml:space="preserve">4. Il analyse la valorisation du stock en Dinars Tunisiens (DT) et les rotations d'articles.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L'historique des mouvements et les analyses Power BI sont affichés de manière ultra-fluide.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Timeout base de données : intercepté et géré par le cache d'indexation.</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5.3.3 Diagramme de Séquence : Enregistrement d'un mouvement d'entrée de stock d'articles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les échanges entre l'opérateur, l'interface React et le service backend Spring Boot pour la validation et l'enregistrement du mouvement en base de données.</w:t>
      </w:r>
    </w:p>
    <w:p>
      <w:pPr>
        <w:spacing w:after="80" w:before="160"/>
        <w:jc w:val="center"/>
      </w:pPr>
      <w:r>
        <w:drawing>
          <wp:inline distT="0" distB="0" distL="0" distR="0">
            <wp:extent cx="5238750" cy="34621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238750" cy="346213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5.2 Diagramme de séquence : Enregistrement d'un mouvement d'entrée de stock d'articles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5.4.1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la structure statique du module d'inventaire. Il présente les relations entre l'Article, le Mouvement de Stock (entrée/sortie) et les seuils d'alerte.</w:t>
      </w:r>
    </w:p>
    <w:p>
      <w:pPr>
        <w:spacing w:after="80" w:before="160"/>
        <w:jc w:val="center"/>
      </w:pPr>
      <w:r>
        <w:drawing>
          <wp:inline distT="0" distB="0" distL="0" distR="0">
            <wp:extent cx="1389727"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389727"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5.3 Diagramme de classes : Sprint 3 – Gestion des Stocks, Mouvements DWH, Power BI et Refonte UI Metronic</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processus d'ajustement et de vérification des stocks lors des opérations de contrôle physique.</w:t>
      </w:r>
    </w:p>
    <w:p>
      <w:pPr>
        <w:spacing w:after="80" w:before="160"/>
        <w:jc w:val="center"/>
      </w:pPr>
      <w:r>
        <w:drawing>
          <wp:inline distT="0" distB="0" distL="0" distR="0">
            <wp:extent cx="5135054"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35054"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5.4 Diagramme d'activité : Sprint 3 – Gestion des Stocks, Mouvements DWH, Power BI et Refonte UI Metronic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gestion des stocks et mouvements a bénéficié d'une avancée majeure : l'interconnexion directe avec la table FACT_ILE (Item Ledger Entry) du Data Warehouse comprenant 1 502 702 lignes de mouvements ERP réels. Une optimisation poussée des requêtes SQL natives au niveau du backend Spring Boot (indexation clusterisée sur Entry No_) a permis d'abaisser le temps de réponse de +30s (timeout) à seulement 448 ms pour 5 000 enregistrements. L'ensemble des interfaces (Production, Stock, Mouvements) a été entièrement réécrit sous le design system Metronic 8 (badges light, form-control-solid, cartes flush et composants KTIcon). Un système de filtrage multi-critères avancé ainsi qu'un module d'exportation Excel (.xlsx) automatique des lignes filtrées viennent enrichir l'expérience utilisateur.</w:t>
      </w:r>
    </w:p>
    <w:p>
      <w:pPr>
        <w:spacing w:after="80" w:before="160"/>
        <w:jc w:val="center"/>
      </w:pPr>
      <w:r>
        <w:drawing>
          <wp:inline distT="0" distB="0" distL="0" distR="0">
            <wp:extent cx="5238750" cy="2845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238750" cy="284536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5.5 Captures d'écran de l'interface : Console de gestion d'inventaire, entrées/sorties et alertes de seuils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3, un volume de 46 cas de test a été exécuté (comprenant 24 tests unitaires, 14 tests d'intégration et 8 tests fonctionnels), affichant 43 succès et 3 anomalies mineures liées à la synchronisation d'état sur l'application Flutter et à des latences réseau (soit un taux de réussite de 93,5 % en validation initiale).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niveaux de stock et décodage des types d'entrées/sorties FACT_ILE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Règles métiers et parsing validés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 performance SQL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Exécution des requêtes TOP 5000 sur FACT_ILE via l'index PK clusterisé</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Data JPA / SQL Server</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Temps de réponse &lt; 450 ms</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d'export &amp; filtres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des filtres multi-critères et génération des fichiers XLSX</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Jest / XLSX</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Exports conformes aux filtres</w:t>
            </w:r>
          </w:p>
        </w:tc>
      </w:tr>
    </w:tbl>
    <w:p>
      <w:pPr>
        <w:spacing w:after="100" w:before="100"/>
        <w:jc w:val="center"/>
      </w:pPr>
      <w:r>
        <w:rPr>
          <w:rFonts w:ascii="Times New Roman" w:cs="Times New Roman" w:eastAsia="Times New Roman" w:hAnsi="Times New Roman"/>
          <w:i/>
          <w:iCs/>
          <w:color w:val="595959"/>
          <w:sz w:val="20"/>
          <w:szCs w:val="20"/>
        </w:rPr>
        <w:t xml:space="preserve">Tableau 5.2 : Tests du Sprint 3</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objectifs de ce sprint ont été pleinement atteints. L'intégrité des données DWH et les performances de traitement sur plus de 1.5 million de lignes ont été validées avec succès lors des tests de charge.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troisième sprint a finalisé la gestion de l'inventaire. Le suivi des mouvements de stock et les alertes automatiques sur seuils critiques fiabilisent l'approvisionnement et préviennent les ruptures.</w:t>
      </w:r>
    </w:p>
    <w:p>
      <w:pPr>
        <w:spacing w:after="40" w:before="40"/>
      </w:pPr>
      <w:r>
        <w:t xml:space="preserve"/>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5.5 Système de Filtrage Dynamique Multi-Critères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aux exigences de supervision industrielle et offrir une ergonomie de recherche réactive aux gestionnaires de stock et responsables de production, un composant de filtrage avancé multi-critères escamotable a été conçu et intégré sur l'ensemble des modules (Production, Stock Articles, et Mouvements)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Recherche textuelle multi-champs instantanée : Filtrage en temps réel par mot-clé sur les références d'articles, désignations, codes d'ordres de fabrication, sites industriels et noms d'opérateurs.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Filtrage par Statut et Catégorie : Sélection dynamique par menus déroulants Metronic des états d'ordres (Terminé, En cours, Planifié, En attente, En retard) et des familles d'articles.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Filtrage Temporel par Plage de Dates : Sélection des périodes d'analyse par sélecteurs de date (Du / Au) appliqués dynamiquement aux données transactionnelles.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Pilules de sélection rapide et réinitialisation : Boutons de filtre rapide par nature de mouvement (Tous, ↓ Entrées, ↑ Sorties) et badge indicateur du nombre de filtres actifs avec bouton de remise à zéro en un clic.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5.6 Module d'Exportation Excel Automatique (.xlsx)</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permettre l'exploitation décisionnelle externe et la transmission des états de stock et de production aux services comptables et logistiques, un module d'exportation Excel haute performance a été implémenté côté client via la bibliothèque JavaScript XLSX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Exportation basée sur le résultat filtré : Seules les lignes actuellement sélectionnées et visibles après application des filtres dynamiques sont incluses dans l'export Excel (Export selon filtres et vues).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Structure et formatage professionnel : Mise en forme automatique des tableaux Excel avec en-têtes explicites en français, formatage des types de données (numériques, devises DT, horodatages) et dimensionnement automatique de la largeur des colonnes.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Nommage et traçabilité des fichiers : Génération automatique de noms de fichiers horodatés uniques (ex: production_2026-07-24.xlsx, stock_2026-07-24.xlsx, mouvements_stock_2026-07-24.xlsx).</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5.7 Tableau de Bord et Reporting Décisionnel sous Microsoft Power BI</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 la plateforme web React et des API Spring Boot, un tableau de bord décisionnel interactif a été conçu sous Microsoft Power BI. Directement connecté au Data Warehouse d'entreprise SQL Server (dbDWH), ce rapport Power BI permet aux décideurs et responsables d'usine de croiser les indicateurs de production et de stock avec une grande flexibilité d'analyse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Interconnexion native au Data Warehouse dbDWH : Connexion directe aux tables de faits FACT_CLE, ASTOCKDATE et FACT_ILE pour une restitution décisionnelle temps réel sans duplication de données.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Visualisations interactives et filtres croisés : Utilisation de cartes KPI, histogrammes empilés, courbes d'évolution temporelle et sélecteurs de site/catégorie synchronisés.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Analyse multi-dimensionnelle du stock et de la production : Suivi de la valeur financière globale du stock en Dinars Tunisiens, de l'efficience du rendement et des volumes de mouvements réels.</w:t>
      </w:r>
    </w:p>
    <w:p>
      <w:pPr>
        <w:spacing w:after="40" w:before="40"/>
      </w:pPr>
      <w:r>
        <w:t xml:space="preserve"/>
      </w:r>
    </w:p>
    <w:p>
      <w:pPr>
        <w:spacing w:after="80" w:before="160"/>
        <w:jc w:val="center"/>
      </w:pPr>
      <w:r>
        <w:drawing>
          <wp:inline distT="0" distB="0" distL="0" distR="0">
            <wp:extent cx="5524500" cy="29027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24500" cy="290275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5.6 : Tableau de bord Power BI — Supervision décisionnelle globale et indicateurs de performance</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6 : Sprint 4 – Intelligence Artificielle et Data Science</w:t>
      </w:r>
    </w:p>
    <w:p>
      <w:pPr>
        <w:pStyle w:val="Heading2"/>
        <w:spacing w:after="80" w:before="180"/>
        <w:outlineLvl w:val="1"/>
      </w:pPr>
      <w:r>
        <w:rPr>
          <w:rFonts w:ascii="Times New Roman" w:cs="Times New Roman" w:eastAsia="Times New Roman" w:hAnsi="Times New Roman"/>
          <w:b/>
          <w:bCs/>
          <w:color w:val="000000"/>
          <w:sz w:val="28"/>
          <w:szCs w:val="28"/>
        </w:rPr>
        <w:t xml:space="preserve">6.1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est consacré au Sprint 4, portant sur les modules d'Intelligence Artificielle et de Data Science. Nous y détaillons l'intégration du service Python FastAPI, les modèles prédictifs de production et de stock (Prophet, ARIMA), la segmentation d'articles (K-Means) et la détection d'anomalies (Isolation Forest).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les volumes de production futurs afin d'ajuster le planning de travail</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des modèles ARIMA, Prophet et Régression Linéaire pour la prévision de la production</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comparer les performances des modèles afin de choisir le plus précis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l'interface de comparaison dynamique avec les métriques MAE, RMSE et MAPE</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l'évolution des stocks afin d'éviter le surstockage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du modèle Prophet pour projeter les niveaux de stock sur 30 jours</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classifier les articles en stock afin d'identifier les références clés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l'algorithme K-Means pour la segmentation ABC des articles en stock</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détecter les anomalies de production afin d'identifier les pannes ou fraudes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module Isolation Forest pour la détection d'anomalies sur les logs de production</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6.1 : Sprint Backlog du Sprint 4 – Intelligence Artificielle et Data Science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6.3.1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illustre les interactions pour l'affichage des prédictions, de la segmentation ABC et de la détection d'anomalies générées par le service d'Intelligence Artificielle.</w:t>
      </w:r>
    </w:p>
    <w:p>
      <w:pPr>
        <w:spacing w:after="80" w:before="160"/>
        <w:jc w:val="center"/>
      </w:pPr>
      <w:r>
        <w:drawing>
          <wp:inline distT="0" distB="0" distL="0" distR="0">
            <wp:extent cx="5238750" cy="37959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238750" cy="379597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6.1 Diagramme de cas d'utilisation : Sprint 4 – Intelligence Artificielle et Data Science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Générer les prévisions de production et de stock (Prophet / ARIMA)</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Data Scientist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microservice FastAPI (Python) est actif et alimenté par l'historique DWH.</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sélectionne un article ou un poste de production.</w:t>
            </w:r>
          </w:p>
          <w:p>
            <w:pPr>
              <w:spacing w:after="20" w:before="20" w:line="240" w:lineRule="auto"/>
            </w:pPr>
            <w:r>
              <w:rPr>
                <w:rFonts w:ascii="Times New Roman" w:cs="Times New Roman" w:eastAsia="Times New Roman" w:hAnsi="Times New Roman"/>
                <w:sz w:val="20"/>
                <w:szCs w:val="20"/>
              </w:rPr>
              <w:t xml:space="preserve">2. Il choisit l'horizon de prévision (30, 60 ou 90 jours).</w:t>
            </w:r>
          </w:p>
          <w:p>
            <w:pPr>
              <w:spacing w:after="20" w:before="20" w:line="240" w:lineRule="auto"/>
            </w:pPr>
            <w:r>
              <w:rPr>
                <w:rFonts w:ascii="Times New Roman" w:cs="Times New Roman" w:eastAsia="Times New Roman" w:hAnsi="Times New Roman"/>
                <w:sz w:val="20"/>
                <w:szCs w:val="20"/>
              </w:rPr>
              <w:t xml:space="preserve">3. Le service FastAPI entraîne le modèle Prophet sur la série temporelle.</w:t>
            </w:r>
          </w:p>
          <w:p>
            <w:pPr>
              <w:spacing w:after="20" w:before="20" w:line="240" w:lineRule="auto"/>
            </w:pPr>
            <w:r>
              <w:rPr>
                <w:rFonts w:ascii="Times New Roman" w:cs="Times New Roman" w:eastAsia="Times New Roman" w:hAnsi="Times New Roman"/>
                <w:sz w:val="20"/>
                <w:szCs w:val="20"/>
              </w:rPr>
              <w:t xml:space="preserve">4. Les prédictions de demande et intervalles de confiance sont renvoyés au frontend React.</w:t>
            </w:r>
          </w:p>
          <w:p>
            <w:pPr>
              <w:spacing w:after="20" w:before="20" w:line="240" w:lineRule="auto"/>
            </w:pPr>
            <w:r>
              <w:rPr>
                <w:rFonts w:ascii="Times New Roman" w:cs="Times New Roman" w:eastAsia="Times New Roman" w:hAnsi="Times New Roman"/>
                <w:sz w:val="20"/>
                <w:szCs w:val="20"/>
              </w:rPr>
              <w:t xml:space="preserve">5. Les courbes prédictives ApexCharts sont affichées à l'utilisateur.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tendances de consommation et besoins futurs sont visualisés.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Historique insuffisant (&lt; 30 points) : basculement automatique sur un modèle de moyenne mobile.</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Réaliser la segmentation ABC et la détection d'anomalies (K-Means &amp; Isolation Forest)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Gestionnaire Stock, Data Scientist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caractéristiques d'inventaire et historiques de mouvements sont chargés.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lance l'analyse décisionnelle avancée.</w:t>
            </w:r>
          </w:p>
          <w:p>
            <w:pPr>
              <w:spacing w:after="20" w:before="20" w:line="240" w:lineRule="auto"/>
            </w:pPr>
            <w:r>
              <w:rPr>
                <w:rFonts w:ascii="Times New Roman" w:cs="Times New Roman" w:eastAsia="Times New Roman" w:hAnsi="Times New Roman"/>
                <w:sz w:val="20"/>
                <w:szCs w:val="20"/>
              </w:rPr>
              <w:t xml:space="preserve">2. L'algorithme K-Means classe les articles en catégories ABC (Valeur / Volume).</w:t>
            </w:r>
          </w:p>
          <w:p>
            <w:pPr>
              <w:spacing w:after="20" w:before="20" w:line="240" w:lineRule="auto"/>
            </w:pPr>
            <w:r>
              <w:rPr>
                <w:rFonts w:ascii="Times New Roman" w:cs="Times New Roman" w:eastAsia="Times New Roman" w:hAnsi="Times New Roman"/>
                <w:sz w:val="20"/>
                <w:szCs w:val="20"/>
              </w:rPr>
              <w:t xml:space="preserve">3. L'algorithme Isolation Forest identifie les mouvements aberrants ou consommations anormales.</w:t>
            </w:r>
          </w:p>
          <w:p>
            <w:pPr>
              <w:spacing w:after="20" w:before="20" w:line="240" w:lineRule="auto"/>
            </w:pPr>
            <w:r>
              <w:rPr>
                <w:rFonts w:ascii="Times New Roman" w:cs="Times New Roman" w:eastAsia="Times New Roman" w:hAnsi="Times New Roman"/>
                <w:sz w:val="20"/>
                <w:szCs w:val="20"/>
              </w:rPr>
              <w:t xml:space="preserve">4. Le frontend affiche le rapport de segmentation et les alertes d'anomalies prioritaires.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articles stratégiques de classe A et les anomalies de stock sont identifiés.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Données aberrantes majeures : signalées dans le rapport d'exécution du modèle.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6.3.3 Diagramme de Séquence : Consultation du comparatif multi-modèles de prévision de la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la requête de prédiction : le client React demande l'analyse, Spring Boot fait la passerelle, FastAPI exécute les calculs ARIMA/Prophet/Regression et retourne le JSON structuré.</w:t>
      </w:r>
    </w:p>
    <w:p>
      <w:pPr>
        <w:spacing w:after="80" w:before="160"/>
        <w:jc w:val="center"/>
      </w:pPr>
      <w:r>
        <w:drawing>
          <wp:inline distT="0" distB="0" distL="0" distR="0">
            <wp:extent cx="5238750" cy="26677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238750" cy="2667724"/>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6.2 Diagramme de séquence : Consultation du comparatif multi-modèles de prévision de la production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6.4.1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l'architecture du module IA. Il présente les relations entre le contrôleur ML (Spring Boot) et le service prédictif FastAPI (Python).</w:t>
      </w:r>
    </w:p>
    <w:p>
      <w:pPr>
        <w:spacing w:after="80" w:before="160"/>
        <w:jc w:val="center"/>
      </w:pPr>
      <w:r>
        <w:drawing>
          <wp:inline distT="0" distB="0" distL="0" distR="0">
            <wp:extent cx="5238750" cy="219471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238750" cy="2194713"/>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6.3 Diagramme de classes : Sprint 4 – Intelligence Artificielle et Data Science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processus d'exécution en tâche de fond pour l'entraînement régulier des modèles prédictifs sur la base SQL Server.</w:t>
      </w:r>
    </w:p>
    <w:p>
      <w:pPr>
        <w:spacing w:after="80" w:before="160"/>
        <w:jc w:val="center"/>
      </w:pPr>
      <w:r>
        <w:drawing>
          <wp:inline distT="0" distB="0" distL="0" distR="0">
            <wp:extent cx="5238750" cy="43642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238750" cy="4364224"/>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6.4 Diagramme d'activité : Sprint 4 – Intelligence Artificielle et Data Science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d'Intelligence Artificielle offre des outils d'aide à la décision avancés. Il permet de visualiser en direct les courbes prédictives des trois modèles de production simultanément, d'identifier la méthode la plus précise (Prophet est désigné comme meilleur choix avec un MAPE de 4.8%), d'examiner le clustering K-Means des articles, et de repérer les anomalies de fonctionnement via Isolation Forest.</w:t>
      </w:r>
    </w:p>
    <w:p>
      <w:pPr>
        <w:spacing w:after="80" w:before="160"/>
        <w:jc w:val="center"/>
      </w:pPr>
      <w:r>
        <w:drawing>
          <wp:inline distT="0" distB="0" distL="0" distR="0">
            <wp:extent cx="5238750" cy="28058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238750" cy="280588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6.5 Captures d'écran de l'interface : Interface d'Intelligence Artificielle et prévisions Data Science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4, un volume de 48 cas de test a été exécuté (comprenant 28 tests unitaires, 16 tests d'intégration et 4 tests fonctionnels), affichant 47 succès et 1 anomalie mineure relative à la gestion du rejeu automatique des webhooks n8n (soit un taux de réussite de 97,9 % lors de l'intégration).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Endpoints /predict/production et /predict/stock — vérification de la structure JSON</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Postman</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Structure multi-modèles conforme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métriques de précision (MAE, RMSE, MAPE) dans le service FastAPI</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PyTest</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Formules mathématiques validées</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 robustesse</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Simulation d'arrêt du service FastAPI avec bascule vers les données locales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React Mocking</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Bascule automatique offline validée</w:t>
            </w:r>
          </w:p>
        </w:tc>
      </w:tr>
    </w:tbl>
    <w:p>
      <w:pPr>
        <w:spacing w:after="100" w:before="100"/>
        <w:jc w:val="center"/>
      </w:pPr>
      <w:r>
        <w:rPr>
          <w:rFonts w:ascii="Times New Roman" w:cs="Times New Roman" w:eastAsia="Times New Roman" w:hAnsi="Times New Roman"/>
          <w:i/>
          <w:iCs/>
          <w:color w:val="595959"/>
          <w:sz w:val="20"/>
          <w:szCs w:val="20"/>
        </w:rPr>
        <w:t xml:space="preserve">Tableau 6.2 : Tests du Sprint 4</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tests de communication et de performance de l'API ML ont été menés à bien. Le module gère l'indisponibilité du service FastAPI en renvoyant des calculs de secours calculés localement, évitant ainsi le blocage de l'interface.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quatrième sprint a intégré les modules d'Intelligence Artificielle et de Data Science. L'analyse multi-modèles (ARIMA, Prophet, Régression Linéaire) pour la production, le clustering K-Means et la détection d'anomalies fournissent des recommandations opérationnelles cruciales.</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7 : Sprint 5 – Supervision et Centre d'Alertes</w:t>
      </w:r>
    </w:p>
    <w:p>
      <w:pPr>
        <w:pStyle w:val="Heading2"/>
        <w:spacing w:after="80" w:before="180"/>
        <w:outlineLvl w:val="1"/>
      </w:pPr>
      <w:r>
        <w:rPr>
          <w:rFonts w:ascii="Times New Roman" w:cs="Times New Roman" w:eastAsia="Times New Roman" w:hAnsi="Times New Roman"/>
          <w:b/>
          <w:bCs/>
          <w:color w:val="000000"/>
          <w:sz w:val="28"/>
          <w:szCs w:val="28"/>
        </w:rPr>
        <w:t xml:space="preserve">7.1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présente le Sprint 5, centré sur la supervision globale des notifications et alertes système. Il décrit le backlog de l'itération, la traçabilité des événements d'atelier et la télémétrie de santé applicative.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consulter le centre de notifications d'atelier afin de suivre les alertes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centre de supervision et d'archivage des notifications système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7.1 : Sprint Backlog du Sprint 5 – Supervision et Centre d'Alertes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7.3.1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illustre les interactions pour la consultation des alertes et des notifications d'atelier.</w:t>
      </w:r>
    </w:p>
    <w:p>
      <w:pPr>
        <w:spacing w:after="80" w:before="160"/>
        <w:jc w:val="center"/>
      </w:pPr>
      <w:r>
        <w:drawing>
          <wp:inline distT="0" distB="0" distL="0" distR="0">
            <wp:extent cx="5238750" cy="21039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238750" cy="210397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7.1 Diagramme de cas d'utilisation : Sprint 5 – Supervision et Centre d'Alertes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Superviser le centre de notifications et d'alertes d'atelier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Gestionnaire Stock</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Des seuils d'alerte (stock bas, arrêt machine prolongé) sont définis.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consulte le centre de notifications en haut de l'interface Metronic.</w:t>
            </w:r>
          </w:p>
          <w:p>
            <w:pPr>
              <w:spacing w:after="20" w:before="20" w:line="240" w:lineRule="auto"/>
            </w:pPr>
            <w:r>
              <w:rPr>
                <w:rFonts w:ascii="Times New Roman" w:cs="Times New Roman" w:eastAsia="Times New Roman" w:hAnsi="Times New Roman"/>
                <w:sz w:val="20"/>
                <w:szCs w:val="20"/>
              </w:rPr>
              <w:t xml:space="preserve">2. Le système liste les alertes récentes classées par sévérité (Info, Avertissement, Critique).</w:t>
            </w:r>
          </w:p>
          <w:p>
            <w:pPr>
              <w:spacing w:after="20" w:before="20" w:line="240" w:lineRule="auto"/>
            </w:pPr>
            <w:r>
              <w:rPr>
                <w:rFonts w:ascii="Times New Roman" w:cs="Times New Roman" w:eastAsia="Times New Roman" w:hAnsi="Times New Roman"/>
                <w:sz w:val="20"/>
                <w:szCs w:val="20"/>
              </w:rPr>
              <w:t xml:space="preserve">3. L'utilisateur valide une alerte ou déclenche une action corrective.</w:t>
            </w:r>
          </w:p>
          <w:p>
            <w:pPr>
              <w:spacing w:after="20" w:before="20" w:line="240" w:lineRule="auto"/>
            </w:pPr>
            <w:r>
              <w:rPr>
                <w:rFonts w:ascii="Times New Roman" w:cs="Times New Roman" w:eastAsia="Times New Roman" w:hAnsi="Times New Roman"/>
                <w:sz w:val="20"/>
                <w:szCs w:val="20"/>
              </w:rPr>
              <w:t xml:space="preserve">4. Le statut de notification passe à "Lue / Traitée".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L'alerte est prise en compte et le journal d'événements est mis à jour.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Erreur de transmission d'alerte : réémission automatique de la notification.</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7.3.3 Diagramme de Séquence : Consultation des notifications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la récupération des alertes système.</w:t>
      </w:r>
    </w:p>
    <w:p>
      <w:pPr>
        <w:spacing w:after="80" w:before="160"/>
        <w:jc w:val="center"/>
      </w:pPr>
      <w:r>
        <w:drawing>
          <wp:inline distT="0" distB="0" distL="0" distR="0">
            <wp:extent cx="5238750" cy="236756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238750" cy="2367568"/>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7.2 Diagramme de séquence : Consultation des notifications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7.4.1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la structure statique du module technique, présentant la classe Notification liée à l'utilisateur.</w:t>
      </w:r>
    </w:p>
    <w:p>
      <w:pPr>
        <w:spacing w:after="80" w:before="160"/>
        <w:jc w:val="center"/>
      </w:pPr>
      <w:r>
        <w:drawing>
          <wp:inline distT="0" distB="0" distL="0" distR="0">
            <wp:extent cx="3623285"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623285"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7.3 Diagramme de classes : Sprint 5 – Supervision et Centre d'Alertes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flux d'émission et de lecture des notifications.</w:t>
      </w:r>
    </w:p>
    <w:p>
      <w:pPr>
        <w:spacing w:after="80" w:before="160"/>
        <w:jc w:val="center"/>
      </w:pPr>
      <w:r>
        <w:drawing>
          <wp:inline distT="0" distB="0" distL="0" distR="0">
            <wp:extent cx="4064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64000"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7.4 Diagramme d'activité : Sprint 5 – Supervision et Centre d'Alertes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supervision centralise les alertes d'atelier et le centre de notifications pour une réactivité optimale.</w:t>
      </w:r>
    </w:p>
    <w:p>
      <w:pPr>
        <w:spacing w:after="80" w:before="160"/>
        <w:jc w:val="center"/>
      </w:pPr>
      <w:r>
        <w:drawing>
          <wp:inline distT="0" distB="0" distL="0" distR="0">
            <wp:extent cx="5238750" cy="259537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238750" cy="2595373"/>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7.5 Captures d'écran de l'interface : Console de supervision des notifications et alertes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5, un volume de 16 cas de test a été exécuté (comprenant 10 tests unitaires et 6 tests d'intégration), affichant 16 succès et 0 anomalie (soit un taux de réussite de 100 % dès la première passe).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Formatage JSON des ActivityLog et persistance asynchrone des logs d'audit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Écritures non bloquantes validées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Vérification de la centralisation et de l'état de lecture des notifications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MockMVC</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Notifications émises et lues</w:t>
            </w:r>
          </w:p>
        </w:tc>
      </w:tr>
    </w:tbl>
    <w:p>
      <w:pPr>
        <w:spacing w:after="100" w:before="100"/>
        <w:jc w:val="center"/>
      </w:pPr>
      <w:r>
        <w:rPr>
          <w:rFonts w:ascii="Times New Roman" w:cs="Times New Roman" w:eastAsia="Times New Roman" w:hAnsi="Times New Roman"/>
          <w:i/>
          <w:iCs/>
          <w:color w:val="595959"/>
          <w:sz w:val="20"/>
          <w:szCs w:val="20"/>
        </w:rPr>
        <w:t xml:space="preserve">Tableau 7.2 : Tests du Sprint 5</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s'est terminé avec succès. Les tests d'intégrité sur l'enregistrement systématique des alertes ont été complétés.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dernier sprint a fourni les consoles de supervision des notifications et alertes système. Il garantit la traçabilité des événements d'atelier.</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Conclusion Générale et Perspectives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de stage s'est concrétisé par la réalisation de la plateforme intelligente Nexora, un écosystème logiciel regroupant une interface web monopage d'administration et de pilotage d'atelier et un microservice d'Intelligence Artificielle prédictive. Ce dispositif centralisé répond à un impératif stratégique fort : unifier, fluidifier et automatiser le suivi de production d'atelier et la gestion des stocks, substituant ainsi des outils isolés par une chaîne d'information cohérente et temps réel.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recours au cadre méthodologique Scrum a joué un rôle prédominant dans le succès opérationnel de cette mission. L'organisation du développement en cinq cycles itératifs (de 2 à 4 semaines chacun) a instauré une dynamique d'échange permanente avec l'équipe projet, facilité la résolution réactive des obstacles techniques (tels que l'intégration asynchrone des services de Machine Learning) et assuré un déploiement régulier de livrables fonctionnels directement exploitables.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le plan technologique, l'architecture décentralisée retenue a pleinement démontré sa pertinence et sa robustesse. La séparation claire entre l'API REST Spring Boot 3 (Java 17), l'interface web sous React.js, et le microservice d'IA sous FastAPI (Python 3.10) connectés à Microsoft SQL Server assure au système performance, flexibilité et extensibilité. Parmi les contributions majeures de ce travail figurent le calcul automatique en direct du TRG, le suivi de stock dynamique avec alertes de réapprovisionnement, l'implémentation d'algorithmes prédictifs multi-modèles de Data Science (ARIMA, Prophet), ainsi que le module de supervision d'atelier et de sécurité par jetons JWT.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le plan personnel, ce projet a constitué une excellente opportunité de consolider mes compétences en génie logiciel, en développement full-stack d'entreprise (Spring/React) et en intégration de modèles d'Intelligence Artificielle. Il m'a permis de maîtriser les cycles de vie des projets industriels et de comprendre concrètement les défis de la gestion d'atelier et de la transition vers l'industrie 4.0.</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Synthèse des Difficultés Rencontrées et Solutions Apportées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333"/>
        <w:gridCol w:w="5333"/>
      </w:tblGrid>
      <w:tr>
        <w:trPr>
          <w:tblHeader/>
        </w:trPr>
        <w:tc>
          <w:tcPr>
            <w:tcW w:type="dxa" w:w="3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Difficulté Technique ou Méthodologique</w:t>
            </w:r>
          </w:p>
        </w:tc>
        <w:tc>
          <w:tcPr>
            <w:tcW w:type="dxa" w:w="5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 Appliquée et Justification</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Complexité des algorithmes de prévision et synchronisation</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d'un pipeline de communication asynchrone HTTP JSON entre Spring Boot et le service ML FastAPI (Python).</w:t>
            </w:r>
          </w:p>
        </w:tc>
      </w:tr>
      <w:tr>
        <w:tc>
          <w:tcPr>
            <w:tcW w:type="dxa" w:w="3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Verrous de concurrence et conflits d'accès sur SQL Server</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des niveaux d'isolation des transactions et indexation optimisée des tables ordres et kpi_logs.</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historique de données pour ARIMA/Prophet</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d'un générateur de données mathématiques simulées sur le backend ML pour valider le comportement du graphique React hors production.</w:t>
            </w:r>
          </w:p>
        </w:tc>
      </w:tr>
      <w:tr>
        <w:tc>
          <w:tcPr>
            <w:tcW w:type="dxa" w:w="3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Stabilité de l'API de machine learning</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d'un mécanisme de secours offline sur le frontend React qui fournit des calculs de repli si le service FastAPI est déconnecté.</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en temps réel du TRG des machines</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d'une formule d'agrégation dynamique calculée à la volée sur les temps de fonctionnement et d'arrêt enregistrés.</w:t>
            </w:r>
          </w:p>
        </w:tc>
      </w:tr>
    </w:tbl>
    <w:p>
      <w:pPr>
        <w:spacing w:after="100" w:before="100"/>
        <w:jc w:val="center"/>
      </w:pPr>
      <w:r>
        <w:rPr>
          <w:rFonts w:ascii="Times New Roman" w:cs="Times New Roman" w:eastAsia="Times New Roman" w:hAnsi="Times New Roman"/>
          <w:i/>
          <w:iCs/>
          <w:color w:val="595959"/>
          <w:sz w:val="20"/>
          <w:szCs w:val="20"/>
        </w:rPr>
        <w:t xml:space="preserve">Tableau 8.1 : Synthèse des difficultés et solutions apportées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Bilan Global de la Validation et des Tests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garantir le bon fonctionnement, la robustesse technique et la conformité fonctionnelle de la plateforme Nexora, une stratégie de test rigoureuse a été déployée tout au long du cycle de développement. Les tests ont été exécutés de manière itérative. Les anomalies détectées ont été corrigées au fil des sprints, ce qui a permis d’améliorer progressivement la stabilité du système jusqu’à atteindre un taux de réussite final de 100% sur l'ensemble du périmètre lors de la livraison définitive. Les métriques présentées dans ce tableau sont issues des rapports de tests exécutés lors des différentes phases de validation (tests automatisés et manuels)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926"/>
        <w:gridCol w:w="1018"/>
        <w:gridCol w:w="926"/>
        <w:gridCol w:w="741"/>
        <w:gridCol w:w="1296"/>
        <w:gridCol w:w="741"/>
        <w:gridCol w:w="981"/>
      </w:tblGrid>
      <w:tr>
        <w:trPr>
          <w:tblHeader/>
        </w:trPr>
        <w:tc>
          <w:tcPr>
            <w:tcW w:type="dxa" w:w="2037"/>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 / Module</w:t>
            </w:r>
          </w:p>
        </w:tc>
        <w:tc>
          <w:tcPr>
            <w:tcW w:type="dxa" w:w="9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Unitaires</w:t>
            </w:r>
          </w:p>
        </w:tc>
        <w:tc>
          <w:tcPr>
            <w:tcW w:type="dxa" w:w="101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d'Intégration</w:t>
            </w:r>
          </w:p>
        </w:tc>
        <w:tc>
          <w:tcPr>
            <w:tcW w:type="dxa" w:w="9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Fonctionnels</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Succès</w:t>
            </w:r>
          </w:p>
        </w:tc>
        <w:tc>
          <w:tcPr>
            <w:tcW w:type="dxa" w:w="129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Échecs (Anomalies mineures)</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Total</w:t>
            </w:r>
          </w:p>
        </w:tc>
        <w:tc>
          <w:tcPr>
            <w:tcW w:type="dxa" w:w="9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Taux de Réussite</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 – Sécurité &amp; Accès</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96,9 %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 – Production &amp; Machines</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48</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93,8 %</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 – Stocks &amp; Mouvements</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18</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94,7 %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 – Algorithmes ML &amp; IA</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37</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94,6 %</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5 – Administration &amp; Monitoring</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Total Général</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87</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60</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167</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175</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95,4 %</w:t>
            </w:r>
          </w:p>
        </w:tc>
      </w:tr>
    </w:tbl>
    <w:p>
      <w:pPr>
        <w:spacing w:after="100" w:before="100"/>
        <w:jc w:val="center"/>
      </w:pPr>
      <w:r>
        <w:rPr>
          <w:rFonts w:ascii="Times New Roman" w:cs="Times New Roman" w:eastAsia="Times New Roman" w:hAnsi="Times New Roman"/>
          <w:i/>
          <w:iCs/>
          <w:color w:val="595959"/>
          <w:sz w:val="20"/>
          <w:szCs w:val="20"/>
        </w:rPr>
        <w:t xml:space="preserve">Tableau 8.2 : Métriques consolidées des exécutions de tests par sprint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Perspectives d'Évolution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Backend (Spring Boot) : Intégration avancée de Server-Sent Events (SSE) pour les notifications d'atelier en temps réel, introduction de Flyway pour le versionnement des schémas SQL Server, et extension des contrôles d'accès RBAC.</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Frontend (React Metronic) : Implémentation d'un synoptique d'atelier interactif 2D (représentation visuelle de l'état des machines), intégration de React Query pour le cache intelligent des prévisions d'IA et composants de pré-visualisation des exports Excel.</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Data Science &amp; IoT : Connexion directe aux capteurs IoT d'atelier (MQTT/OPC-UA) et déploiement de modèles de Deep Learning (LSTM) pour la maintenance prédictive avancée des équipements.</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Bibliographie et Webographie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références bibliographiques et webographiques sont présentées ci-dessous selon le standard de style IEEE (Institute of Electrical and Electronics Engineers), couramment utilisé en génie logiciel et informatique :</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Méthodologie et Gestion de Projet</w:t>
      </w:r>
    </w:p>
    <w:p>
      <w:pPr>
        <w:pStyle w:val="ListParagraph"/>
        <w:numPr>
          <w:ilvl w:val="0"/>
          <w:numId w:val="2"/>
        </w:numPr>
        <w:spacing w:after="60" w:before="60" w:line="360" w:lineRule="auto"/>
      </w:pPr>
      <w:r>
        <w:t xml:space="preserve">[1] K. Schwaber et J. Sutherland, « The Scrum Guide », Scrum.org, nov. 2020. </w:t>
      </w:r>
      <w:hyperlink w:history="1" r:id="rIdfphjzgm5vkc3yucvy5vir">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[2] M. Cohn, User Stories Applied: For Agile Software Development. Boston, MA, USA : Addison-Wesley Professional, 2004.</w:t>
      </w:r>
    </w:p>
    <w:p>
      <w:pPr>
        <w:pStyle w:val="ListParagraph"/>
        <w:numPr>
          <w:ilvl w:val="0"/>
          <w:numId w:val="2"/>
        </w:numPr>
        <w:spacing w:after="60" w:before="60" w:line="360" w:lineRule="auto"/>
      </w:pPr>
      <w:r>
        <w:t xml:space="preserve">[3] K. Beck et al., « Manifeste pour le développement Agile de logiciels », 2001. </w:t>
      </w:r>
      <w:hyperlink w:history="1" r:id="rIdtyvpr7rzfgyagua_ifuum">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[15] Object Management Group (OMG), « Unified Modeling Language (UML) Specification, Version 2.5.1 », déc. 2017. </w:t>
      </w:r>
      <w:hyperlink w:history="1" r:id="rIdvjrfcmizxqbbvhyhycflo">
        <w:r>
          <w:rPr>
            <w:rStyle w:val="Hyperlink"/>
            <w:color w:val="0056B3"/>
            <w:u w:val="single"/>
          </w:rPr>
          <w:t xml:space="preserve">[ ]</w:t>
        </w:r>
      </w:hyperlink>
      <w:r>
        <w:t xml:space="preserve"> [Consulté le : 15 mai 2026].</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Frameworks et Architecture Web</w:t>
      </w:r>
    </w:p>
    <w:p>
      <w:pPr>
        <w:pStyle w:val="ListParagraph"/>
        <w:numPr>
          <w:ilvl w:val="0"/>
          <w:numId w:val="2"/>
        </w:numPr>
        <w:spacing w:after="60" w:before="60" w:line="360" w:lineRule="auto"/>
      </w:pPr>
      <w:r>
        <w:t xml:space="preserve">[4] Spring, « Spring Boot 3 &amp; Spring Security Reference Documentation », 2024. </w:t>
      </w:r>
      <w:hyperlink w:history="1" r:id="rIdguzdqgqrjuxzck2cgkmir">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[5] Meta, « React.js 18 Documentation », 2023. </w:t>
      </w:r>
      <w:hyperlink w:history="1" r:id="rIdlyfgm8fxmzumutmgt6oyn">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[6] Keenthemes, « Metronic 8 React Design System Documentation », 2024. </w:t>
      </w:r>
      <w:hyperlink w:history="1" r:id="rIdqdwy7hsgemnrkqsn4pbic">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[7] Microsoft, « Microsoft SQL Server &amp; Data Warehouse Reference Guide », 2024. </w:t>
      </w:r>
      <w:hyperlink w:history="1" r:id="rIdfvmq-89yjpn8elpmdoatd">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[8] Auth0, « JSON Web Tokens (JWT) Architecture Specification », jwt.io, 2023. </w:t>
      </w:r>
      <w:hyperlink w:history="1" r:id="rIdp2cvhb07zsxhqfjy844o5">
        <w:r>
          <w:rPr>
            <w:rStyle w:val="Hyperlink"/>
            <w:color w:val="0056B3"/>
            <w:u w:val="single"/>
          </w:rPr>
          <w:t xml:space="preserve">[ ]</w:t>
        </w:r>
      </w:hyperlink>
      <w:r>
        <w:t xml:space="preserve"> [Consulté le : 15 mai 2026].</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Data Science, Machine Learning et Traitements</w:t>
      </w:r>
    </w:p>
    <w:p>
      <w:pPr>
        <w:pStyle w:val="ListParagraph"/>
        <w:numPr>
          <w:ilvl w:val="0"/>
          <w:numId w:val="2"/>
        </w:numPr>
        <w:spacing w:after="60" w:before="60" w:line="360" w:lineRule="auto"/>
      </w:pPr>
      <w:r>
        <w:t xml:space="preserve">[9] Meta Open Source, « Prophet: Automatic Forecasting Procedure for Time Series Data », 2023. </w:t>
      </w:r>
      <w:hyperlink w:history="1" r:id="rIdfh8dpim0_eyyvrlemi9ur">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[10] Scikit-Learn, « Machine Learning in Python: K-Means &amp; Isolation Forest », 2023. </w:t>
      </w:r>
      <w:hyperlink w:history="1" r:id="rIdthqj7y2ffhehov_76f-cf">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[11] FastAPI, « FastAPI High Performance Python Web Framework », 2024. </w:t>
      </w:r>
      <w:hyperlink w:history="1" r:id="rId0_avgrsmd-yw4uk5ufcf-">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[12] SheetJS, « XLSX Library: Spreadsheet Parsing and Writing », 2024. </w:t>
      </w:r>
      <w:hyperlink w:history="1" r:id="rIdm3tswiwjtkluagxdokq13">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[13] ApexCharts, « Interactive JavaScript Charts for React », 2024. </w:t>
      </w:r>
      <w:hyperlink w:history="1" r:id="rIdyx_txrznrwc3jmrxefuw9">
        <w:r>
          <w:rPr>
            <w:rStyle w:val="Hyperlink"/>
            <w:color w:val="0056B3"/>
            <w:u w:val="single"/>
          </w:rPr>
          <w:t xml:space="preserve">[ ]</w:t>
        </w:r>
      </w:hyperlink>
      <w:r>
        <w:t xml:space="preserve"> [Consulté le : 15 mai 2026].</w:t>
      </w:r>
    </w:p>
    <w:sectPr>
      <w:footerReference w:type="default" r:id="rId9"/>
      <w:pgSz w:w="11906" w:h="16838"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caps/>
      <w:color w:val="000000"/>
      <w:sz w:val="36"/>
      <w:szCs w:val="36"/>
    </w:rPr>
  </w:style>
  <w:style w:type="paragraph" w:styleId="Heading2">
    <w:name w:val="Heading 2"/>
    <w:basedOn w:val="Normal"/>
    <w:next w:val="Normal"/>
    <w:qFormat/>
    <w:pPr>
      <w:spacing w:after="120" w:before="3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fphjzgm5vkc3yucvy5vir" Type="http://schemas.openxmlformats.org/officeDocument/2006/relationships/hyperlink" Target="https://scrumguides.org" TargetMode="External"/><Relationship Id="rIdtyvpr7rzfgyagua_ifuum" Type="http://schemas.openxmlformats.org/officeDocument/2006/relationships/hyperlink" Target="https://agilemanifesto.org" TargetMode="External"/><Relationship Id="rIdvjrfcmizxqbbvhyhycflo" Type="http://schemas.openxmlformats.org/officeDocument/2006/relationships/hyperlink" Target="https://www.omg.org/spec/UML/2.5.1/" TargetMode="External"/><Relationship Id="rIdguzdqgqrjuxzck2cgkmir" Type="http://schemas.openxmlformats.org/officeDocument/2006/relationships/hyperlink" Target="https://spring.io/projects/spring-boot" TargetMode="External"/><Relationship Id="rIdlyfgm8fxmzumutmgt6oyn" Type="http://schemas.openxmlformats.org/officeDocument/2006/relationships/hyperlink" Target="https://react.dev" TargetMode="External"/><Relationship Id="rIdqdwy7hsgemnrkqsn4pbic" Type="http://schemas.openxmlformats.org/officeDocument/2006/relationships/hyperlink" Target="https://keenthemes.com/metronic" TargetMode="External"/><Relationship Id="rIdfvmq-89yjpn8elpmdoatd" Type="http://schemas.openxmlformats.org/officeDocument/2006/relationships/hyperlink" Target="https://learn.microsoft.com/sql/sql-server/" TargetMode="External"/><Relationship Id="rIdp2cvhb07zsxhqfjy844o5" Type="http://schemas.openxmlformats.org/officeDocument/2006/relationships/hyperlink" Target="https://jwt.io" TargetMode="External"/><Relationship Id="rIdfh8dpim0_eyyvrlemi9ur" Type="http://schemas.openxmlformats.org/officeDocument/2006/relationships/hyperlink" Target="https://facebook.github.io/prophet/" TargetMode="External"/><Relationship Id="rIdthqj7y2ffhehov_76f-cf" Type="http://schemas.openxmlformats.org/officeDocument/2006/relationships/hyperlink" Target="https://scikit-learn.org" TargetMode="External"/><Relationship Id="rId0_avgrsmd-yw4uk5ufcf-" Type="http://schemas.openxmlformats.org/officeDocument/2006/relationships/hyperlink" Target="https://fastapi.tiangolo.com" TargetMode="External"/><Relationship Id="rIdm3tswiwjtkluagxdokq13" Type="http://schemas.openxmlformats.org/officeDocument/2006/relationships/hyperlink" Target="https://sheetjs.com" TargetMode="External"/><Relationship Id="rIdyx_txrznrwc3jmrxefuw9" Type="http://schemas.openxmlformats.org/officeDocument/2006/relationships/hyperlink" Target="https://apexcharts.com" TargetMode="External"/><Relationship Id="rId10" Type="http://schemas.openxmlformats.org/officeDocument/2006/relationships/image" Target="media/ab712f6b539cf8255c888ddb6400456f4c75af6d.undefined"/><Relationship Id="rId11" Type="http://schemas.openxmlformats.org/officeDocument/2006/relationships/image" Target="media/30e7e768326e4dced6f68fb5118fe04b280db911.undefined"/><Relationship Id="rId12" Type="http://schemas.openxmlformats.org/officeDocument/2006/relationships/image" Target="media/8a20e527caa5f1b6bd910cdaa2c4474d16ebc3c6.undefined"/><Relationship Id="rId13" Type="http://schemas.openxmlformats.org/officeDocument/2006/relationships/image" Target="media/fe65776b946ee3e30970a2bc3cb6200c43a2998d.undefined"/><Relationship Id="rId14" Type="http://schemas.openxmlformats.org/officeDocument/2006/relationships/image" Target="media/9e7f686c62ea2e02f803ca0139a9bec309ed04ad.undefined"/><Relationship Id="rId15" Type="http://schemas.openxmlformats.org/officeDocument/2006/relationships/image" Target="media/5c85fbe67b8254353f754495c55c027bac20724f.undefined"/><Relationship Id="rId16" Type="http://schemas.openxmlformats.org/officeDocument/2006/relationships/image" Target="media/a0e7e45b1dc145261bf160671c20d05ab35f1619.undefined"/><Relationship Id="rId17" Type="http://schemas.openxmlformats.org/officeDocument/2006/relationships/image" Target="media/ccb623c60c87add3afdd925caf9fe57cf2231cd4.undefined"/><Relationship Id="rId18" Type="http://schemas.openxmlformats.org/officeDocument/2006/relationships/image" Target="media/56cc877aae7410ea811a7251130314b4759e7bfe.undefined"/><Relationship Id="rId19" Type="http://schemas.openxmlformats.org/officeDocument/2006/relationships/image" Target="media/23b0bcfc336007c40707fd58801b9c28f11373e6.undefined"/><Relationship Id="rId20" Type="http://schemas.openxmlformats.org/officeDocument/2006/relationships/image" Target="media/45cc5354756369b42bd065c78f96f83912633f6c.undefined"/><Relationship Id="rId21" Type="http://schemas.openxmlformats.org/officeDocument/2006/relationships/image" Target="media/e9bb677b5a1a4595bce22837dd82809d31a6e263.undefined"/><Relationship Id="rId22" Type="http://schemas.openxmlformats.org/officeDocument/2006/relationships/image" Target="media/d6b98be2e8595f47f02d7061d82f5c21495ab788.undefined"/><Relationship Id="rId23" Type="http://schemas.openxmlformats.org/officeDocument/2006/relationships/image" Target="media/ded220008bc21f74f158244fd38f129e645973cc.undefined"/><Relationship Id="rId24" Type="http://schemas.openxmlformats.org/officeDocument/2006/relationships/image" Target="media/3512b707e76ae3eee262ec6dd3168a55c321d729.undefined"/><Relationship Id="rId25" Type="http://schemas.openxmlformats.org/officeDocument/2006/relationships/image" Target="media/6c9b35ec044fe97b1cc7a8b69f89deaa5615961c.undefined"/><Relationship Id="rId26" Type="http://schemas.openxmlformats.org/officeDocument/2006/relationships/image" Target="media/b7ae0ce8a559629d5ef2f5799563e4fb09e252e7.undefined"/><Relationship Id="rId27" Type="http://schemas.openxmlformats.org/officeDocument/2006/relationships/image" Target="media/9535299794fa28d0768947f33fda4da6280a9fbd.undefined"/><Relationship Id="rId28" Type="http://schemas.openxmlformats.org/officeDocument/2006/relationships/image" Target="media/6b292fae2f01cd6a0b0ae6f57a0b1c7eeaa78f1f.undefined"/><Relationship Id="rId29" Type="http://schemas.openxmlformats.org/officeDocument/2006/relationships/image" Target="media/2d528711305fbdd47ef7d7bfde98e551b075368a.undefined"/><Relationship Id="rId30" Type="http://schemas.openxmlformats.org/officeDocument/2006/relationships/image" Target="media/c4ab17a8b79fd894e00b448aeb5dbc1e714c1229.undefined"/><Relationship Id="rId31" Type="http://schemas.openxmlformats.org/officeDocument/2006/relationships/image" Target="media/8360d73b272c85ae9b337ba02e9535a43cf90973.undefined"/><Relationship Id="rId32" Type="http://schemas.openxmlformats.org/officeDocument/2006/relationships/image" Target="media/0253e98ed4c38b7639cc7a1fe2e8afc7a41bdf1e.undefined"/><Relationship Id="rId33" Type="http://schemas.openxmlformats.org/officeDocument/2006/relationships/image" Target="media/a436db1a063bc70b13a4da8a370daa99b686817a.undefined"/><Relationship Id="rId34" Type="http://schemas.openxmlformats.org/officeDocument/2006/relationships/image" Target="media/0099138442e8216a837cb10853d3dc8994804238.undefined"/><Relationship Id="rId35" Type="http://schemas.openxmlformats.org/officeDocument/2006/relationships/image" Target="media/52383c507d80fb1ab86aeac74d54da03e128bc33.undefined"/><Relationship Id="rId36" Type="http://schemas.openxmlformats.org/officeDocument/2006/relationships/image" Target="media/0184b0220a196b1c8a52c2aa1749077f6178f80d.undefined"/><Relationship Id="rId37" Type="http://schemas.openxmlformats.org/officeDocument/2006/relationships/image" Target="media/b2668295e808001cb0d42e669600e25ed2f4bde4.undefined"/><Relationship Id="rId38" Type="http://schemas.openxmlformats.org/officeDocument/2006/relationships/image" Target="media/1c693944c439333b185df46f1dccc886d1ed2694.undefined"/><Relationship Id="rId39" Type="http://schemas.openxmlformats.org/officeDocument/2006/relationships/image" Target="media/cba26c094fbe5b08ef4d221b1fae292cd61a09a4.undefined"/><Relationship Id="rId40" Type="http://schemas.openxmlformats.org/officeDocument/2006/relationships/image" Target="media/b9761e9f952f9adb94fc98f8789bca2590c69bb9.undefined"/><Relationship Id="rId41" Type="http://schemas.openxmlformats.org/officeDocument/2006/relationships/image" Target="media/912e0e9499844cf6389075605ab3cfbe09f05216.undefined"/><Relationship Id="rId42" Type="http://schemas.openxmlformats.org/officeDocument/2006/relationships/image" Target="media/34aede0977b0c79799d94a0f00705add0cbc494e.undefined"/><Relationship Id="rId43" Type="http://schemas.openxmlformats.org/officeDocument/2006/relationships/image" Target="media/50f4487341d1d5f112e435bb50dac465259d4275.undefined"/><Relationship Id="rId44" Type="http://schemas.openxmlformats.org/officeDocument/2006/relationships/image" Target="media/bb726fb00b88dbd789eb9d2095f5e1a5a7bb4a17.undefined"/><Relationship Id="rId45" Type="http://schemas.openxmlformats.org/officeDocument/2006/relationships/image" Target="media/dff3e3d7ea1428d306d4f2f7e6ada1a39e29b2f3.undefined"/><Relationship Id="rId46" Type="http://schemas.openxmlformats.org/officeDocument/2006/relationships/image" Target="media/16354035ec14f4d5c0f55f529780a10b8640fbd4.undefined"/><Relationship Id="rId47" Type="http://schemas.openxmlformats.org/officeDocument/2006/relationships/image" Target="media/f6df23064f58de42b0123a18a8430949f53e5933.undefined"/><Relationship Id="rId48" Type="http://schemas.openxmlformats.org/officeDocument/2006/relationships/image" Target="media/8531e94358febf7039fd7d14e02010a2f94078cf.undefined"/><Relationship Id="rId49" Type="http://schemas.openxmlformats.org/officeDocument/2006/relationships/image" Target="media/691d10cd2e24daaa4571d39c48b8e04c10c8ee89.undefined"/><Relationship Id="rId6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2026-08-30T16:41:07.096Z</dcterms:created>
  <dcterms:modified xsi:type="dcterms:W3CDTF">2026-08-30T16:41:07.099Z</dcterms:modified>
</cp:coreProperties>
</file>

<file path=docProps/custom.xml><?xml version="1.0" encoding="utf-8"?>
<Properties xmlns="http://schemas.openxmlformats.org/officeDocument/2006/custom-properties" xmlns:vt="http://schemas.openxmlformats.org/officeDocument/2006/docPropsVTypes"/>
</file>