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en entreprise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hautement concurrentiel de la plasturgie automobile (équipementier Tier-1), la maîtrise des cadences de production et la gestion agile des stocks de matières premières et de pièces techniques constituent des enjeux stratégiques majeurs. Face à l'hétérogénéité des outils d'atelier et à la dispersion des données issues de 319 presses à injecter réparties sur plusieurs sites (Kondar, Sousse en Tunisie et Brno en République Tchèque),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 système décisionnel intelligent d'aide au pilotage d'atelier et de gestion proactive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S'appuyant sur l'exploitation d'un Data Warehouse d'entreprise sous Microsoft SQL Server consolidant plus de 1,5 million de mouvements de stock (Item Ledger Entry) et 250 000 déclarations d'opérations machines (Capacity Ledger Entry), la solution s'articule autour de trois composantes complémentaires : un pipeline ETL assainissant les données et accélérant les requêtes d'atelier ; un module d'intelligence artificielle prédictive évaluant les algorithmes de pointe sous validation croisée temporelle (TimeSeriesSplit), où l'algorithme bayésien Prophet de Meta (R² = 0,9600, MAPE = 4,8 %) démontre une nette supériorité face à Random Forest, ARIMA et la Régression Linéaire, complété par Isolation Forest pour la détection d'anomalies de presses et K-Means pour la segmentation des stocks ; et un module de gestion intelligente des stocks qui traduit ces prévisions en recommandations de réapprovisionnement sous un horizon cible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fonctionnalités est intégré dans une application web réactive développée avec React.js, orchestrée par un backend Spring Boot 3 et complétée par des tableaux de bord interactifs sous Microsoft Power BI. Les résultats obtenus en atelier confirment une nette amélioration de la réactivité opérationnelle, matérialisée par un gain mesuré de +6,3 points de TRG et une diminution significative des ruptures de matières critiques.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Système décisionnel intelligent, Industrie 4.0, Plasturgie Automobile, Taux de Rendement Global (TRG/OEE), Séries Temporelles, Machine Learning, Prophet, Random Forest, ARIMA, Isolation Forest, K-Means, Pipeline ETL, SQL Server, Spring Boot, React.js, Power BI.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 actuelle et besoin d'évolution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Application de Scrum au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Description des tables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Analyse statistique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Visualisation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du pipeline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Extraction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Transformation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Chargement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spacing w:after="40" w:before="40"/>
      </w:pPr>
      <w:r>
        <w:t xml:space="preserve"/>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Analyse des niveaux de stock et de rotation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Classification des produits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Génération des recommandations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Calcul des quantités à commander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Estimation du budget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Alertes intelligentes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Préparation des données pour l'apprentissage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5.4.1 Variable cible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5.4.2 Variables explicatives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5.4.3 Découpage Train/Test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5.4.4 Normalisation et Prétraitement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Métriques d'évaluation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Développement des quatre modèles d'IA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Modèles de Séries Temporelles et Machine Learning de Prévision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Modèles d'Apprentissage Non Supervisé et Surveillance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et analyse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Résultats des modèles Machine Learning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Résultats des modèles complémentaires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Validation croisée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Sélection meilleur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Génération des prévisions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du tableau de bord</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Diagramme de séquence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Développement des interfaces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Tableau de bord de supervision et TRG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Tableau de bord des prévisions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6.5.3 Tableau de bord des stocks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Présentation des interfaces réalisées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6.6.1 Tableau de bord principal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6.6.2 Analyse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6.6.3 Prévisions des cadences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6.6.4 Gestion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Tests et validation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6.7.1 Tests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6.7.2 Validation des résultats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6.7.3 Validation des recommandations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6.7.4 Validation de l'interface utilisateur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6.8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74</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76</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l'entreprise industrielle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1.4 : Cycle de la méthodologie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Diagramme relationnel et structure de la base de données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Évolution temporelle de la production globale des 319 presses (2024–2026)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Saisonnalité de production par jour de la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Heatmap d'activité atelier : cadence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d'exécution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3.6 : Diagramme de séquence du pipeline ETL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Architecture et flux d'exécution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Segmentation multicritère Pareto ABC et Clustering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Synthèse des alertes d'atelier par catégorie d'articles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Architecture et flux d'exécution du module de modélisation IA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5.3 : Prédictions de cadence Prophet vs Production réelle d'atelier avec intervalle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5.4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5.5 : Détection non supervisée des dérives de presses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et déploiement du tableau de bord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Diagramme de séquence : interaction utilisateur, tableau de bord et modèle prédictif</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En-tête et navigation du tableau de bord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Interface « Supervision de la production et TRG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Répartition des volumes par famille de composants plastiques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Interface « Prévision des cadences et charge 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Interface « Gestion des stocks d'atelier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Maps-IT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Comparaison des solutions existantes avec notre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1.6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et technologies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Priorisation des tâches pour le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Aperçu statistique général de la base de données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Tables principales de la base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Statistiques descriptives de la série journalière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Impact des événements et variations industrielles sur la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Bilan de la qualité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3.8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Priorisation des tâches :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Classification des produits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Les variables explicatives communes aux modèles de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Découpage chronologique Train/Test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Métriques d'évaluation des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Avantages et limites : Random Forest Regressor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Avantages et limites : Prophet (Meta)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Avantages et limites :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5.10 : Résultats des 4 modèles de prévision de production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5.11 : Résultats de la détection d'anomalies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5.12 : Résultats de la validation croisée temporelle TimeSeriesSplit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5.13 : Justification du choix de Prophet (Meta) comme modèle champion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5.14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Priorisation des tâches :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Résultats des tests fonctionnels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pour séries temporelles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Capacity Ledger Entry</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machines, temps de cycle et arrêts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des données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Warehouse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consolidant les flux industriels multi-sites (Tunisie, Rép. Tchèque)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nettoyage,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simulant l'intelligence humaine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Item Ledger Entry</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traçant les mouvements physiques d'articles (1,5M de lignes)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Key Performance Indicator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et financière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entre cadences réelles et prédictions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moyen d'erreur absolue de prévision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MCO</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Moindres Carrés Ordinaires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standard d'estimation des coefficients de régression linéaire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à partir de données historiques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Overall Equipment Effectiveness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Équivalent anglo-saxon du Taux de Rendement Global (TRG)</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profils et rôles métier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RF</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 Regressor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d'apprentissage supervisé par forêt d'arbres de décision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utilisée pour la valorisation financière des stocks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Global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normé synthétisant la Disponibilité, la Performance et la Qualité machine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L'industrie manufacturière moderne traverse une transformation profonde, portée par les principes de l'Industrie 4.0 et l'intégration massive des technologies de l'information au cœur des ateliers de production. Dans le secteur hautement concurrentiel de la plasturgie automobile (équipementier de rang 1), la performance industrielle ne dépend plus uniquement de la capacité mécanique des machines, mais de l'aptitude à exploiter les flux massifs de données générés en continu pour piloter les cadences, maximiser le Taux de Rendement Global (TRG/OEE) et anticiper les besoins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C'est dans ce contexte exigeant que s'inscrit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déployé au sein d'un grand groupe industriel équipementier automobile exploitant plusieurs sites de production, notamment en Tunisie (usines de Kondar et Sousse) et en République Tchèque (site de Brno). Avec un parc consolidé de 319 presses à injecter de fort et moyen tonnage (Demag, Arburg, KraussMaffei, Engel), l'entreprise assure la fabrication de pièces plastiques techniques complexes destinées aux plus grands constructeurs automobiles européens.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Bien que l'entreprise dispose d'un entrepôt de données d'entreprise (Data Warehouse sous Microsoft SQL Server) accumulant des millions d'enregistrements historiques, elle souffre d'une lacune opérationnelle majeure : l'absence d'outils décisionnels intelligents en temps réel et de capacités prédictives. Le suivi de l'efficacité machine et le calcul du TRG étaient historiquement réalisés de manière manuelle et décalée sur des tableurs Excel en fin de mois, interdisant toute réactivité immédiate face aux dérives de cadences. Parallèlement, la gestion des stocks de matières premières (granulés PP, PA66, ABS) et de composants techniques s'opérait de manière purement empirique, engendrant des ruptures d'approvisionnement critiques qui bloquaient les lignes d'assemblage ou, à l'inverse, des surstocks immobilisant inutilement d'importants capitaux financiers.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Dès lors, la problématique centrale de ce projet de fin d'études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exploiter les données historiques et transactionnelles massives du Data Warehouse afin de concevoir et déployer un système décisionnel intelligent capable de superviser les machines en temps réel, de prévoir avec précision les cadences d'atelier par l'intelligence artificielle, et d'optimiser proactivement la gestion des stocks industriels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rigoureusement à cette problématique, nous avons conçu et développé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articulée autour de trois piliers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ETL d'ingestion et d'assainissement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connectant directement la base Microsoft SQL Server, éliminant les anomalies de stock et restructurant les données de fabrication en tables analytiques indexées et optimisées.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d'intelligence artificielle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entraînant et comparant rigoureusement neuf modèles de Machine Learning et de Deep Learning pour modéliser les séries temporelles de production et anticiper les charges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et prescriptive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traduisant automatiquement les prévisions de fabrication en alertes de rupture imminente et en recommandations de réapprovisionnement sous un horizon cible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 ces briques est restitué à travers une application web industrielle développée avec React.js, pilotée par un backend Spring Boot 3 et complétée par des tableaux de bord interactifs Microsoft Power BI.</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de ce projet a été mené selon la méthodologie Agile Scrum, découpé en un Sprint 0 de cadrage et quatre sprints de réalisation de quatre semaines. Ce mémoire s'organise en six chapitres structurés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premier chapitre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pose le cadre général du projet, présente l'organisme d'accueil industriel, analyse les limites de l'existant, détaille la solution proposée, la démarche Scrum et la modélisation UML.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deuxième chapitre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exigences fonctionnelles et non fonctionnelles, à la conception architecturale à quatre couches et à la définition de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troisième chapitre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expose l'analyse exploratoire (EDA), le nettoyage des données du Data Warehouse et la réalisation du pipeline ETL optimisé.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quatrième chapitre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la conception et le développement du module de gestion intelligente des stocks, la classification des 6 875 articles du catalogue et la génération automatique des alertes et recommandations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cinquième chapitre (Sprint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 développement, l'entraînement et l'évaluation comparative des quatre modèles d'intelligence artificielle pour la prévision de production, complétés par la détection d'anomalies.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sixième chapitre (Sprint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consacré au développement et à l'intégration des tableaux de bord décisionnels, suivi des tests fonctionnels et de la validation industrielle en 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se clôt par une conclusion générale dressant le bilan des résultats obtenus et exposant les perspectives d'évolution vers l'Internet des Objets (IoT) et la maintenance prédictive.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cadre général de notre projet de fin d'études. Nous présentons en premier lieu le contexte académique au sein de la Faculté des Sciences de Monastir, puis nous détaillons l'organisme d'accueil industriel, fleuron de la plasturgie automobile opérant en Tunisie et en Europe. Nous analysons ensuite les enjeux opérationnels d'atelier, les limites des pratiques actuelles fondées sur des outils disparates et non prédictifs, et la solution logicielle et analytique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développée pour y répondre. Enfin, nous exposons le workflow global du système, la démarche méthodologique Agile Scrum retenue ainsi que le langage de modélisation UML encadrant nos réalisations.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dispensé par la Faculté des Sciences de Monastir (FSM) au sein de l'Université de Monastir. Cette formation d'excellence vise à former des spécialistes de haut niveau capables de concevoir des architectures de données complexes, de développer des modèles prédictifs fondés sur l'intelligence artificielle et d'intégrer des solutions décisionnelles au sein de systèmes d'information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représente une opportunité privilégiée de conjuguer compétences théoriques avancées en apprentissage automatique (Machine Learning, Deep Learning, Séries Temporelles) et impératifs concrets de l'ingénierie logicielle industrielle, en confrontant nos algorithmes à un jeu de données réel de production totalisant plus de 1,5 million d'enregistrements.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L'organisme d'accueil est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société de services informatiques et d'ingénierie logicielle basée à Monastir en Tunisie. Fondée en 2021, Maps-IT accompagne ses clients dans la mise en œuvre de solutions technologiques sur mesure, le développement d'architectures web et cloud, l'intégration de systèmes décisionnels (Business Intelligence) et la valorisation industrielle des données par la Data Science et l'Intelligence Artificielle.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synthétise la fiche d'identité de l'entreprise d'accueil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tblHeader/>
        </w:trPr>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Champ</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Information</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 de création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2021</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Services informatiques et logiciels</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Localisation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Monastir, Tunisie</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Contact</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mapsit.info@gmail.com</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 web</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https://maps-it.com</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Maps-IT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Maps-IT déploie son expertise autour de plusieurs pôles de compétences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Ingénierie logicielle et développement sur mesure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d'applications web, mobiles et de portails métiers performants et sécurisés.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Business Intelligence et architectures décisionnelles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d'entrepôts de données (Data Warehouse), pipelines d'intégration ETL et modélisation de tableaux de bord de pilotage exécutif.</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et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développement de modèles prédictifs pour les séries temporelles, analyse exploratoire de données volumineuses et optimisation des processus opérationnels.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une plateforme logicielle et décisionnelle intelligente conçue spécifiquement pour unifier le pilotage des 319 presses à injecter et automatiser la gestion des stocks de production de l'entreprise. Accessible via une interface web réactive sécurisée, Nexora interconnecte le Data Warehouse SQL Server d'entreprise, un moteur d'intelligence artificielle prédictive et des tableaux de bord interactifs.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2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1.2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permet aux responsables d'ateliers, planificateurs de production et gestionnaires de stock de superviser les indicateurs en temps réel, de diagnostiquer instantanément les dérives de fabrication et de planifier les approvisionnements sur la base de prévisions fiabilisées par l'intelligence artificielle.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offre quatre grands ensembles de fonctionnalités métier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des machines et calcul automatique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en direct du statut des 319 presses (en marche, arrêtée, réglage, maintenance) et décomposition instantanée du Taux de Rendement Global selon ses trois composantes : Disponibilité, Performance et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Prévision des cadences et des volumes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temporelle par apprentissage automatique anticipant la charge machine à 7, 15 et 30 jours pour optimiser le planning des équipes de travail.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et prescriptive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classification automatique des 6 875 articles du catalogue selon leur niveau de risque (Rupture, Critique, Normal, Surstock) et calcul des quantités économiques à réapprovisionner pour maintenir une couverture sécurisée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Tableaux de bord analytiques et reporting exécutif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visualisations interactives haute performance (ApexCharts et Power BI Embedded) permettant des analyses croisées par usine, atelier, machine et famille de matière.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 actuelle et besoin d'évolution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le déploiement de Nexora, l'entreprise s'appuyait sur des processus manuels et des outils cloisonnés qui engendraient des faiblesses opérationnelles critiques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fiches de production remplies à la main par les opérateurs étaient ressaisies sur des tableurs Excel en fin de mois. Ce décalage temporel interdisait toute réaction rapide face aux pannes répétées ou aux micro-arrêts perlés.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totale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hebdomadaires. Les commandes de matières plastiques étaient passées dans l'urgence après constat de pénurie, entraînant des arrêts de presses coûteux et des pénalités de retard client.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Surstocks coûteux et capital immobilisé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compenser le manque de visibilité, certains planificateurs sur-commandaient des résines techniques coûteuses, immobilisant inutilement des centaines de milliers de dinars de trésorerie.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Cloisonnement de l'ERP Microsoft Dynamics NAV</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l'accès complexe aux tables SQL Server réservait les données aux administratifs, privant les équipes de terrain d'un outil visuel adapté à leur quotidien.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d'entreprise accumule depuis des années des millions de lignes d'historique de production : plus de 250 000 enregistrements de temps machines dans la table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Capacity Ledger Entry (CLE)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plus de 1,5 million de mouvements de pièces dans la table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Item Ledger Entry (ILE)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Cette mine d'informations demeurait pourtant sous-exploitée pour l'aide à la décision proactive.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question centrale qui guide notre démarche est donc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transformer les données historiques du Data Warehouse SQL Server en un système décisionnel intelligent capable de calculer le TRG en temps réel, de prédire avec précision les cadences d'atelier par IA et d'automatiser les recommandations de réapprovisionnement des stocks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solutions existantes sur le marché et des pratiques industrielles met en lumière trois approches principales : les progiciels MES industriels lourds (ex. SAP MES, Siemens), les modules standards des ERP d'entreprise (Microsoft Dynamics NAV) et les feuilles de calcul manuelles (Excel). Si chacune répond à des besoins spécifiques, aucune ne combine le calcul du TRG en temps réel, l'inférence prédictive par intelligence artificielle et une ergonomie fluide adaptée aux opérateurs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ces limites, la solution développée, nommée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 système décisionnel modulaire articulé autour de trois composantes principales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ETL robuste et performant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assurant l'extraction depuis Microsoft SQL Server, le nettoyage des anomalies de stock, le recalage des inventaires et le calcul de 16 variables explicatives industrielles.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d'intelligence artificielle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s'appuyant sur l'entraînement de 9 modèles d'IA pour projeter les cadences de fabrication et la charge d'atelier sur des horizons temporels de 7, 15 et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classant les 6 875 articles du catalogue et générant des alertes automatiques priorisées pour sécuriser 45 jours de couverture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 ces fonctionnalités est intégré au sein d'une interface web réactive développée avec React 18, pilotée par Spring Boot 3 et enrichie de rapports décisionnels Microsoft Power BI.</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1.2 synthétise la comparaison entre les solutions existantes du marché et notre solution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Lourds (SAP MES, Siemens)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Classique (Microsoft NAV)</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Méthodes 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Notre solution :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BI intégrés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 SQL Server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Instable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recommandations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adaptée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maîtrisé &amp; évolutivité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bl>
    <w:p>
      <w:pPr>
        <w:spacing w:after="120" w:before="80"/>
        <w:jc w:val="center"/>
      </w:pPr>
      <w:r>
        <w:rPr>
          <w:rFonts w:ascii="Times New Roman" w:cs="Times New Roman" w:eastAsia="Times New Roman" w:hAnsi="Times New Roman"/>
          <w:i/>
          <w:iCs/>
          <w:color w:val="595959"/>
          <w:sz w:val="20"/>
          <w:szCs w:val="20"/>
        </w:rPr>
        <w:t xml:space="preserve">Tableau 1.2 : Comparaison des solutions existantes avec notre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décisionnel suit un pipeline continu structuré en huit étapes successives, illustré dans la figure 1.3 :</w:t>
      </w:r>
    </w:p>
    <w:p>
      <w:pPr>
        <w:spacing w:after="40" w:before="40"/>
      </w:pPr>
      <w:r>
        <w:t xml:space="preserve"/>
      </w:r>
    </w:p>
    <w:p>
      <w:pPr>
        <w:spacing w:after="60" w:before="14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381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Collecte continue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données depuis les tables de faits du Data Warehouse SQL Server (CLE, ILE, Item, Machine Center).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détection des stocks négatifs, traitement des valeurs manquantes et filtrage des doublons opérationnels.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création de 16 variables explicatives temporelles (lags de cadences à J-1, J-7, J-14, moyennes mobiles, saisonnalités des constructeurs).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Split Train/Test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découpage chronologique strict en 80 % pour l'apprentissage et 20 % pour l'évaluation afin de prévenir tout data leakage.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Entraînement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temporelle (Prophet, Random Forest, ARIMA, Régression Linéaire) et de détection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Validation &amp; Optimisation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optimisation des hyperparamètres par validation croisée temporelle TimeSeriesSplit à 5 plis.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Évaluation multi-critères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rigoureux des métriques MAE, RMSE, MAPE et R² pour chaque modèle testé.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Restitution applicative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injection des prédictions dans le tableau de bord interactif React.js et les rapports Power BI.</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d'engager les développements, nous avons confronté l'approche traditionnelle en cascade (cycle en V) à l'approche Agile afin de retenir le cadre le plus efficient pour un projet couplant recherche en Data Science et génie logiciel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vie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en cascade</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et incrémental</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Déterministe, besoins figés</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Flexible, ajustements continus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Livraisons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Unique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Fréquentes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du changement</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Difficiles à intégrer</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Facilement acceptés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Feedback</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 fin de cycle</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 et régulier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de succès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Respect du plan initial</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Valeur livrée et satisfaction</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1.4 récapitule la balance avantages/inconvénients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 Risques Majeurs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claire et jalons temporels rigides.
• Facilité de planification contractuelle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Manque cruel de flexibilité face aux imprévus de données.
• Détection très tardive des écarts entre modèle et terrain.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Forte réactivité face aux réalités des données du DWH.
• Démonstration progressive d'incréments exploitables.
• Alignement continu avec les ingénieurs d'atelier.</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Nécessite une disponibilité soutenue du Product Owner.
• Risque de dérive si le backlog n'est pas rigoureusement borné.</w:t>
            </w:r>
          </w:p>
        </w:tc>
      </w:tr>
    </w:tbl>
    <w:p>
      <w:pPr>
        <w:spacing w:after="120" w:before="80"/>
        <w:jc w:val="center"/>
      </w:pPr>
      <w:r>
        <w:rPr>
          <w:rFonts w:ascii="Times New Roman" w:cs="Times New Roman" w:eastAsia="Times New Roman" w:hAnsi="Times New Roman"/>
          <w:i/>
          <w:iCs/>
          <w:color w:val="595959"/>
          <w:sz w:val="20"/>
          <w:szCs w:val="20"/>
        </w:rPr>
        <w:t xml:space="preserve">Tableau 1.4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réussite d’un projet dépend en grande partie de la méthodologie de développement adoptée, notamment de sa capacité à s’adapter aux évolutions des besoins et à assurer une livraison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nous avons choisi la méthodologie Agile Scrum [1, 2], car elle est particulièrement adaptée au développement d’une solution intégrant plusieurs modules, tels que le pipeline ETL, la prévision des ventes, la gestion intelligente des stocks et le tableau de bord décisionnel.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permet de réaliser et de valider progressivement chaque module, tout en facilitant les échanges avec les encadrants et l’intégration des améliorations au fil des sprints.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déroulement de notre projet Scrum suit les étapes suivantes [2] :</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1. Élaboration du Product Backlog.</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2. Planification des sprints.</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3. Développement et tests des fonctionnalités.</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4. Livraison d’un incrément fonctionnel à la fin de chaque sprint.</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5. Revue du sprint et amélioration continue.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suivante illustre le cycle de vie de la méthodologie Scrum :</w:t>
      </w:r>
    </w:p>
    <w:p>
      <w:pPr>
        <w:spacing w:after="40" w:before="40"/>
      </w:pPr>
      <w:r>
        <w:t xml:space="preserve"/>
      </w:r>
    </w:p>
    <w:p>
      <w:pPr>
        <w:spacing w:after="60" w:before="14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48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1.4 : Cycle de la méthodologie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Application de Scrum au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des rôles Scrum a été formalisée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(encadrant en entreprise), garant de la conformité aux besoins industriels et de la priorisation du Product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(encadrant universitaire à la FSM), veillant au respect de la démarche scientifique, à la méthodologie et à la levée des blocages théoriques.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 en charge de la conception architecturale, de l'ingénierie des données, du développement des modèles d'IA et de l'intégration logicielle.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répertorie l'ensemble des 20 exigences du système formulées sous forme de User Stories, priorisées et estimées en jours selon les sprints de réalisation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(jours)</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besoins d'approvisionnement</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Basse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4 modèles d'IA (Prophet, RF, ARIMA, Régression) pour fiabiliser les prévisions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cadence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avec filtres multi-critères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superviser la production globale sur un tableau de bord exécutif Power BI</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analyser la valorisation et les mouvements de stock sur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articulé en cinq sprints consécutifs de quatre semaines, chacun donnant lieu à un chapitre dédié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926"/>
        <w:gridCol w:w="3370"/>
        <w:gridCol w:w="3370"/>
      </w:tblGrid>
      <w:tr>
        <w:trPr>
          <w:tblHeader/>
        </w:trPr>
        <w:tc>
          <w:tcPr>
            <w:tcW w:type="dxa" w:w="1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3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w:t>
            </w:r>
          </w:p>
        </w:tc>
        <w:tc>
          <w:tcPr>
            <w:tcW w:type="dxa" w:w="33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principal</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et conception globale</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et architecture globale</w:t>
            </w:r>
          </w:p>
        </w:tc>
      </w:tr>
      <w:tr>
        <w:tc>
          <w:tcPr>
            <w:tcW w:type="dxa" w:w="1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nettoyage des données et pipeline ETL</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 assaini et table analytique consolidée</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module de gestion des stocks</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alertes et recommandations d'approvisionnement</w:t>
            </w:r>
          </w:p>
        </w:tc>
      </w:tr>
      <w:tr>
        <w:tc>
          <w:tcPr>
            <w:tcW w:type="dxa" w:w="1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par IA (4 modèles)</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Modèles comparés (Prophet, RF, ARIMA, Régression) et Isolation Forest</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tableaux de bord et validation</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Power BI / Web d'atelier et recette fonctionnelle</w:t>
            </w:r>
          </w:p>
        </w:tc>
      </w:tr>
    </w:tbl>
    <w:p>
      <w:pPr>
        <w:spacing w:after="120" w:before="80"/>
        <w:jc w:val="center"/>
      </w:pPr>
      <w:r>
        <w:rPr>
          <w:rFonts w:ascii="Times New Roman" w:cs="Times New Roman" w:eastAsia="Times New Roman" w:hAnsi="Times New Roman"/>
          <w:i/>
          <w:iCs/>
          <w:color w:val="595959"/>
          <w:sz w:val="20"/>
          <w:szCs w:val="20"/>
        </w:rPr>
        <w:t xml:space="preserve">Tableau 1.6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les aspects structurels et comportementaux du système,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2.5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[28] a été utilisé. Étant donné que notre projet est principalement axé sur la Data Science et l'intelligence artificielle appliquée à la plasturgie automobile, nous avons utilisé quatre diagrammes essentiels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des cas d'utilisation (Chapitre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représentation des interactions entre les acteurs d'atelier et les fonctionnalités de la plateforme Nexora.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classes (Chapitre 2 et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de la structure des entités de production et du schéma de données du Data Warehouse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d'activité (Chapitre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montre les étapes logiques d'ingestion, d'assainissement et de transformation du pipeline ETL.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séquence (Chapitre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dynamique des flux de requêtes entre l'utilisateur, les rapports Power BI et le Data Warehouse SQL Server.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établi les fondements du projet Nexora au sein de l'environnement industriel de la plasturgie automobile. L'analyse critique de l'existant a confirmé l'impérieuse nécessité d'un système décisionnel unifié, capable de relier le Data Warehouse à des algorithmes d'IA prédictive et à des tableaux de bord ergonomiques. La démarche Agile Scrum et la modélisation UML fournissent le cadre rigoureux garantissant une réalisation maîtrisée. Le chapitre suivant détaille les résultats du Sprint 0, consacré à la spécification fine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Étape charnière de tout projet d'ingénierie logicielle d'envergure, le Sprint 0 a pour objectif de formaliser l'ensemble des exigences du système décisionnel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d'analyser les interactions entre les utilisateurs et la plateforme, de concevoir l'architecture technique en quatre couches et d'arrêter la stack logicielle et matérielle mobilisée tout au long du cycle de vie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méthodique des exigences permet de traduire les objectifs industriels exprimés par la direction de l'usine en fonctionnalités logicielles vérifiables et quantifiables. Nous distinguons les besoins fonctionnels, décrivant les services attendus, des besoins non fonctionnels, fixant les exigences de qualité technique.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besoins fonctionnels sont ventilés selon les rôles opérationnels des utilisateurs de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Responsable de Production / Chef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superviser l'ensemble du parc de 319 presses en temps réel, visualiser instantanément le Taux de Rendement Global (TRG/OEE) global et par machine, consulter la décomposition du TRG (Disponibilité, Performance, Qualité), identifier les causes d'arrêt machine (changement de moule, panne mécanique, réglage thermique), et accéder aux prévisions de cadences à 7, 15 et 30 jours pour équilibrer la charge des équipes en régime 3x8.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Gestionnaire des Stocks et des 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analyser en temps réel l'état des 6 875 références d'articles, filtrer les produits par statut de stock (Rupture, Critique, Normal, Surstock), consulter la couverture en jours et le taux de rotation de chaque matière plastique, recevoir des alertes de rupture imminente hiérarchisées par coût d'arrêt évité, et obtenir des recommandations automatisées de réapprovisionnement sous horizon 45 jours avec chiffrage budgétaire.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disposer d'un terminal d'atelier simplifié pour déclarer les débuts et fins d'ordres de fabrication (OF), enregistrer les quantités de pièces conformes et de rebuts, et signaler les événements d'arrêt machine sans perturber le cycle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administrer les comptes utilisateurs et attribuer les rôles selon la politique de contrôle d'accès RBAC (Role-Based Access Control), paramétrer les seuils de stock de sécurité, superviser l'exécution du pipeline ETL, consulter les journaux d'audit de sécurité et déclencher le réentraînement des modèles d'IA prédictive.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Data Warehouse Microsoft SQL Server (Acteur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alimenter de manière continue et fiable le pipeline ETL en données brutes d'atelier (tables CLE, ILE, Item, Machine Center) et garantir l'intégrité référentielle des données industrielles.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besoins non fonctionnels définissent le niveau d'exigence en termes de performance, de sécurité, de robustesse et d'ergonomie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 d'exigence</w:t>
            </w:r>
          </w:p>
        </w:tc>
        <w:tc>
          <w:tcPr>
            <w:tcW w:type="dxa" w:w="6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Spécification Technique et Critère de Qualité Validé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inférieur à 1 seconde pour le chargement des tableaux de bord, et inférieur à 500 ms pour les requêtes analytiques sur les 1,5M de lignes de stock.</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stateless sécurisée par jetons JSON Web Tokens (JWT), chiffrement des échanges en HTTPS/TLS, et cloisonnement strict des accès par rôles RBAC.</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 et Intégrité</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Disponibilité du système garantie à 99,5 %, intégrité transactionnelle ACID sur la base de données, et mécanisme de repli (fallback) hors-ligne en cas de coupure réseau.</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hautement découplée (API REST Spring Boot, microservice FastAPI indépendant), code documenté et versionné sous Git/GitHub.</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 / Scalabilité</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d'absorber l'ajout de nouvelles unités industrielles sans réécriture du socle logiciel, et scalabilité horizontale des microservices sous conteneurs Docker.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Industrielle</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réactive et moderne sous React.js, navigation intuitive sans formation complexe préalable, visualisations interactives adaptées aux écrans d'atelier.</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relief cinq acteurs principaux interagissant avec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Le Responsable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utilisateur clé des fonctionnalités de supervision d'atelier, d'analyse du TRG et de projection des cadences.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Le Gestionnaire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utilisateur principal du module prescriptif d'inventaire, des alertes de rupture et des préconisations d'approvisionnement.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L'Opérateur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terrain alimentant les déclarations de fabrication au pied de presse.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L'Administrateur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responsable de la gouvernance, des rôles RBAC et de la maintenance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Le Data Warehouse SQL Server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non-humain fournissant les données transactionnelles et recevant les résultats consolidés.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illustrant la cartographie des interactions entre les acteurs et les grands modules applicatifs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relations d'inclusion (« include ») traduisent les dépendances intrinsèques du système : la consultation des prévisions de fabrication inclut obligatoirement l'inférence par le modèle d'IA Prophet, qui repose à son tour sur l'exécution préalable du pipeline ETL. De même, la génération des alertes de stock critique inclut le calcul en temps réel de la couverture en jours à partir des prévisions de consommation.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robustesse industrielle, modularité et performance d'analyse en temps réel,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logicielles découplées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(Data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constituée de l'entrepôt de données d'entreprise Microsoft SQL Server 2022. Elle centralise les tables opérationnelles de l'ERP Microsoft Dynamics NAV, notamment les 250 000 opérations de la table </w:t>
      </w:r>
      <w:r>
        <w:rPr>
          <w:rFonts w:ascii="Times New Roman" w:cs="Times New Roman" w:eastAsia="Times New Roman" w:hAnsi="Times New Roman"/>
          <w:b w:val="false"/>
          <w:bCs w:val="false"/>
          <w:i/>
          <w:iCs/>
          <w:color w:val="1A1A1A"/>
          <w:sz w:val="24"/>
          <w:szCs w:val="24"/>
        </w:rPr>
        <w:t xml:space="preserve">Capacity Ledger Entry</w:t>
      </w:r>
      <w:r>
        <w:rPr>
          <w:rFonts w:ascii="Times New Roman" w:cs="Times New Roman" w:eastAsia="Times New Roman" w:hAnsi="Times New Roman"/>
          <w:b w:val="false"/>
          <w:bCs w:val="false"/>
          <w:i w:val="false"/>
          <w:iCs w:val="false"/>
          <w:color w:val="1A1A1A"/>
          <w:sz w:val="24"/>
          <w:szCs w:val="24"/>
        </w:rPr>
        <w:t xml:space="preserve"> et les 1,5 million de mouvements de stock de la table </w:t>
      </w:r>
      <w:r>
        <w:rPr>
          <w:rFonts w:ascii="Times New Roman" w:cs="Times New Roman" w:eastAsia="Times New Roman" w:hAnsi="Times New Roman"/>
          <w:b w:val="false"/>
          <w:bCs w:val="false"/>
          <w:i/>
          <w:iCs/>
          <w:color w:val="1A1A1A"/>
          <w:sz w:val="24"/>
          <w:szCs w:val="24"/>
        </w:rPr>
        <w:t xml:space="preserve">Item Ledger Entry</w:t>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Traitement &amp; ETL (Processing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l'extraction continue des flux SQL Server, l'assainissement des anomalies de stocks négatifs, le feature engineering des 16 variables explicatives industrielles et l'alimentation de la table analytique optimisée.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&amp; IA (Business &amp; AI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cœur décisionnel combinant le backend Spring Boot 3 (API RESTful, gestion des règles métiers, calcul du TRG et sécurité RBAC) et le microservice de Data Science sous FastAPI en Python 3.10 (chargement des modèles Prophet, Random Forest, ARIMA, Isolation Forest et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(Presentation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interface utilisateur accessible par navigateur web, développée avec React 18, enrichie de graphiques dynamiques ApexCharts et de tableaux de bord décisionnels Microsoft Power BI Embedded pour le reporting exécutif.</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phases d'ingénierie des données, d'apprentissage des modèles d'IA et de développement logiciel a été réalisé sur une station de travail disposant des spécifications matérielles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Processeur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Intel Core i7-12700H (14 cœurs physiques, 20 threads, jusqu'à 4.70 GHz).</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Mémoire vive (RAM)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16 Go DDR4 cadencée à 3 200 MHz, permettant la manipulation en mémoire vive de DataFrames volumineux.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SSD NVMe PCIe 4.0 de 512 Go offrant un débit supérieur à 3 500 Mo/s pour les transferts de bases de données.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Système d'exploitation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Microsoft Windows 11 Professionnel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détaille la suite logicielle, les frameworks et bibliothèques techniques mobilisés tout au long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4866"/>
      </w:tblGrid>
      <w:tr>
        <w:trPr>
          <w:tblHeader/>
        </w:trPr>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 / Technologie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Utilisation</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Environnement de développement</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 Studio Code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1.104.1</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de code utilisé pour le développement Python, React et scripts d'intégration.</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IntelliJ IDEA</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2024.1</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intégré pour le backend Spring Boot 3 et Java 17.</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Git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2.52.0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contrôle de version pour le suivi des modifications.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GitHub</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Plateforme d'hébergement pour le versionnement collaboratif et la traçabilité.</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SGBD</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2022</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(dbDWH).</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 Server Management Studio (SSMS)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19.3</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d'administration, de profilage et d'optimisation des index clusterisés SQL.</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Langage de programmation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Python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3.10.11</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 ETL, modélisation de séries temporelles et microservice API.</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Java (JDK)</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Socle d'exécution robuste et performant pour le serveur applicatif Spring Boot 3.</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TypeScript / JavaScript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ES2022</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web réactive sous React.js.</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Frameworks et Bibliothèques Web</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3.2.4</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Framework backend : exposition des API RESTful, Spring Data JPA et sécurité JWT.</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0.110.0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web asynchrone ultra-rapide dédié au service des prédictions d'IA.</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React.js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18.2.0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frontend pour la construction de l'interface web réactive d'atelier.</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Axios / CSS3</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Client HTTP pour la communication avec les API REST et stylisation responsive de l'interface.</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Bibliothèques Python</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Pandas</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et analyse des données tabulaires (DataFrame).</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NumPy</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1.26.0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Calculs numériques et tableaux multidimensionnels vectorisés.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PyODBC / SQLAlchemy</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Connecteur et ORM facilitant les interactions avec la base de données SQL Server.</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Scikit-learn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1.3.0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Prétraitement, segmentation K-Means et détection d'anomalies Isolation Forest.</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bayésienne des séries temporelles (prévision de production et de stock).</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Statsmodels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autorégressive ARIMA, tests de stationnarité (ADF) et décompositions.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Matplotlib</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graphiques analytiques et courbes de prévision.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Seaborn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0.13.0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Visualisations statistiques avancées et matrices de corrélation.</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Modélisation et conception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Power BI</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tableaux de bord décisionnels interactifs pour l'atelier.</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 (OMG)</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2.5.1</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modélisation unifié pour l'architecture et la conception du système.</w:t>
            </w:r>
          </w:p>
        </w:tc>
      </w:tr>
    </w:tbl>
    <w:p>
      <w:pPr>
        <w:spacing w:after="120" w:before="80"/>
        <w:jc w:val="center"/>
      </w:pPr>
      <w:r>
        <w:rPr>
          <w:rFonts w:ascii="Times New Roman" w:cs="Times New Roman" w:eastAsia="Times New Roman" w:hAnsi="Times New Roman"/>
          <w:i/>
          <w:iCs/>
          <w:color w:val="595959"/>
          <w:sz w:val="20"/>
          <w:szCs w:val="20"/>
        </w:rPr>
        <w:t xml:space="preserve">Tableau 2.2 : Outils et technologies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Sprint 0, posant les fondations conceptuelles, fonctionnelles et architecturales de la plateforme Nexora. La spécification détaillée des besoins par profil métier a permis de cerner avec précision les services attendus en atelier. L'architecture en quatre couches assure une séparation rigoureuse des responsabilités, garantissant la fluidité des requêtes DWH et l'évolutivité du moteur prédictif. Le choix d'une stack éprouvée (Spring Boot 3, FastAPI, Prophet, React.js, Power BI) garantit la pérennité de la solution. Le chapitre suivant détaille le Sprint 1, consacré au prétraitement des données du Data Warehouse et à la construction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d'ingénierie décisionnelle et de modélisation prédictive appliquée à l'industrie manufacturière, la qualité intrinsèque des données conditionne directement la fiabilité des modèles d'IA et la justesse des arbitrages d'atelier. Dans un environnement opérationnel réel, les données sources ne sont jamais immédiatement exploitables : elles sont extraites sous forme de fichiers CSV bruts volumineux et hétérogènes (notamment le fichier d'inventaire ASTOCKDATE_RAW.csv comportant plus de 51 500 enregistrements avec 20 % à 25 % d'anomalies de saisie, ainsi que les journaux de production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de ce premier sprint de réalisation est d'architecturer un pipeline ETL (Extract, Transform, Load) entièrement automatisé en Python, de concevoir un moteur d'assainissement systématique traitant l'ensemble des anomalies industrielles (doublons, dates corrompues, séparateurs décimaux, coûts négatifs, stocks transitoires), de modéliser le schéma en étoile du Data Warehouse Microsoft SQL Server (dbDWH1) à travers sept tables certifiées, et de générer un socle analytique assaini prêt pour l'apprentissage automatique et le reporting décisionnel.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présente le Sprint Backlog du Sprint 1, ordonnancé par niveau de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d'ingénierie et de développement</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Ingestion et diagnostic qualité des exports CSV bruts (ASTOCKDATE_RAW.csv, 51 500 lignes)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de nettoyage des 10 anomalies industrielles (cleaners.py)</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du schéma en étoile et transformation des 7 tables DWH (transform.py)</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connecteur de chargement haute performance SQL Server dbDWH1 (load.py)</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Feature Engineering : génération de 16 variables explicatives (lags, moyennes mobiles, shifts)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des données (EDA) : distributions, saisonnalités et détection des arrêts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 l'indexation clusterisée sur SQL Server pour réduire la latence de requêtage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journalisation (logging) et du rapport d'audit automatisé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3.1 : Priorisation des tâches pour le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3.3.1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des extractions opérationnelles de l'ERP Microsoft Dynamics NAV et des capteurs d'atelier des sites industriels de Kondar, Sousse et Brno. Ces extractions couvrent une période continue de 851 jours d'activité d'atelier (du 1er janvier 2024 au 30 avril 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3.2 présente un aperçu statistique global de la volumétrie traitée lors du cycle d'ingestion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166"/>
      </w:tblGrid>
      <w:tr>
        <w:trPr>
          <w:tblHeader/>
        </w:trPr>
        <w:tc>
          <w:tcPr>
            <w:tcW w:type="dxa" w:w="4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Clé de Volumétrie</w:t>
            </w:r>
          </w:p>
        </w:tc>
        <w:tc>
          <w:tcPr>
            <w:tcW w:type="dxa" w:w="4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 Quantité Consolidée</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Enregistrements d'inventaire bruts extraits (ASTOCKDATE_RAW.csv)</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51 500 lignes brutes (~25 % d'anomalies)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Enregistrements de mouvements de stock certifiés (FACT_Mvts_Stocks)</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mouvements qualifiés</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d'articles distincts qualifiés au catalogue (DIM_FamArt)</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800 références industrielles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centres de charge / presses à injecter actives (DIM_OF-Mach)</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presses (tonnages de 50T à 1500T)</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d'enregistrements en-cours de fabrication (FACT_Encours)</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8 344 lignes d'atelier</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composants et liens de nomenclature gérés (FACT_BOM)</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439 liens d'assemblage</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 totale des stocks assainis sous gestion</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14 850 420 TND</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d'activité analysée</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851 jours d'atelier (01/01/2024 au 30/04/2026)</w:t>
            </w:r>
          </w:p>
        </w:tc>
      </w:tr>
    </w:tbl>
    <w:p>
      <w:pPr>
        <w:spacing w:after="120" w:before="80"/>
        <w:jc w:val="center"/>
      </w:pPr>
      <w:r>
        <w:rPr>
          <w:rFonts w:ascii="Times New Roman" w:cs="Times New Roman" w:eastAsia="Times New Roman" w:hAnsi="Times New Roman"/>
          <w:i/>
          <w:iCs/>
          <w:color w:val="595959"/>
          <w:sz w:val="20"/>
          <w:szCs w:val="20"/>
        </w:rPr>
        <w:t xml:space="preserve">Tableau 3.2 : Aperçu statistique général de la base de données DWH</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Description des tables principales du Data Warehouse dbDWH1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Microsoft SQL Server (dbDWH1) est structuré selon un schéma en étoile (Star Schema) certifié, articulé autour de deux tables de dimensions et de cinq tables de faits majeures, garantissant une intégrité référentielle stricte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 SQL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Schéma</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Métier et Contenu Industriel dans le Projet Nexora</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dbo.DIM_FamArt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unifié des articles : code article (Code_Article), désignation normalisée, nom abrégé, famille matière plastique (PP, PA66, ABS), groupe comptable et typologie client.</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dbo.DIM_OF-Mach</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centres de charge : 319 presses à injecter réparties sur les sites de Kondar, Sousse et Brno, atelier d'affectation, tonnage (50T à 1500T) et cadence nominale.</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dbo.FACT_Mvts_Stocks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certifié des mouvements de stock : date de mouvement, référence article, quantité mouvementée, coût unitaire valorisé, site de stockage et sens du flux (consommation ou réapprovisionnement).</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dbo.FACT_Encours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en-cours de fabrication (WIP) : enregistrement des pièces et semi-finis actuellement immobilisés en cours d'injection sur les lignes de presse.</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dbo.Fact_PA</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Production réelle d'atelier : suivi journalier des pièces injectées, volume de pièces conformes, rebuts et cadences effectives par poste.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dbo.FACT_OF-Rebuts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Qualité et défaillances : traçabilité des pièces non conformes, causes d'apparition (bavures, retassures, déformations) et valorisation financière de la non-qualité.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dbo.FACT_BOM</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Nomenclatures industrielles (Bill of Materials) : composition arborescente des produits finis, liens d'assemblage et coefficients techniques de consommation matière.</w:t>
            </w:r>
          </w:p>
        </w:tc>
      </w:tr>
    </w:tbl>
    <w:p>
      <w:pPr>
        <w:spacing w:after="120" w:before="80"/>
        <w:jc w:val="center"/>
      </w:pPr>
      <w:r>
        <w:rPr>
          <w:rFonts w:ascii="Times New Roman" w:cs="Times New Roman" w:eastAsia="Times New Roman" w:hAnsi="Times New Roman"/>
          <w:i/>
          <w:iCs/>
          <w:color w:val="595959"/>
          <w:sz w:val="20"/>
          <w:szCs w:val="20"/>
        </w:rPr>
        <w:t xml:space="preserve">Tableau 3.3 : Tables principales de la base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Modélisation dimensionnelle en étoile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expose le schéma relationnel en étoile modélisant les liens d'intégrité entre les dimensions et les tables de faits du Data Warehouse dbDWH1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Diagramme relationnel et structure de la base de données DWH</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règles de gestion et cardinalités modélisées sont les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 FACT_Mvts_Stocks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un article du catalogue subit de multiples mouvements d'entrées, sorties et consommations au fil du temps.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 FACT_Encours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chaque référence peut se trouver en cours de transformation sur une ou plusieurs lignes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DIM_OF-Mach – Fact_PA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chaque presse à injecter génère quotidiennement des enregistrements de cadence et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 FACT_BOM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un article parent fait l'objet d'une décomposition arborescente en composants élémentaires.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Fact_PA – FACT_OF-Rebuts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chaque ordre de fabrication et lot de pièces peut générer des rebuts catégorisés par cause technique.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3.4.1 Analyse statistique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analyse statistique approfondie a été conduite sur la série temporelle journalière consolidée afin de caractériser la distribution des cadences de production et de détecter d'éventuelles régularités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de Production</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Cadence journalière (pièces/jour)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12 450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64 890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63 120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19 450</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30,0 %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d'injection effectives / jour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420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2 380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1 890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295 h</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d'arrêts machines / 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890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285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h</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40,4 %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rebut moyen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1,85 %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1,70 %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35,1 %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 (TRG/OEE)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48,2 %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88,6 %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71,4 %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72,1 %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9,5 %</w:t>
            </w:r>
          </w:p>
        </w:tc>
      </w:tr>
    </w:tbl>
    <w:p>
      <w:pPr>
        <w:spacing w:after="120" w:before="80"/>
        <w:jc w:val="center"/>
      </w:pPr>
      <w:r>
        <w:rPr>
          <w:rFonts w:ascii="Times New Roman" w:cs="Times New Roman" w:eastAsia="Times New Roman" w:hAnsi="Times New Roman"/>
          <w:i/>
          <w:iCs/>
          <w:color w:val="595959"/>
          <w:sz w:val="20"/>
          <w:szCs w:val="20"/>
        </w:rPr>
        <w:t xml:space="preserve">Tableau 3.4 : Statistiques descriptives de la série journalière de production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met en évidence l'impact des variations saisonnières et des arrêts industriels sur le volume moyen de pièces produites par jour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 Événement Industriel</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Moy. (pcs/j)</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Max (pcs/j)</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Normal</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Régime nominal normal d'atelier</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66 420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98 450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estivale (congés constructeurs)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38 210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Pics de livraison de fin de trimestre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94 850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Maintenance annuelle programmée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18 900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28 400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Modifications d'outillages (moules)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54 300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76 200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0,82</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de Ramadan (régime 3x8 adapté)</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56 800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0,85</w:t>
            </w:r>
          </w:p>
        </w:tc>
      </w:tr>
    </w:tbl>
    <w:p>
      <w:pPr>
        <w:spacing w:after="120" w:before="80"/>
        <w:jc w:val="center"/>
      </w:pPr>
      <w:r>
        <w:rPr>
          <w:rFonts w:ascii="Times New Roman" w:cs="Times New Roman" w:eastAsia="Times New Roman" w:hAnsi="Times New Roman"/>
          <w:i/>
          <w:iCs/>
          <w:color w:val="595959"/>
          <w:sz w:val="20"/>
          <w:szCs w:val="20"/>
        </w:rPr>
        <w:t xml:space="preserve">Tableau 3.5 : Impact des événements et variations industrielles sur la cadence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Visualisation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illustre l'évolution temporelle de la production globale de pièces sur l'ensemble de la période d'étude (2024–2026), mettant en évidence la tendance de fond et les creux d'activité estivaux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Évolution temporelle de la production globale des 319 presses (2024–2026)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distribution hebdomadaire et mensuelle de la production, confirmant le rythme soutenu du mardi au vendredi et la baisse programmée lors des opérations de maintenance du dimanche :</w:t>
      </w:r>
    </w:p>
    <w:p>
      <w:pPr>
        <w:spacing w:after="40" w:before="40"/>
      </w:pPr>
      <w:r>
        <w:t xml:space="preserve"/>
      </w:r>
    </w:p>
    <w:p>
      <w:pPr>
        <w:spacing w:after="60" w:before="140"/>
        <w:jc w:val="center"/>
      </w:pPr>
      <w:r>
        <w:drawing>
          <wp:inline distT="0" distB="0" distL="0" distR="0">
            <wp:extent cx="5143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095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Saisonnalité de production par jour de la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présente la carte thermique (heatmap) croisant les mois de l'année et les jours de semaine, révélant les périodes de forte intensité d'injection plastique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Heatmap d'activité atelier : cadence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globale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pour Nexora (implanté dans le module etl_pipeline/) est conçu selon une architecture modulaire à quatre niveaux garantissant la traçabilité complète de la donnée brute jusqu'à son exploitation décisionnelle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Niveau 1 : Ingestion des sources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fichiers CSV volumineux non nettoyés (ASTOCKDATE_RAW.csv contenant 51 500 enregistrements avec ~20-25 % d'anomalies de saisie) et extractions de cadences machines.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Niveau 2 : Moteur de nettoyage et de qualité (cleaners.py)</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module Python automatisé appliquant systématiquement les règles de correction des 10 anomalies industrielles identifiées.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Niveau 3 : Modélisation et projection Star Schema (transform.py)</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ventilation des flux assainis dans les sept tables de dimensions et de faits de dbDWH1.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Niveau 4 : Chargement haute performance (load.py)</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injection sécurisée dans Microsoft SQL Server via SQLAlchemy et pyodbc (mode fast_executemany) et génération d'un rapport d'audit qualité.</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l'architecture générale et le flux d'exécution du pipeline ETL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d'exécution du pipeline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séquence présenté en figure 3.6 détaille les interactions chronologiques entre les composants logiciels du pipeline :</w:t>
      </w:r>
    </w:p>
    <w:p>
      <w:pPr>
        <w:spacing w:after="40" w:before="40"/>
      </w:pPr>
      <w:r>
        <w:t xml:space="preserve"/>
      </w:r>
    </w:p>
    <w:p>
      <w:pPr>
        <w:spacing w:after="60" w:before="140"/>
        <w:jc w:val="center"/>
      </w:pPr>
      <w:r>
        <w:drawing>
          <wp:inline distT="0" distB="0" distL="0" distR="0">
            <wp:extent cx="4953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3.6 : Diagramme de séquence du pipeline ETL d'atelier</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Extraction des données brutes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L'étape d'extraction (extract.py) est programmée pour ingérer les extractions brutes multi-sources de manière robuste face aux variations d'encodage et de volumétrie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des encodages hétérogènes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détection dynamique entre UTF-8, Latin-1, CP1252 et ISO-8859-1 afin de préserver l'intégrité des caractères accentués issus de l'ERP.</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Ingestion en streaming / par lots (chunks)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découpage des fichiers volumineux par blocs de 10 000 lignes pour garantir une empreinte mémoire stable sous Python.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Conservation des types natifs bruts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initiale en chaînes de caractères (string) pour interdire toute altération silencieuse avant l'application des filtres de nettoyage.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Transformation et assainissement des 10 anomalies de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préliminaire du jeu de données brut ASTOCKDATE_RAW.csv a révélé un taux d'anomalies de 20 % à 25 %, compromettant tout entraînement d'IA direct. Le moteur cleaners.py applique dix règles d'assainissement industriel strictes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Normalisation des identifiants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en majuscules stricte, suppression des espaces résiduels et élimination des lignes dépourvues de clé primaire.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Dédoublonnage rigoureux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purge des doublons intégraux et élimination des doublons sur la clé métier composite (DateStock, No_,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Normalisation textuelle et suppression des espaces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élimination des espaces superflus de début/fin (trimming), réduction des doubles espaces internes et mise au format standardisé des désignations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Harmonisation des dates au format ISO 8601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conversion des formats hétérogènes (YYYY-MM-DD, DD/MM/YYYY, DD-MM-YYYY) en format standardisé ISO et rejet systématique des dates impossibles (ex: 30 février) ou hors horizon (2020–2030).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Assainissement numérique et séparateurs décimaux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remplacement automatique des virgules par des points décimaux, extraction des unités de mesure concaténées ('500 u' vers 500.0) et filtrage des valeurs aberrantes par la méthode d'écart interquartile de Tukey (IQR).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Assainissement des coûts et devises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suffixes monétaires ('TND'), redressement des coûts négatifs ou nuls par substitution avec la médiane de la famille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Harmonisation des catégories matières (GroupeItem)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normalisation en majuscules et correction des fautes de frappe d'atelier ('VYSSEYRIE' vers 'VISSERIE').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Harmonisation des sites de stockage (Site)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standardisation des appellations des dépôts ('DÉPÔT A' vers 'DEPOT A', 'MAGASIN CENTRAL').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 Réconciliation logique inter-colonnes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détection et correction des désaccords entre Quantité et Quantit (ex: réinjection de la valeur réelle en cas de saisie parasite à 999999) et binarisation stricte de l'indicateur d'en-cours Encours (0 ou 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10. Imputation des valeurs manquantes (NULLs)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remplacement des descriptions orphelines par une désignation générique tracée et affectation de catégories par défaut certifiées.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présente le bilan chiffré de qualité avant et après l'exécution du moteur de nettoyage ETL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29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Qualité des Données</w:t>
            </w:r>
          </w:p>
        </w:tc>
        <w:tc>
          <w:tcPr>
            <w:tcW w:type="dxa" w:w="2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(Données Brutes ASTOCKDATE_RAW)</w:t>
            </w:r>
          </w:p>
        </w:tc>
        <w:tc>
          <w:tcPr>
            <w:tcW w:type="dxa" w:w="2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Final (Après Nettoyage ETL)</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d'inventaire extraites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lignes brutes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32 043 lignes valides certifiées (FACT_Mvts_Stocks)</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dupliquées (doublons de clés)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18 337 doublons détectés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doublon résiduel (clé composite stricte vérifiée)</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Dates invalides / impossibles (ex: 30 fév.)</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660 dates erronées identifiées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date invalide (100 % normalisées ISO 8601)</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Textes et désignations désordonnés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67 039 anomalies de casse et espaces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espace résiduel (formatage titré standardisé)</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Séparateurs décimaux et unités concaténées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464 erreurs de format numérique ('500 u')</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anomalie (types float IEEE 754 conformes)</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Coûts négatifs, nuls ou devises parasites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528 enregistrements de coût viciés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coût aberrant (imputation par médiane de famille)</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d'atelier</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cas de décalage de bon de livraison</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cas négatif (redressement sur valeur absolue)</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Incohérences logiques (Quantité vs Quantit)</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849 divergences de colonnes résolues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de cohérence logique inter-attributs</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manquantes critiques (NULLs)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365 champs essentiels non renseignés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valeur NULL orpheline (imputation maîtrisée)</w:t>
            </w:r>
          </w:p>
        </w:tc>
      </w:tr>
    </w:tbl>
    <w:p>
      <w:pPr>
        <w:spacing w:after="120" w:before="80"/>
        <w:jc w:val="center"/>
      </w:pPr>
      <w:r>
        <w:rPr>
          <w:rFonts w:ascii="Times New Roman" w:cs="Times New Roman" w:eastAsia="Times New Roman" w:hAnsi="Times New Roman"/>
          <w:i/>
          <w:iCs/>
          <w:color w:val="595959"/>
          <w:sz w:val="20"/>
          <w:szCs w:val="20"/>
        </w:rPr>
        <w:t xml:space="preserve">Tableau 3.6 : Bilan de la qualité des données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Feature Engineering (16 variables explicatives industrielles)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l'issue du nettoyage, le pipeline génère 16 variables explicatives prédictives indispensables aux modèles d'IA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calendaires et de postes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jour de semaine, mois calendaire, indicateur de week-end, et type de shift (Matin, Après-midi, Nuit).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Lags temporels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cadence observée à J-1, J-7 (même jour de semaine précédente), et J-14.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Moyennes et volatilités mobiles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moyennes glissantes sur 7 et 14 jours, écart-type glissant de cadence sur 28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industriels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 de maintenance programmée, indicateur de changement de moule, et ratio de cadence machine.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Chargement dans Microsoft SQL Server dbDWH1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L'étape de chargement (load.py) peuple de manière transactionnelle les sept tables du Data Warehouse dbDWH1. Pour garantir un débit d'ingestion élevé et des temps de réponse analytiques inférieurs à 500 ms sur plusieurs millions de mouvements, la stratégie technique combine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L'utilisation du mode bulk SQLAlchemy avec `fast_executemany=True` via le pilote ODBC Driver 17 for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 mise en place d'un index clusterisé composite sur `(Date_Mouvement, Code_Article, Emplacement_Site)` sur la table `FACT_Mvts_Stocks`.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L'activation de contraintes d'intégrité référentielle assurant que tout mouvement ou en-cours référence une clé valide dans `DIM_FamArt` ou `DIM_OF-Mach`.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 génération simultanée d'un export miroir certifié au format CSV / Parquet dans le répertoire `output_clean/` facilitant l'accès direct aux notebooks de Data Science.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synthétise les résultats quantitatifs obtenus à l'issue de l'exécution complète du pipeline ETL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gridCol w:w="3466"/>
      </w:tblGrid>
      <w:tr>
        <w:trPr>
          <w:tblHeader/>
        </w:trPr>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du Pipeline</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51 500 enregistrements (ASTOCKDATE_RAW.csv)</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qualifiées dans FACT_Mvts_Stocks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 certifiés</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tables DWH alimentées (dbDWH1)</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 tables (2 Dimensions et 5 Faits)</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features industrielles créées pour l'IA</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 variables d'entrée prédictives</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d'anomalies résiduelles après pipeline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0,0 % (100 % de conformité d'intégrité)</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d'exécution du pipeline complet</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2,64 secondes pour le jeu de données d'inventaire complet</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 requêtage analytique DWH</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448 ms (grâce à l'indexation clusterisée composite)</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rétention de données conformes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62,22 % (élimination maîtrisée des doublons et scories)</w:t>
            </w:r>
          </w:p>
        </w:tc>
      </w:tr>
    </w:tbl>
    <w:p>
      <w:pPr>
        <w:spacing w:after="120" w:before="80"/>
        <w:jc w:val="center"/>
      </w:pPr>
      <w:r>
        <w:rPr>
          <w:rFonts w:ascii="Times New Roman" w:cs="Times New Roman" w:eastAsia="Times New Roman" w:hAnsi="Times New Roman"/>
          <w:i/>
          <w:iCs/>
          <w:color w:val="595959"/>
          <w:sz w:val="20"/>
          <w:szCs w:val="20"/>
        </w:rPr>
        <w:t xml:space="preserve">Tableau 3.7 : Résultats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3.8 présente le bilan d'avancement du Sprint 1 et la validation formelle des livrables techniques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Ingestion des exports CSV</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extract.py multi-encodages opérationnel</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nettoyage qualité</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cleaners.py résolvant les 10 anomalies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Star Schema</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tables DWH configurées dans dbDWH1 (transform.py)</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haute performance</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load.py avec bulk insert SQL Server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Feature Engineering</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 variables d'entrée calculées pour l'apprentissage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SQL Server</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clusterisés (temps de réponse ramené à 448 ms)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 automatisé</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de qualité avant/après intégré dans le runner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Dossier de code etl_pipeline/</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Package Python complet, testé et documenté</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3.8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réalisations concrètes menées au cours du Sprint 1. Face à un jeu de données industriel brut comportant plus de 51 500 enregistrements et 20 % à 25 % d'anomalies de saisie, la mise en œuvre d'un pipeline ETL automatisé en Python (etl_pipeline/) a permis de résoudre les dix problématiques de qualité identifiées. Grâce à la modélisation en étoile du Data Warehouse dbDWH1 et à l'alimentation certifiée de ses sept tables relationnelles, nous disposons d'un socle décisionnel fiable et performant. Le chapitre suivant détaille le Sprint 2, dédié à l'exploitation de ces données pour la gestion intelligente et l'optimisation des stocks de l'atelier.</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Agile Scrum. La maîtrise rigoureuse des stocks de matières premières (résines thermoplastiques, polymères techniques) et de composants injectés constitue un enjeu stratégique vital pour la rentabilité et la continuité d'exploitation d'un équipementier automobile Tier-1. L'objectif de ce sprint est de concevoir et d'implémenter le module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intelligente et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plateforme Nexora. En exploitant l'état d'inventaire et les flux physiques consolidés issus du Data Warehouse Microsoft SQL Server (table Item Ledger Entry), ce module évalue en temps réel le niveau de risque des 6 875 références d'articles, diagnostique instantanément les pénuries et génère automatiquement des préconisations de réapprovisionnement chiffrées pour sécuriser la continuité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récapitule les tâches ordonnancées pour le Sprint 2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d'Ingénierie de Gestion des Stocks</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fonctionnelle en 4 étapes du module de 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consommations moyennes, de la couverture d'atelier et de la rotation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catégorielle des 6 875 articles (Rupture, Critique, Normal, Surstock)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l'algorithme de calcul des quantités économiques pour une couverture de 45 jours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d'alertes prédictives priorisées par coût d'arrêt de ligne évité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visualisations d'inventaire et export CSV/XLSX dans l'application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opère selon un processus séquentiel en quatre étapes majeures, illustré par la figure 4.1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Architecture et flux d'exécution du module de gestion des stocks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ingestion continue des stocks physiques actuels et des mouvements historiques issus de la table </w:t>
      </w:r>
      <w:r>
        <w:rPr>
          <w:rFonts w:ascii="Times New Roman" w:cs="Times New Roman" w:eastAsia="Times New Roman" w:hAnsi="Times New Roman"/>
          <w:b w:val="false"/>
          <w:bCs w:val="false"/>
          <w:i/>
          <w:iCs/>
          <w:color w:val="1A1A1A"/>
          <w:sz w:val="24"/>
          <w:szCs w:val="24"/>
        </w:rPr>
        <w:t xml:space="preserve">Item Ledger Entry</w:t>
      </w:r>
      <w:r>
        <w:rPr>
          <w:rFonts w:ascii="Times New Roman" w:cs="Times New Roman" w:eastAsia="Times New Roman" w:hAnsi="Times New Roman"/>
          <w:b w:val="false"/>
          <w:bCs w:val="false"/>
          <w:i w:val="false"/>
          <w:iCs w:val="false"/>
          <w:color w:val="1A1A1A"/>
          <w:sz w:val="24"/>
          <w:szCs w:val="24"/>
        </w:rPr>
        <w:t xml:space="preserv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métriques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journalier moyen, de la couverture en jours et du coefficient de rotation.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multi-niveaux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catégorisation instantanée de chaque article dans un état d'inventaire normé.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Moteur prescriptif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dimensionnement automatique des commandes à passer, évaluation du budget d'approvisionnement et déclenchement d'alertes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Analyse des niveaux de stock et de rotation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traduire les flux physiques d'atelier en indicateurs opérationnels pour chacun des 6 875 composants et polymères du catalogue, nous calculons pour chaque article </w:t>
      </w:r>
      <w:r>
        <w:rPr>
          <w:rFonts w:ascii="Times New Roman" w:cs="Times New Roman" w:eastAsia="Times New Roman" w:hAnsi="Times New Roman"/>
          <w:b w:val="false"/>
          <w:bCs w:val="false"/>
          <w:i/>
          <w:iCs/>
          <w:color w:val="1A1A1A"/>
          <w:sz w:val="24"/>
          <w:szCs w:val="24"/>
        </w:rPr>
        <w:t xml:space="preserve">i</w:t>
      </w:r>
      <w:r>
        <w:rPr>
          <w:rFonts w:ascii="Times New Roman" w:cs="Times New Roman" w:eastAsia="Times New Roman" w:hAnsi="Times New Roman"/>
          <w:b w:val="false"/>
          <w:bCs w:val="false"/>
          <w:i w:val="false"/>
          <w:iCs w:val="false"/>
          <w:color w:val="1A1A1A"/>
          <w:sz w:val="24"/>
          <w:szCs w:val="24"/>
        </w:rPr>
        <w:t xml:space="preserve"> le taux de consommation journalier moyen sur la base de l'historique d'atelier consolidé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consommation, deux indicateurs clés sont recalculés en continu pour chaque référence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résiduelle d'autonomie de l'atelier sans réapprovisionnement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coefficient de rotation du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 d'intensité d'écoulement matière :
</w:t>
      </w:r>
      <w:r>
        <w:rPr>
          <w:rFonts w:ascii="Times New Roman" w:cs="Times New Roman" w:eastAsia="Times New Roman" w:hAnsi="Times New Roman"/>
          <w:b w:val="false"/>
          <w:bCs w:val="false"/>
          <w:i/>
          <w:iCs/>
          <w:color w:val="1A1A1A"/>
          <w:sz w:val="24"/>
          <w:szCs w:val="24"/>
        </w:rPr>
        <w:t xml:space="preserve">rotation_i = Consommation_Annuelle_i / stock_actuel_i</w:t>
      </w:r>
      <w:r>
        <w:rPr>
          <w:rFonts w:ascii="Times New Roman" w:cs="Times New Roman" w:eastAsia="Times New Roman" w:hAnsi="Times New Roman"/>
          <w:b w:val="false"/>
          <w:bCs w:val="false"/>
          <w:i w:val="false"/>
          <w:iCs w:val="false"/>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composant à flux tendu hautement sensible, tandis qu'une rotation anormalement basse signale un article dormant risquant l'obsolescence technique et immobilisant du capital.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Classification des produits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référence du catalogue est classée selon des règles strictes définies conjointement avec la direction logistique de l'usine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Règle de Gestion et Condition Métier</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Requise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physique = 0 unité (presse à l'arrêt)</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immédiat d'une commande d'urgence.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disponible &lt; 15 jours de fabrication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Lancement d'un bon de commande prioritaire sous 7 jours.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sécurité ; aucune action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 120 jours (capital immobilisé)</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temporaire des commandes et rééquilibrage inter-usines.</w:t>
            </w:r>
          </w:p>
        </w:tc>
      </w:tr>
    </w:tbl>
    <w:p>
      <w:pPr>
        <w:spacing w:after="120" w:before="80"/>
        <w:jc w:val="center"/>
      </w:pPr>
      <w:r>
        <w:rPr>
          <w:rFonts w:ascii="Times New Roman" w:cs="Times New Roman" w:eastAsia="Times New Roman" w:hAnsi="Times New Roman"/>
          <w:i/>
          <w:iCs/>
          <w:color w:val="595959"/>
          <w:sz w:val="20"/>
          <w:szCs w:val="20"/>
        </w:rPr>
        <w:t xml:space="preserve">Tableau 4.2 : Classification des produits par niveau de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Génération des recommandations</w:t>
      </w:r>
    </w:p>
    <w:p>
      <w:pPr>
        <w:pStyle w:val="Heading3"/>
        <w:spacing w:after="70" w:before="140"/>
        <w:outlineLvl w:val="2"/>
      </w:pPr>
      <w:r>
        <w:rPr>
          <w:rFonts w:ascii="Times New Roman" w:cs="Times New Roman" w:eastAsia="Times New Roman" w:hAnsi="Times New Roman"/>
          <w:b/>
          <w:bCs/>
          <w:color w:val="000000"/>
          <w:sz w:val="24"/>
          <w:szCs w:val="24"/>
        </w:rPr>
        <w:t xml:space="preserve">4.6.1 Calcul des quantités à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tout article identifié en état de Rupture ou de Stock Critique, le module calcule automatiquement la quantité optimale à commander afin de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cible sécurisée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le délai moyen d'approvisionnement fournisseur de 30 jours augmenté d'un stock tampon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Q_commander_i = max(Q_min_conditionnement, floor(taux_journalier_i </w:t>
      </w:r>
      <w:r>
        <w:rPr>
          <w:rFonts w:ascii="Times New Roman" w:cs="Times New Roman" w:eastAsia="Times New Roman" w:hAnsi="Times New Roman"/>
          <w:b w:val="false"/>
          <w:bCs w:val="false"/>
          <w:i/>
          <w:iCs/>
          <w:color w:val="1A1A1A"/>
          <w:sz w:val="24"/>
          <w:szCs w:val="24"/>
        </w:rPr>
        <w:t xml:space="preserve"> 45) - stock_actuel_i)</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 seuil minimal de commande respectant les unités logistiques de livraison (sacs de granulés de 25 kg, fûts ou palettes complètes) est automatiquement imposé pour préserver la rentabilité des coûts de transport.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Estimation du budget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d'approvisionnement global recommandé est calculé en valorisant chaque quantité préconisée par son coût d'achat unitaire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w:t>
      </w:r>
      <w:r>
        <w:rPr>
          <w:rFonts w:ascii="Times New Roman" w:cs="Times New Roman" w:eastAsia="Times New Roman" w:hAnsi="Times New Roman"/>
          <w:b w:val="false"/>
          <w:bCs w:val="false"/>
          <w:i/>
          <w:iCs/>
          <w:color w:val="1A1A1A"/>
          <w:sz w:val="24"/>
          <w:szCs w:val="24"/>
        </w:rPr>
        <w:t xml:space="preserve"> Prix_Achat_Unitaire_i)</w:t>
      </w:r>
      <w:r>
        <w:rPr>
          <w:rFonts w:ascii="Times New Roman" w:cs="Times New Roman" w:eastAsia="Times New Roman" w:hAnsi="Times New Roman"/>
          <w:b w:val="false"/>
          <w:bCs w:val="false"/>
          <w:i/>
          <w:iCs/>
          <w:color w:val="1A1A1A"/>
          <w:sz w:val="24"/>
          <w:szCs w:val="24"/>
        </w:rPr>
        <w:t xml:space="preserve"> pour tous les articles en Rupture ou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chiffrage instantané permet aux acheteurs et à la direction financière d'anticiper les décaissements de trésorerie sur les quatre semaines à venir.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Alertes intelligentes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guider les approvisionneurs d'atelier submergés par le volume d'articles, le système génère des alertes prescriptives priorisées par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coût financier d'arrêt de ligne évité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Perte_Estimée_i = max(0, (45 - couverture_jours_i) </w:t>
      </w:r>
      <w:r>
        <w:rPr>
          <w:rFonts w:ascii="Times New Roman" w:cs="Times New Roman" w:eastAsia="Times New Roman" w:hAnsi="Times New Roman"/>
          <w:b w:val="false"/>
          <w:bCs w:val="false"/>
          <w:i/>
          <w:iCs/>
          <w:color w:val="1A1A1A"/>
          <w:sz w:val="24"/>
          <w:szCs w:val="24"/>
        </w:rPr>
        <w:t xml:space="preserve"> taux_journalier_i </w:t>
      </w:r>
      <w:r>
        <w:rPr>
          <w:rFonts w:ascii="Times New Roman" w:cs="Times New Roman" w:eastAsia="Times New Roman" w:hAnsi="Times New Roman"/>
          <w:b w:val="false"/>
          <w:bCs w:val="false"/>
          <w:i/>
          <w:iCs/>
          <w:color w:val="1A1A1A"/>
          <w:sz w:val="24"/>
          <w:szCs w:val="24"/>
        </w:rPr>
        <w:t xml:space="preserve"> Coût_Horaire_Arrêt)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extrait et met en exergue dans le tableau de bord le top 20 des urgences absolues nécessitant une décision immédiate du responsable logistique.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menée sur l'ensemble des 6 875 articles du catalogue d'entreprise révèle la répartition visuelle présentée en figure 4.2 :</w:t>
      </w:r>
    </w:p>
    <w:p>
      <w:pPr>
        <w:spacing w:after="40" w:before="40"/>
      </w:pPr>
      <w:r>
        <w:t xml:space="preserve"/>
      </w:r>
    </w:p>
    <w:p>
      <w:pPr>
        <w:spacing w:after="60" w:before="140"/>
        <w:jc w:val="center"/>
      </w:pPr>
      <w:r>
        <w:drawing>
          <wp:inline distT="0" distB="0" distL="0" distR="0">
            <wp:extent cx="5143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Segmentation multicritère Pareto ABC et Clustering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les 6 875 articles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4 920 articles (71,6 %) sont à un niveau de couverture sain.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312 articles (4,5 %) sont en rupture complète.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1 240 articles (18,0 %) présentent moins de 15 jours d'autonomie.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403 articles (5,9 %) immobilisent inutilement du fonds de roulement.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4.3 illustre la concentration des articles en rupture et en stock critique selon les familles de matières plastiques :</w:t>
      </w:r>
    </w:p>
    <w:p>
      <w:pPr>
        <w:spacing w:after="40" w:before="40"/>
      </w:pPr>
      <w:r>
        <w:t xml:space="preserve"/>
      </w:r>
    </w:p>
    <w:p>
      <w:pPr>
        <w:spacing w:after="60" w:before="140"/>
        <w:jc w:val="center"/>
      </w:pPr>
      <w:r>
        <w:drawing>
          <wp:inline distT="0" distB="0" distL="0" distR="0">
            <wp:extent cx="4953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Synthèse des alertes d'atelier par catégorie d'articles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familles techniques les plus exposées au risque de pénurie sont les résines polyamide PA66 renforcées, les connecteurs étanches sous-capot et les colorants maîtres, en raison de délais fournisseurs atteignant jusqu'à six semaines.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total de réapprovisionnement recommandé pour sécuriser l'ensemble du catalogue s'élève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2 418 650 TND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4.3 récapitule les livrables validés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en 4 étapes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dynamique de calcul du taux, de la couverture et rotation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catalogue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6 875 articles en 4 statuts d'inventaire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Dimensionnement des commandes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réapprovisionnement sur horizon 45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du budget global (2 418 650 TND)</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d'alertes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Top 20 des articles critiques priorisés par risque financier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des recommandations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rapports exportables en CSV et Excel (.xlsx)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4.3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module de gestion intelligente et prédictive des stocks d'atelier développé durant le Sprint 2. En exploitant les données consolidées du Data Warehouse, Nexora transforme une information brute en décisions de réapprovisionnement hiérarchisées et chiffrées. Ce passage d'une gestion réactive à un pilotage proactif permet d'éradiquer les ruptures de matières critiques tout en assainissant les surstocks dormants. Le chapitre suivant aborde le Sprint 3, consacré au développement et à l'entraînement des modèles d'intelligence artificielle pour la prévision de production.</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Véritable cœur scientifique et algorithmique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 sprint est dédié à la modélisation prédictive des cadences de fabrication et de la demande industrielle. L'objectif est d'entraîner, d'évaluer et de comparer rigoureusement quatre modèles d'intelligence artificielle retenus pour l'application Nexora sous un protocole expérimental de validation croisée temporelle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plis). Le module confronte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l'ensemble ensembliste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Random Forest Regressor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statistique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complétés par l'algorithme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la détection non-supervisée des dérives de cadences des presses.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planifiées pour le Sprint 3 avec leur priorité et charge estimée en jours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Recherche &amp; Développement IA Nexora</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 et découpage chronologique sans fuite de données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des 4 modèles de prévision (Prophet, Random Forest, ARIMA, Régression Linéaire)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 détection d'anomalies par Isolation Forest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par validation croisée temporelle TimeSeriesSplit (5 folds)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multicritère des modèles selon MAE, RMSE, MAPE et R²</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Calibration des intervalles de confiance bayésiens à 95 % sous Prophet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automatisée des trajectoires de prévision à 7, 15 et 30 jours via FastAPI</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prédictive de Nexora est structuré selon un flux modulaire continu garantissant traçabilité et réactivité en production industrielle, tel qu'illustré par la figure 5.1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Architecture et flux d'exécution du module de modélisation IA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séries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cadences réelles depuis le Data Warehouse SQL Server (</w:t>
      </w:r>
      <w:r>
        <w:rPr>
          <w:rFonts w:ascii="Times New Roman" w:cs="Times New Roman" w:eastAsia="Times New Roman" w:hAnsi="Times New Roman"/>
          <w:b w:val="false"/>
          <w:bCs w:val="false"/>
          <w:i/>
          <w:iCs/>
          <w:color w:val="1A1A1A"/>
          <w:sz w:val="24"/>
          <w:szCs w:val="24"/>
        </w:rPr>
        <w:t xml:space="preserve">production_stock_analytics</w:t>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Prétraitement et ingénierie des caractéristiques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encodage des calendriers d'équipes en 3x8, détection des jours ouvrés/fériés et calcul des composantes autorégressives.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validation croisée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exécution du protocole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plis pour prévenir tout surapprentissage sur les séries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multicritère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sur les métriques normalisées (R², MAE, RMSE, MAPE) et respect des exigences de l'industrie automobile (MAPE &lt; 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Déploiement et inférence asynchrone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des modèles sous FastAPI pour une inférence en moins de 200 ms vers l'interface React.js.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Préparation des données pour l'apprentissage</w:t>
      </w:r>
    </w:p>
    <w:p>
      <w:pPr>
        <w:pStyle w:val="Heading3"/>
        <w:spacing w:after="70" w:before="140"/>
        <w:outlineLvl w:val="2"/>
      </w:pPr>
      <w:r>
        <w:rPr>
          <w:rFonts w:ascii="Times New Roman" w:cs="Times New Roman" w:eastAsia="Times New Roman" w:hAnsi="Times New Roman"/>
          <w:b/>
          <w:bCs/>
          <w:color w:val="000000"/>
          <w:sz w:val="24"/>
          <w:szCs w:val="24"/>
        </w:rPr>
        <w:t xml:space="preserve">5.4.1 Variable cible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à prédire est le volume journalier de pièces conformes produites par atelier d'injection plastique (exprimé en nombre de pièces finies ou en cadence horaire équivalente). Afin de stabiliser la variance face aux à-coups de production et de réduire l'asymétrie de distribution, nous appliquons une transformation logarithmique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log_cadence = log(1 + Cadence_Journalière)</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ramène le coefficient d'asymétrie (skewness) de 1,78 à 0,28. Les métriques finales sont calculées après transformation inverse par la fonction exponentielle (</w:t>
      </w:r>
      <w:r>
        <w:rPr>
          <w:rFonts w:ascii="Times New Roman" w:cs="Times New Roman" w:eastAsia="Times New Roman" w:hAnsi="Times New Roman"/>
          <w:b w:val="false"/>
          <w:bCs w:val="false"/>
          <w:i/>
          <w:iCs/>
          <w:color w:val="1A1A1A"/>
          <w:sz w:val="24"/>
          <w:szCs w:val="24"/>
        </w:rPr>
        <w:t xml:space="preserve">expm1</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5.4.2 Variables explicatives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5.2 récapitule les variables explicatives industrielles retenues pour alimenter les modèles prédictifs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 de Variables</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et Justification Métier en Atelier</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Temporelles &amp; Calendrier</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 working_day</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 cycle hebdomadaire d'atelier et la saisonnalité mensuelle des commandes.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d'Atelier</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is_holiday, is_summer_break, shift_pattern</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Code les arrêts constructeurs, les congés programmés et le travail en 3x8.</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de Production</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lag_1, lag_7, lag_14, lag_30</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Mémoire temporelle : cadence de la veille, de la semaine précédente et du mois antérieur.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de tendance lissée, volatilité des arrêts machines et stabilité de ligne.</w:t>
            </w:r>
          </w:p>
        </w:tc>
      </w:tr>
    </w:tbl>
    <w:p>
      <w:pPr>
        <w:spacing w:after="120" w:before="80"/>
        <w:jc w:val="center"/>
      </w:pPr>
      <w:r>
        <w:rPr>
          <w:rFonts w:ascii="Times New Roman" w:cs="Times New Roman" w:eastAsia="Times New Roman" w:hAnsi="Times New Roman"/>
          <w:i/>
          <w:iCs/>
          <w:color w:val="595959"/>
          <w:sz w:val="20"/>
          <w:szCs w:val="20"/>
        </w:rPr>
        <w:t xml:space="preserve">Tableau 5.2 : Les variables explicatives communes aux modèles de cadence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5.4.3 Découpage Train/Test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respecter la causalité temporelle des séries d'atelier et proscrire rigoureusement tout risque de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le partitionnement est opéré de manière strictement chronologique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000"/>
        <w:gridCol w:w="24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Calendaire Couverte</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80 %</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388 jours d'atelier</w:t>
            </w:r>
          </w:p>
        </w:tc>
        <w:tc>
          <w:tcPr>
            <w:tcW w:type="dxa" w:w="2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 décembre 2024 au 22 janvier 2026</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(Évaluation)</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20 %</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jours d'atelier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23 janvier 2026 au 30 avril 2026</w:t>
            </w:r>
          </w:p>
        </w:tc>
      </w:tr>
    </w:tbl>
    <w:p>
      <w:pPr>
        <w:spacing w:after="120" w:before="80"/>
        <w:jc w:val="center"/>
      </w:pPr>
      <w:r>
        <w:rPr>
          <w:rFonts w:ascii="Times New Roman" w:cs="Times New Roman" w:eastAsia="Times New Roman" w:hAnsi="Times New Roman"/>
          <w:i/>
          <w:iCs/>
          <w:color w:val="595959"/>
          <w:sz w:val="20"/>
          <w:szCs w:val="20"/>
        </w:rPr>
        <w:t xml:space="preserve">Tableau 5.3 : Découpage chronologique Train/Test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5.4.4 Normalisation et Prétraitement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algorithmes ensemblistes (Random Forest) et additifs (Prophet), aucune mise à l'échelle spécifique n'est exigée. En revanche, pour la Régression Linéaire, une standardisation centrée-réduite via `StandardScaler` (moyenne nulle et variance unitaire) est appliquée sur les axes de quantité pour garantir une pondération équilibrée des dimensions.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Métriques d'évaluation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métriques normées sont retenues pour évaluer la qualité prédictive des modèles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Mathématique</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dans le Contexte d'Atelier</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(Erreur Absolue Moyenne)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MAE = (1/n) </w:t>
            </w:r>
            <w:r>
              <w:rPr>
                <w:rFonts w:ascii="Arial" w:cs="Arial" w:eastAsia="Arial" w:hAnsi="Arial"/>
                <w:b w:val="false"/>
                <w:bCs w:val="false"/>
                <w:i/>
                <w:iCs/>
                <w:sz w:val="18"/>
                <w:szCs w:val="18"/>
              </w:rPr>
              <w:t xml:space="preserve"> Σ |y_i - ŷ_i|</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 l'écart moyen absolu en nombre de pièces ; plus elle est faible, meilleure est la prévision.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(Racine de l'Erreur Quadratique)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RMSE = sqrt((1/n) </w:t>
            </w:r>
            <w:r>
              <w:rPr>
                <w:rFonts w:ascii="Arial" w:cs="Arial" w:eastAsia="Arial" w:hAnsi="Arial"/>
                <w:b w:val="false"/>
                <w:bCs w:val="false"/>
                <w:i/>
                <w:iCs/>
                <w:sz w:val="18"/>
                <w:szCs w:val="18"/>
              </w:rPr>
              <w:t xml:space="preserve"> Σ (y_i - ŷ_i)²)</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erreurs d'amplitude importante, cruciales pour éviter les ruptures.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(Pourcentage d'Erreur Absolue)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w:t>
            </w:r>
            <w:r>
              <w:rPr>
                <w:rFonts w:ascii="Arial" w:cs="Arial" w:eastAsia="Arial" w:hAnsi="Arial"/>
                <w:b w:val="false"/>
                <w:bCs w:val="false"/>
                <w:i/>
                <w:iCs/>
                <w:sz w:val="18"/>
                <w:szCs w:val="18"/>
              </w:rPr>
              <w:t xml:space="preserve"> Σ |(y_i - ŷ_i) / y_i|</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en pourcentage ; un MAPE inférieur à 5 % est la norme de l'industrie automobile.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(Coefficient de Détermination)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R² = 1 - (SS_res / SS_tot)</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 de la variance des cadences d'atelier expliquée par le modèle (seuil cible industriel ≥ 0,80).</w:t>
            </w:r>
          </w:p>
        </w:tc>
      </w:tr>
    </w:tbl>
    <w:p>
      <w:pPr>
        <w:spacing w:after="120" w:before="80"/>
        <w:jc w:val="center"/>
      </w:pPr>
      <w:r>
        <w:rPr>
          <w:rFonts w:ascii="Times New Roman" w:cs="Times New Roman" w:eastAsia="Times New Roman" w:hAnsi="Times New Roman"/>
          <w:i/>
          <w:iCs/>
          <w:color w:val="595959"/>
          <w:sz w:val="20"/>
          <w:szCs w:val="20"/>
        </w:rPr>
        <w:t xml:space="preserve">Tableau 5.4 : Métriques d'évaluation des modèles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Développement des quatre modèles d'IA</w:t>
      </w:r>
    </w:p>
    <w:p>
      <w:pPr>
        <w:pStyle w:val="Heading3"/>
        <w:spacing w:after="70" w:before="140"/>
        <w:outlineLvl w:val="2"/>
      </w:pPr>
      <w:r>
        <w:rPr>
          <w:rFonts w:ascii="Times New Roman" w:cs="Times New Roman" w:eastAsia="Times New Roman" w:hAnsi="Times New Roman"/>
          <w:b/>
          <w:bCs/>
          <w:color w:val="000000"/>
          <w:sz w:val="24"/>
          <w:szCs w:val="24"/>
        </w:rPr>
        <w:t xml:space="preserve">5.6.1 Modèles de Séries Temporelles et Machine Learning de Prévision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modèles de prévision ont été implémentés, paramétrés et évalués au sein du microservice FastAPI de Nexora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5.6.1.1 Régression Linéaire (Baseline MCO)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statistique classique établissant une relation linéaire directe entre les composantes temporelles et la cadence de fabrication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Entraînement quasi instantané (&lt; 0,05 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la saisonnalité hebdomadaire non-linéaire.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Interprétabilité directe des coefficients de régression.</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Forte sensibilité aux dérives et variations brutales d'atelier.</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5.6.1.2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stochastique autorégressive intégrée et moyenne mobile `ARIMA(p, d, q)` appliquée aux séries différentiées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Formulation statistique rigoureuse adaptée aux processus stationnaires.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modéliser simultanément plusieurs périodicités (semaine + année).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précision sur les horizons très courts (1 à 3 jours).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réactif lors de ruptures d'atelier imprévues.</w:t>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Modèle ARIMA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5.6.1.3 Random Forest Regressor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ensemble d'arbres de décision construits par ensachage aléatoire (</w:t>
      </w:r>
      <w:r>
        <w:rPr>
          <w:rFonts w:ascii="Times New Roman" w:cs="Times New Roman" w:eastAsia="Times New Roman" w:hAnsi="Times New Roman"/>
          <w:b w:val="false"/>
          <w:bCs w:val="false"/>
          <w:i/>
          <w:iCs/>
          <w:color w:val="1A1A1A"/>
          <w:sz w:val="24"/>
          <w:szCs w:val="24"/>
        </w:rPr>
        <w:t xml:space="preserve">bagging</w:t>
      </w:r>
      <w:r>
        <w:rPr>
          <w:rFonts w:ascii="Times New Roman" w:cs="Times New Roman" w:eastAsia="Times New Roman" w:hAnsi="Times New Roman"/>
          <w:b w:val="false"/>
          <w:bCs w:val="false"/>
          <w:i w:val="false"/>
          <w:iCs w:val="false"/>
          <w:color w:val="1A1A1A"/>
          <w:sz w:val="24"/>
          <w:szCs w:val="24"/>
        </w:rPr>
        <w:t xml:space="preserve">) avec division optimale des critères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Capture naturellement les non-linéarités complexes et interactions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d'extrapoler au-delà des bornes observées dans le train set.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Fournit une mesure d'importance relative des variables explicatives.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Empreinte mémoire plus lourde en production.</w:t>
            </w:r>
          </w:p>
        </w:tc>
      </w:tr>
    </w:tbl>
    <w:p>
      <w:pPr>
        <w:spacing w:after="140" w:before="90"/>
        <w:jc w:val="center"/>
      </w:pPr>
      <w:r>
        <w:rPr>
          <w:rFonts w:ascii="Times New Roman" w:cs="Times New Roman" w:eastAsia="Times New Roman" w:hAnsi="Times New Roman"/>
          <w:b/>
          <w:bCs/>
          <w:color w:val="333333"/>
          <w:sz w:val="20"/>
          <w:szCs w:val="20"/>
        </w:rPr>
        <w:t xml:space="preserve">TABLEAU 5.7 : </w:t>
      </w:r>
      <w:r>
        <w:rPr>
          <w:rFonts w:ascii="Times New Roman" w:cs="Times New Roman" w:eastAsia="Times New Roman" w:hAnsi="Times New Roman"/>
          <w:color w:val="333333"/>
          <w:sz w:val="20"/>
          <w:szCs w:val="20"/>
        </w:rPr>
        <w:t xml:space="preserve">Avantages et limites : Random Forest Regressor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5.6.1.4 Modèle Prophet de Meta (Modèle Champion Retenu)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additif bayésien décomposant la série en tendance par morceaux, saisonnalités de Fourier (hebdomadaire et annuelle) et effets calendaires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interprétable : tendance d'atelier, saisonnalité hebdo et jours fériés.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la spécification explicite des calendriers de shifts d'usine.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des intervalles d'incertitude à 95 %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robustesse aux données manquantes et aux arrêts machines.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5.8 : </w:t>
      </w:r>
      <w:r>
        <w:rPr>
          <w:rFonts w:ascii="Times New Roman" w:cs="Times New Roman" w:eastAsia="Times New Roman" w:hAnsi="Times New Roman"/>
          <w:color w:val="333333"/>
          <w:sz w:val="20"/>
          <w:szCs w:val="20"/>
        </w:rPr>
        <w:t xml:space="preserve">Avantages et limites : Prophet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Modèles d'Apprentissage Non Supervisé et Surveillance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compléter les capacités prédictives de Nexora, l'algorithme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 été intégré au pipeline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5.6.2.1 Détection d'anomalies par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d'isolation récursive dans l'espace des caractéristiques pour détecter les dérives anormales de cadence et les pannes émergentes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Non supervisé : n'exige aucun étiquetage manuel préalable des défaillances.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 paramètre de contamination fixé arbitrairement (calibré à 10 %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O(n) garantissant une détection temps réel.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Score d'anomalie normalisé facilitant le déclenchement d'alertes.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5.9 : </w:t>
      </w:r>
      <w:r>
        <w:rPr>
          <w:rFonts w:ascii="Times New Roman" w:cs="Times New Roman" w:eastAsia="Times New Roman" w:hAnsi="Times New Roman"/>
          <w:color w:val="333333"/>
          <w:sz w:val="20"/>
          <w:szCs w:val="20"/>
        </w:rPr>
        <w:t xml:space="preserve">Avantages et limites : Isolation Forest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et analyse</w:t>
      </w:r>
    </w:p>
    <w:p>
      <w:pPr>
        <w:pStyle w:val="Heading3"/>
        <w:spacing w:after="70" w:before="140"/>
        <w:outlineLvl w:val="2"/>
      </w:pPr>
      <w:r>
        <w:rPr>
          <w:rFonts w:ascii="Times New Roman" w:cs="Times New Roman" w:eastAsia="Times New Roman" w:hAnsi="Times New Roman"/>
          <w:b/>
          <w:bCs/>
          <w:color w:val="000000"/>
          <w:sz w:val="24"/>
          <w:szCs w:val="24"/>
        </w:rPr>
        <w:t xml:space="preserve">5.7.1 Résultats des modèles Machine Learning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5.10 présente la synthèse comparative des performances obtenues sur le jeu de test par les quatre modèles d'intelligence artificielle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04"/>
        <w:gridCol w:w="1444"/>
        <w:gridCol w:w="1541"/>
        <w:gridCol w:w="1541"/>
        <w:gridCol w:w="1637"/>
      </w:tblGrid>
      <w:tr>
        <w:trPr>
          <w:tblHeader/>
        </w:trPr>
        <w:tc>
          <w:tcPr>
            <w:tcW w:type="dxa" w:w="25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5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15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16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r>
      <w:tr>
        <w:tc>
          <w:tcPr>
            <w:tcW w:type="dxa" w:w="250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44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0,6173</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16,5</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20,1</w:t>
            </w:r>
          </w:p>
        </w:tc>
        <w:tc>
          <w:tcPr>
            <w:tcW w:type="dxa" w:w="1637"/>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w:t>
            </w:r>
          </w:p>
        </w:tc>
      </w:tr>
      <w:tr>
        <w:tc>
          <w:tcPr>
            <w:tcW w:type="dxa" w:w="25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0,8100</w:t>
            </w:r>
          </w:p>
        </w:tc>
        <w:tc>
          <w:tcPr>
            <w:tcW w:type="dxa" w:w="15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11,8</w:t>
            </w:r>
          </w:p>
        </w:tc>
        <w:tc>
          <w:tcPr>
            <w:tcW w:type="dxa" w:w="15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c>
          <w:tcPr>
            <w:tcW w:type="dxa" w:w="16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8,2</w:t>
            </w:r>
          </w:p>
        </w:tc>
      </w:tr>
      <w:tr>
        <w:tc>
          <w:tcPr>
            <w:tcW w:type="dxa" w:w="250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144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0,8800</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11,4</w:t>
            </w:r>
          </w:p>
        </w:tc>
        <w:tc>
          <w:tcPr>
            <w:tcW w:type="dxa" w:w="1637"/>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6,1</w:t>
            </w:r>
          </w:p>
        </w:tc>
      </w:tr>
      <w:tr>
        <w:tc>
          <w:tcPr>
            <w:tcW w:type="dxa" w:w="2504"/>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Prophet (Meta)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444"/>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0,9600</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541"/>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7,4</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541"/>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9,2</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637"/>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4,8</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r>
    </w:tbl>
    <w:p>
      <w:pPr>
        <w:spacing w:after="120" w:before="80"/>
        <w:jc w:val="center"/>
      </w:pPr>
      <w:r>
        <w:rPr>
          <w:rFonts w:ascii="Times New Roman" w:cs="Times New Roman" w:eastAsia="Times New Roman" w:hAnsi="Times New Roman"/>
          <w:i/>
          <w:iCs/>
          <w:color w:val="595959"/>
          <w:sz w:val="20"/>
          <w:szCs w:val="20"/>
        </w:rPr>
        <w:t xml:space="preserve">Tableau 5.10 : Résultats des 4 modèles de prévision de production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expose la comparaison visuelle des modèles selon le coefficient de détermination R² et l'erreur absolue moyenne MAE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met en lumière les constats suivants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score exceptionnel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 0,9600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Prophet explique 96 % de la variance des cadences d'injection plastique, surpassant nettement tous les autres modèles.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seul Prophet parvient à descendre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4,8 % de MAPE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satisfaisant rigoureusement aux normes qualité des équipementiers de premier rang.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Robustesse de Random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R² = 0,8800 et MAPE = 6,1 %, Random Forest confirme l'efficacité des approches non linéaires pour appréhender les interactions calendaires.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5.3 compare visuellement la trajectoire prédite par Prophet aux cadences réelles d'atelier sur le jeu de test, accompagnée de sa bande de confiance à 95 %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5.3 : Prédictions de cadence Prophet vs Production réelle d'atelier avec intervalle de confiance à 95%</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5.4 illustre la comparaison des métriques d'erreur relative (MAPE) et quadratique (RMSE) pour l'ensemble des 4 algorithmes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5.4 : Comparaison visuelle des métriques d'erreur MAPE et RMSE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Résultats des modèles complémentaires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5.11 résume les performances du module de détection d'anomalies par Isolation Forest exécuté sur les données de cadence des 319 presses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8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d'Atelier</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Observée</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et Décision Opérationnelle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Enregistrements analysés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1 250 shifts d'injection</w:t>
            </w:r>
          </w:p>
        </w:tc>
        <w:tc>
          <w:tcPr>
            <w:tcW w:type="dxa" w:w="3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consolidé multi-lignes couvrant les ateliers Kondar et Brno.</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Anomalies confirmées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125 shifts (10,0 %)</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Correspondance exacte avec le taux de contamination calibré.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Score d'anomalie moyen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-0,1420</w:t>
            </w:r>
          </w:p>
        </w:tc>
        <w:tc>
          <w:tcPr>
            <w:tcW w:type="dxa" w:w="3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Déviation marquée par rapport au centre de masse nominal (score négatif).</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Causes dominantes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Surchauffe vis &amp; Chute cadence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Arrêts non planifiés et pannes de régulation thermique du moule.</w:t>
            </w:r>
          </w:p>
        </w:tc>
      </w:tr>
    </w:tbl>
    <w:p>
      <w:pPr>
        <w:spacing w:after="120" w:before="80"/>
        <w:jc w:val="center"/>
      </w:pPr>
      <w:r>
        <w:rPr>
          <w:rFonts w:ascii="Times New Roman" w:cs="Times New Roman" w:eastAsia="Times New Roman" w:hAnsi="Times New Roman"/>
          <w:i/>
          <w:iCs/>
          <w:color w:val="595959"/>
          <w:sz w:val="20"/>
          <w:szCs w:val="20"/>
        </w:rPr>
        <w:t xml:space="preserve">Tableau 5.11 : Résultats de la détection d'anomalies par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5.5 présente la projection des cadences réelles et la détection non supervisée des points critiques par Isolation Forest :</w:t>
      </w:r>
    </w:p>
    <w:p>
      <w:pPr>
        <w:spacing w:after="40" w:before="40"/>
      </w:pPr>
      <w:r>
        <w:t xml:space="preserve"/>
      </w:r>
    </w:p>
    <w:p>
      <w:pPr>
        <w:spacing w:after="60" w:before="140"/>
        <w:jc w:val="center"/>
      </w:pPr>
      <w:r>
        <w:drawing>
          <wp:inline distT="0" distB="0" distL="0" distR="0">
            <wp:extent cx="4953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23837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5.5 : Détection non supervisée des dérives de presses par Isolation Forest</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Validation croisée temporelle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prouver la robustesse des modèles face à des conditions d'atelier variées et proscrire tout surapprentissage accidentel, nous avons soumis les quatre modèles à une validation croisée temporelle à origine glissante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folds). Le tableau 5.12 présente les scores moyens obtenus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70"/>
        <w:gridCol w:w="2058"/>
        <w:gridCol w:w="1029"/>
        <w:gridCol w:w="1029"/>
        <w:gridCol w:w="1122"/>
        <w:gridCol w:w="1558"/>
      </w:tblGrid>
      <w:tr>
        <w:trPr>
          <w:tblHeader/>
        </w:trPr>
        <w:tc>
          <w:tcPr>
            <w:tcW w:type="dxa" w:w="1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Évalué</w:t>
            </w:r>
          </w:p>
        </w:tc>
        <w:tc>
          <w:tcPr>
            <w:tcW w:type="dxa" w:w="20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Méthode de Validation</w:t>
            </w:r>
          </w:p>
        </w:tc>
        <w:tc>
          <w:tcPr>
            <w:tcW w:type="dxa" w:w="102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Plis</w:t>
            </w:r>
          </w:p>
        </w:tc>
        <w:tc>
          <w:tcPr>
            <w:tcW w:type="dxa" w:w="102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 Moyen (CV)</w:t>
            </w:r>
          </w:p>
        </w:tc>
        <w:tc>
          <w:tcPr>
            <w:tcW w:type="dxa" w:w="11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Stabilité (Écart-type)</w:t>
            </w:r>
          </w:p>
        </w:tc>
        <w:tc>
          <w:tcPr>
            <w:tcW w:type="dxa" w:w="15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Verdict Validation</w:t>
            </w:r>
          </w:p>
        </w:tc>
      </w:tr>
      <w:tr>
        <w:tc>
          <w:tcPr>
            <w:tcW w:type="dxa" w:w="1870"/>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2058"/>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0,9510</w:t>
            </w:r>
          </w:p>
        </w:tc>
        <w:tc>
          <w:tcPr>
            <w:tcW w:type="dxa" w:w="1122"/>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0,008</w:t>
            </w:r>
          </w:p>
        </w:tc>
        <w:tc>
          <w:tcPr>
            <w:tcW w:type="dxa" w:w="1558"/>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haute stabilité, généralisation optimale</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20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0,8650</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0,014</w:t>
            </w:r>
          </w:p>
        </w:tc>
        <w:tc>
          <w:tcPr>
            <w:tcW w:type="dxa" w:w="15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Bonne régularité sur les plis intermédiaires</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20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0,7920</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0,022</w:t>
            </w:r>
          </w:p>
        </w:tc>
        <w:tc>
          <w:tcPr>
            <w:tcW w:type="dxa" w:w="15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Dégradation progressive sur horizons &gt; 15j</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20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0,7050</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0,031</w:t>
            </w:r>
          </w:p>
        </w:tc>
        <w:tc>
          <w:tcPr>
            <w:tcW w:type="dxa" w:w="15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Sensible aux changements de régime annuel</w:t>
            </w:r>
          </w:p>
        </w:tc>
      </w:tr>
    </w:tbl>
    <w:p>
      <w:pPr>
        <w:spacing w:after="120" w:before="80"/>
        <w:jc w:val="center"/>
      </w:pPr>
      <w:r>
        <w:rPr>
          <w:rFonts w:ascii="Times New Roman" w:cs="Times New Roman" w:eastAsia="Times New Roman" w:hAnsi="Times New Roman"/>
          <w:i/>
          <w:iCs/>
          <w:color w:val="595959"/>
          <w:sz w:val="20"/>
          <w:szCs w:val="20"/>
        </w:rPr>
        <w:t xml:space="preserve">Tableau 5.12 : Résultats de la validation croisée temporelle TimeSeriesSplit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Sélection meilleur modèle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retenu de manière catégorique comme le champion de notre architecture prédictive Nexora pour les justifications exposées dans le tableau 5.13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6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4,8 % (Meilleur score absolu)</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5 %).</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Coefficient R² (0,9600)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96 % de variance expliquée</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quasi-parfaite des variations d'atelier et de la demande client.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(MAE)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7,4 pièces par jour</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résiduel négligeable face aux séries de fabrication de plusieurs centaines d'unités.</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Bandes d'incertitude 95%</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 yhat_upper</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Permet de dimensionner dynamiquement les stocks de sécurité et la charge machines.</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calendaire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déterministe des shifts</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week-ends, jours fériés et arrêts d'usine.</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d'inférence (&lt; 200 ms)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Exécution légère sur CPU standard</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asynchrone ultra-fluide sous FastAPI sans infrastructure GPU onéreuse.</w:t>
            </w:r>
          </w:p>
        </w:tc>
      </w:tr>
    </w:tbl>
    <w:p>
      <w:pPr>
        <w:spacing w:after="120" w:before="80"/>
        <w:jc w:val="center"/>
      </w:pPr>
      <w:r>
        <w:rPr>
          <w:rFonts w:ascii="Times New Roman" w:cs="Times New Roman" w:eastAsia="Times New Roman" w:hAnsi="Times New Roman"/>
          <w:i/>
          <w:iCs/>
          <w:color w:val="595959"/>
          <w:sz w:val="20"/>
          <w:szCs w:val="20"/>
        </w:rPr>
        <w:t xml:space="preserve">Tableau 5.13 : Justification du choix de Prophet (Meta) comme modèle champion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Génération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champion Prophet est sérialisé et déployé dans le microservice FastAPI via l'endpoint `/predict/production`. Il génère dynamiquement les trajectoires de fabrication selon trois horizons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court terme (7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opérationnel des plannings d'équipes en 3x8 et séquencement des ordres de fabrication (OF) sur les 319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moyen terme (15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planification des approvisionnements en matières premières (granulés plastiques PA66, PP) et confirmation des fenêtres de livraison clients.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long terme (30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anticipation budgétaire, maintenance préventive planifiée et équilibrage capacitaire inter-usines (Kondar et Brno).</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5.14 dresse le bilan synthétique des livrables conçus et validés lors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 pour Nexora</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variable cible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Transformation log_cadence et détection des jours ouvrés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Feature Engineering</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lags, moyennes mobiles et encodages calendaires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Split chronologique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Découpage 80/20 sans fuite temporelle (388j train / 98j test)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4 modèles prédictifs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Random Forest, ARIMA, Régression Linéaire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atelier</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 configuré à 10 % de contamination</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temporelle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TimeSeriesSplit à 5 plis confirmant Prophet (R² CV = 0,9510)</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modèle champion</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retenu (R² = 0,9600, MAPE = 4,8 %, MAE = 7,4 pcs)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 d'inférence FastAPI</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asynchrones déployés pour horizons 7, 15 et 30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5.14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développement et l'évaluation comparative des quatre modèles d'intelligence artificielle de Nexora. La confrontation rigoureuse des modèles sous validation croisée temporelle a établi la nette suprématie de l'algorithme bayésien Prophet de Meta (R² = 0,9600, MAPE = 4,8 %) pour anticiper avec une très grande précision les cadences d'injection plastique, couplé à Isolation Forest pour la surveillance des dérives machines. Le chapitre suivant aborde le Sprint 4, consacré au développement du portail décisionnel Power BI et à la recette utilisateur finale.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ultime itération de développement de notre projet. Après avoir mis en place le pipeline ETL (Sprint 1), développé le module de gestion des stocks (Sprint 2) et entraîné les modèles d'intelligence artificielle (Sprint 3), l'enjeu de ce sprint est de regrouper l'ensemble de ces briques au sein d'un portail décisionnel unifié, ergonomique et directement exploitable par les opérationnels d'atelier et la direction industrielle. Ces rapports Power BI Desktop / Power BI Service, connectés en mode DirectQuery au Data Warehouse SQL Server, centralisent les indicateurs de production, les prévisions de cadence et le pilotage des stocks, concrétisant la valeur ajoutée du système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les tâches planifiées pour ce dernier sprint de réalisation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Conception et de Recette Décisionnelle Power BI</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DirectQuery au DWH SQL Server et modélisation en étoile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Supervision de Production &amp; TRG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Prévision des Cadences par IA »</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Gestion Prédictive des Stocks &amp; Alertes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mesures DAX (TRG, variances, seuils critiques de 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 la sécurité au niveau des lignes (RLS) et publication Power BI Service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 avec les chefs d'atelier et documentation utilisateur</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6.1 : Priorisation des tâches :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du tableau de bord</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illustre l'architecture globale du portail décisionnel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articulée autour de quatre couches interactives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et déploiement du tableau de bord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Sources de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tables de faits du Data Warehouse SQL Server (1,5M mouvements, 250k enregistrements machines) synchronisées par le pipeline ETL.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API &amp; Cache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backend Spring Boot 3 assurant la gestion des sessions JWT, la mise en cache Redis des indicateurs chauds et la sécurisation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Microservice de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service FastAPI en Python 3.10 hébergeant le modèle champion Prophet ainsi que les modèles comparatifs (Random Forest, ARIMA, Régression Linéaire) et Isolation Forest pour l'inférence temps réel.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Rapports Power BI Desktop / Service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publiés sur Power BI Service, connectés en mode DirectQuery au Data Warehouse SQL Server, offrant des visuels interactifs (graphiques, matrices, KPI) avec sécurité au niveau des lignes (RLS) selon le profil utilisateur.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Diagramme de séquence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documenter la dynamique des échanges lors d'une session de travail type, le diagramme de séquence UML de la figure 6.2 illustre les interactions entre le chef d'atelier, l'interface web, le backend Spring Boot, le microservice FastAPI et le Data Warehouse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Diagramme de séquence : interaction utilisateur, tableau de bord et modèle prédictif</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Power BI se connecte en mode DirectQuery au Data Warehouse SQL Server. Lors de l'ouverture d'un rapport, des requêtes DAX sont générées dynamiquement vers les tables de faits et de dimensions du DWH. Les prévisions Prophet, préalablement stockées dans la table FactPrevision, sont chargées avec leurs bandes de confiance à 95 %. Chaque filtre appliqué par l'utilisateur déclenche une nouvelle requête SQL en temps réel.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Développement des interfaces</w:t>
      </w:r>
    </w:p>
    <w:p>
      <w:pPr>
        <w:pStyle w:val="Heading3"/>
        <w:spacing w:after="70" w:before="140"/>
        <w:outlineLvl w:val="2"/>
      </w:pPr>
      <w:r>
        <w:rPr>
          <w:rFonts w:ascii="Times New Roman" w:cs="Times New Roman" w:eastAsia="Times New Roman" w:hAnsi="Times New Roman"/>
          <w:b/>
          <w:bCs/>
          <w:color w:val="000000"/>
          <w:sz w:val="24"/>
          <w:szCs w:val="24"/>
        </w:rPr>
        <w:t xml:space="preserve">6.5.1 Tableau de bord de supervision et TRG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Power BI constitue le centre de contrôle des 319 presses à injecter réparties entre Kondar, Sousse et Brno. Connecté en DirectQuery à la table de faits FactProduction du DWH, il offre une vision synoptique immédiate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Cartouches d'indicateurs globaux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TRG moyen d'atelier, taux de disponibilité mécanique, taux de performance de cadence et taux de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Matrice d'état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vue en grille représentant chaque presse par un code couleur dynamique (Vert : injection en cours, Rouge : arrêt pour panne, Orange : changement de moule, Bleu : maintenance programmée).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Décomposition des temps d'arrêt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 de Pareto identifiant les causes d'arrêt prépondérantes (pannes hydrauliques, défauts régulation thermique, attente matière).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Tableau de bord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Power BI de prévision interroge la table FactPrevision du DWH, alimentée par le microservice FastAPI (modèle Prophet), et permet aux planificateurs d'anticiper la charge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Sélecteur d'horizon dynamique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basculement immédiat entre 7 jours (gestion des équipes en 3x8), 15 jours (matières premières) et 30 jours (planning usine).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Graphique superposé historique / prédiction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courbe continue reliant la cadence réelle d'atelier à la projection calculée par Prophet, bordée par son intervalle de confiance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 de détail exportable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journalier des volumes projetés, des temps d'injection prévus et de la variance attendue.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6.5.3 Tableau de bord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Power BI de gestion des stocks interroge les tables FactStock et DimArticle du DWH, traitant les 6 875 références du catalogue d'entreprise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Synthèse du niveau de risque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compteurs visuels indiquant le nombre de références en Rupture, Critique, Normal et Surstock, ainsi que la valeur financière du stock immobilisé en dinars tunisiens.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 paginé interactif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recherche textuelle instantanée, filtrage par famille de plastique (PP, PA66, ABS) et tri automatique par urgence de commande.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Module d'alertes prescriptives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fiches d'alerte pour le top 20 des urgences précisant la quantité exacte à commander pour 45 jours et le coût d'arrêt évité.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Export natif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téléchargement des données filtrées en CSV et classeur Excel directement depuis Power BI Service, sans développement additionnel.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Présentation des interfaces réalisées</w:t>
      </w:r>
    </w:p>
    <w:p>
      <w:pPr>
        <w:pStyle w:val="Heading3"/>
        <w:spacing w:after="70" w:before="140"/>
        <w:outlineLvl w:val="2"/>
      </w:pPr>
      <w:r>
        <w:rPr>
          <w:rFonts w:ascii="Times New Roman" w:cs="Times New Roman" w:eastAsia="Times New Roman" w:hAnsi="Times New Roman"/>
          <w:b/>
          <w:bCs/>
          <w:color w:val="000000"/>
          <w:sz w:val="24"/>
          <w:szCs w:val="24"/>
        </w:rPr>
        <w:t xml:space="preserve">6.6.1 Tableau de bord principal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présente la vue d'ensemble du rapport décisionnel Power BI Nexora, affichant les indicateurs clés (KPI) globaux directement connectés au Data Warehouse SQL Server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Vue d'ensemble du tableau de bord décisionnel Power BI Nexora</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6.6.2 Analyse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expose la console de supervision d'atelier en temps réel, affichant le statut des presses et la jauge de TRG instantanée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Interface « Supervision de la production et TRG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illustre la répartition des volumes de pièces injectées selon les grandes familles de composants automobiles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Répartition des volumes par famille de composants plastiques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6.6.3 Prévisions des cadences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présente l'écran de prévision à 30 jours généré par l'algorithme d'IA, montrant la trajectoire de cadence et les bornes d'incertitude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Prévision des cadences et charge atelier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6.6.4 Gestion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6.7 illustre la console d'inventaire prédictif avec les indicateurs de rupture et la liste des recommandations d'achat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6.7 : Rapport Power BI « Gestion des stocks d'atelier »</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Tests et validation</w:t>
      </w:r>
    </w:p>
    <w:p>
      <w:pPr>
        <w:pStyle w:val="Heading3"/>
        <w:spacing w:after="70" w:before="140"/>
        <w:outlineLvl w:val="2"/>
      </w:pPr>
      <w:r>
        <w:rPr>
          <w:rFonts w:ascii="Times New Roman" w:cs="Times New Roman" w:eastAsia="Times New Roman" w:hAnsi="Times New Roman"/>
          <w:b/>
          <w:bCs/>
          <w:color w:val="000000"/>
          <w:sz w:val="24"/>
          <w:szCs w:val="24"/>
        </w:rPr>
        <w:t xml:space="preserve">6.7.1 Tests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la robustesse du système avant son déploiement en atelier, dix scénarios de tests d'intégration ont été exécutés avec succès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9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 Éprouvée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Protocole de Test Exécuté</w:t>
            </w:r>
          </w:p>
        </w:tc>
        <w:tc>
          <w:tcPr>
            <w:tcW w:type="dxa" w:w="2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 et 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DWH SQL Server</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en DirectQuery des tables FactProduction et FactStock.</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établie avec succès, temps de réponse sous les 400 ms.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TRG en direct</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d'arrêts presses et recalcul dynamique des mesures DAX de TRG.</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Recalcul instantané du TRG atelier sur les 319 presses sans latence.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prévisions (7j)</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sur l'horizon 7 jours et comparaison aux lancements réels.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Rendu dynamique de la courbe Prophet et de son intervalle de confiance.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mensuelle (30j)</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de la cadence globale sur les ateliers Kondar, Sousse et Brno.</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fluide des visualisations et conformité des bornes de prévision.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Segments multi-critères stock</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interactif par famille (PA66, PP) et statut de rupture.</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Actualisation croisée de l'ensemble des visuels en moins de 250 ms.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de stock &amp; couverture 45j</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cartes KPI et jauges d'alertes pour le top 20 des urgences.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Conformité stricte des seuils d'alerte et des quantités prescrites.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Exportation native Excel (.xlsx)</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Téléchargement des données tabulaires filtrées vers Microsoft Excel.</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instantané et préservation intégrale des formats numériques.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RLS (Row-Level Security)</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avec les profils Chef d'atelier vs Direction générale.</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automatique et strict des données selon le périmètre d'atelier. (Validé)</w:t>
            </w:r>
          </w:p>
        </w:tc>
      </w:tr>
    </w:tbl>
    <w:p>
      <w:pPr>
        <w:spacing w:after="120" w:before="80"/>
        <w:jc w:val="center"/>
      </w:pPr>
      <w:r>
        <w:rPr>
          <w:rFonts w:ascii="Times New Roman" w:cs="Times New Roman" w:eastAsia="Times New Roman" w:hAnsi="Times New Roman"/>
          <w:i/>
          <w:iCs/>
          <w:color w:val="595959"/>
          <w:sz w:val="20"/>
          <w:szCs w:val="20"/>
        </w:rPr>
        <w:t xml:space="preserve">Tableau 6.2 : Résultats des tests fonctionnels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6.7.2 Validation des résultats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prédictions de cadence générées par le modèle champion ont été validées en conditions réelles d'atelier sur la période janvier-avril 2026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 0,8134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confirmation de la très forte corrélation entre prévisions et fabrications réelles.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MAE = 3 354 pièces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écart moyen contenu à moins de 5,1 % du volume moyen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MAPE = 12,9 %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précision opérationnelle remarquable pour des séries d'injection plastique soumises aux aléas de moules.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6.7.3 Validation des recommandations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 audit mené auprès des approvisionneurs d'atelier a validé la pertinence des préconisations de commande : la politique de couverture à 45 jours a permis de supprimer les ruptures sur 18 matières stratégiques lors des essais pilotes.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6.7.4 Validation de l'interface utilisateur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L'ergonomie a été évaluée auprès d'un panel d'utilisateurs composé de deux chefs d'ateliers et d'un gestionnaire d'approvisionnement. Les retours ont unanimement salué la clarté des visuels Power BI, la réactivité des filtres et segments croisés, et la suppression des tâches manuelles de consolidation sous Excel.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6.8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6.3 récapitule les livrables achevés et validés au terme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DWH &amp; DAX</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en étoile connecté en DirectQuery au DWH SQL Server et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Production &amp; TRG</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Power BI de supervision des 319 presses et calcul du TRG</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Prévisions IA</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Power BI restituant les prédictions Prophet à 7, 15 et 30 jours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Gestion des stocks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Power BI d'analyse ABC, ruptures et alertes de réapprovisionnement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RLS &amp; Déploiement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 la sécurité par rôle et publication sur Power BI Service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l'ensemble des scénarios de test avec les équipes d'atelier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Documentation technique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Guide utilisateur des rapports Power BI et dictionnaire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6.3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développement et la validation du portail décisionnel Nexora, aboutissement final de notre démarche d'ingénierie. En centralisant dans des rapports Power BI le suivi du TRG, les prévisions de l'intelligence artificielle issues du DWH SQL Server et la gestion prescriptive des stocks, Nexora dote l'équipementier automobile d'un outil de pilotage décisionnel d'avant-garde. Les tests et la recette utilisateur confirment la puissance des visualisations interactives et l'impact opérationnel immédiat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en environnement industriel réel la plateforme décisionnelle intelligente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répondant aux défis critiques de pilotage de production et de gestion des stocks au sein d'un grand équipementier de plasturgie automobile multi-sites.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Partant d'un constat empirique caractérisé par des silos de données, des calculs de TRG manuels et différés, et des décisions d'approvisionnement réactives génératrices de ruptures et de surstocks, l'objectif principal était de valoriser le patrimoine informationnel du Data Warehouse (plus de 1,5 million de mouvements d'articles et 250 000 enregistrements machines) pour en faire un puissant levier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conduite du projet selon la méthodologie Agile Scrum, articulée en cinq sprints successifs, a garanti une livraison incrémentale et parfaitement validée à chaque étape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cadrage rigoureux des besoins auprès des directeurs d'usines et ingénieurs méthodes, aboutissant à une architecture logicielle découplée en quatre niveaux garantissant scalabilité, robustesse et sécurité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en œuvre d'un pipeline ETL hautement performant sous SQL Server et Spring Boot, divisant par soixante les temps de réponse sur les tables de faits volumineuses grâce à une indexation clusterisée optimisée.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élaboration d'un moteur de gestion des stocks calculant en temps réel la couverture en jours et le taux de rotation des 6 875 références d'atelier, générant des recommandations de réapprovisionnement chiffrées sur un horizon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et évaluation comparative de quatre algorithmes d'IA (Régression Linéaire, ARIMA, Random Forest, Prophet) sous validation croisée temporelle TimeSeriesSplit à 5 plis, démontrant la nette suprématie de l'algorithme Prophet de Meta (R² = 0,9600, MAPE = 4,8 %), complété par Isolation Forest pour la détection des anomalies de cadences des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et déploiement de rapports Power BI interactifs connectés en DirectQuery au Data Warehouse SQL Server, couvrant la production, les prévisions IA et les stocks, validés lors des sessions de recette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industriel et opérationnel, les gains mesurés au terme du déploiement pilote sont substantiels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l'efficacité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augmentation mesurée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+6,3 points de TRG global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attribuable à la détection précoce des micro-arrêts et à la réactivité immédiate des chefs d'équipes.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Sécurisation des flux logistiques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réduction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22 % des ruptures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les composants et résines plastiques critiques de classe 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Optimisation du fonds de roulement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diminution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18 % des situations de 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les articles à faible rotation, libérant une trésorerie d'exploitation significative.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Fluidité d'accès aux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temps moyen d'accès aux indicateurs clés ramené de 3 jours de consolidation manuelle à moins d'une seconde.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ces résultats concrets, ce travail ouvre des perspectives d'évolution prometteuses pour l'infrastructure informatique et analytique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Arburg et Engel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modèles dédiés à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spatiale en temps réel des ateliers de Kondar et Brno visualisant l'ensemble des 319 machines sous forme de jumeau numérique interactif.</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définitive, ce projet démontre la viabilité et l'impact décisif de l'intelligence artificielle et du décisionnel moderne appliqués à la plasturgie automobile, positionnant l'entreprise d'accueil sur la voie de l'excellence opérationnelle et de l'Usine du Futur.</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au cours de ce projet sont présentées ci-dessous conformément aux normes académiques et à la convention internationale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t5yhh7y6kq-ufm_d2osgl">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om-lyp7e4sjn4ixit5bfi">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F. T. Liu, K. M. Ting, et Z.-H. Zhou, « Isolation Forest », in Proc. of the 8th IEEE International Conference on Data Mining (ICDM), Pise, Italie, 2008, p. 413-422.</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J. MacQueen, « Some methods for classification and analysis of multivariate observations », in Proc. of 5th Berkeley Symposium on Mathematical Statistics and Probability, vol. 1, 1967, p. 281-297.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9x9p74fn_cwivt0ep2z3i">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zfcholt6b5pzvbpn0jtpp">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2022 Technical Documentation &amp; Index Architecture », 2024. </w:t>
      </w:r>
      <w:hyperlink w:history="1" r:id="rId4kpcz9oshk5tsen4u-c-6">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e_wqn466yrmfunuegqqwc">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my0rgmerpaxpzjrwachde">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tewno2_sk_uqcuawv9iry">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f8rdfd6niwbdbcwzejwsk">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upggvtblayzgamwxsldql">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Microsoft Corporation, « TypeScript Documentation: Typed JavaScript at Any Scale », 2024. </w:t>
      </w:r>
      <w:hyperlink w:history="1" r:id="rIdd6povszaroqgf2wycxq_m">
        <w:r>
          <w:rPr>
            <w:rFonts w:ascii="Times New Roman" w:cs="Times New Roman" w:eastAsia="Times New Roman" w:hAnsi="Times New Roman"/>
            <w:color w:val="0056B3"/>
            <w:sz w:val="22"/>
            <w:szCs w:val="22"/>
            <w:u w:val="single"/>
          </w:rPr>
          <w:t xml:space="preserve">https://www.typescriptlang.org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[24] Microsoft Corporation, « Microsoft Power BI Guidance Documentation &amp; DAX Reference », 2024. </w:t>
      </w:r>
      <w:hyperlink w:history="1" r:id="rIdvs6fgkv5ehlok00sybd9b">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[26] Object Management Group (OMG), « Unified Modeling Language (UML) Specification, Version 2.5.1 », déc. 2017. </w:t>
      </w:r>
      <w:hyperlink w:history="1" r:id="rIdm8hkoz-zaff0o-z6r6atf">
        <w:r>
          <w:rPr>
            <w:rFonts w:ascii="Times New Roman" w:cs="Times New Roman" w:eastAsia="Times New Roman" w:hAnsi="Times New Roman"/>
            <w:color w:val="0056B3"/>
            <w:sz w:val="22"/>
            <w:szCs w:val="22"/>
            <w:u w:val="single"/>
          </w:rPr>
          <w:t xml:space="preserve">https://www.omg.org/spec/UML/2.5.1/</w:t>
        </w:r>
      </w:hyperlink>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t5yhh7y6kq-ufm_d2osgl" Type="http://schemas.openxmlformats.org/officeDocument/2006/relationships/hyperlink" Target="https://scrumguides.org" TargetMode="External"/><Relationship Id="rIdom-lyp7e4sjn4ixit5bfi" Type="http://schemas.openxmlformats.org/officeDocument/2006/relationships/hyperlink" Target="https://otexts.com/fpp3/" TargetMode="External"/><Relationship Id="rId9x9p74fn_cwivt0ep2z3i" Type="http://schemas.openxmlformats.org/officeDocument/2006/relationships/hyperlink" Target="https://scikit-learn.org" TargetMode="External"/><Relationship Id="rIdzfcholt6b5pzvbpn0jtpp" Type="http://schemas.openxmlformats.org/officeDocument/2006/relationships/hyperlink" Target="https://peerj.com/preprints/3190/" TargetMode="External"/><Relationship Id="rId4kpcz9oshk5tsen4u-c-6" Type="http://schemas.openxmlformats.org/officeDocument/2006/relationships/hyperlink" Target="https://learn.microsoft.com/sql/sql-server/" TargetMode="External"/><Relationship Id="rIde_wqn466yrmfunuegqqwc" Type="http://schemas.openxmlformats.org/officeDocument/2006/relationships/hyperlink" Target="https://spring.io/projects/spring-boot" TargetMode="External"/><Relationship Id="rIdmy0rgmerpaxpzjrwachde" Type="http://schemas.openxmlformats.org/officeDocument/2006/relationships/hyperlink" Target="https://docs.python.org/3/" TargetMode="External"/><Relationship Id="rIdtewno2_sk_uqcuawv9iry" Type="http://schemas.openxmlformats.org/officeDocument/2006/relationships/hyperlink" Target="https://pandas.pydata.org" TargetMode="External"/><Relationship Id="rIdf8rdfd6niwbdbcwzejwsk" Type="http://schemas.openxmlformats.org/officeDocument/2006/relationships/hyperlink" Target="https://fastapi.tiangolo.com" TargetMode="External"/><Relationship Id="rIdupggvtblayzgamwxsldql" Type="http://schemas.openxmlformats.org/officeDocument/2006/relationships/hyperlink" Target="https://react.dev" TargetMode="External"/><Relationship Id="rIdd6povszaroqgf2wycxq_m" Type="http://schemas.openxmlformats.org/officeDocument/2006/relationships/hyperlink" Target="https://www.typescriptlang.org" TargetMode="External"/><Relationship Id="rIdvs6fgkv5ehlok00sybd9b" Type="http://schemas.openxmlformats.org/officeDocument/2006/relationships/hyperlink" Target="https://learn.microsoft.com/power-bi/" TargetMode="External"/><Relationship Id="rIdm8hkoz-zaff0o-z6r6atf" Type="http://schemas.openxmlformats.org/officeDocument/2006/relationships/hyperlink" Target="https://www.omg.org/spec/UML/2.5.1/" TargetMode="External"/><Relationship Id="rId12" Type="http://schemas.openxmlformats.org/officeDocument/2006/relationships/image" Target="media/a9b6ab7ec699fbf18963012655e4c70807d1d15b.undefined"/><Relationship Id="rId13" Type="http://schemas.openxmlformats.org/officeDocument/2006/relationships/image" Target="media/fe65776b946ee3e30970a2bc3cb6200c43a2998d.undefined"/><Relationship Id="rId14" Type="http://schemas.openxmlformats.org/officeDocument/2006/relationships/image" Target="media/4be5a1274612a017cc41446d9f350420ef5b79cc.undefined"/><Relationship Id="rId15" Type="http://schemas.openxmlformats.org/officeDocument/2006/relationships/image" Target="media/9dd5e9a114f13b358237690766cdee9a567c75b1.undefined"/><Relationship Id="rId16" Type="http://schemas.openxmlformats.org/officeDocument/2006/relationships/image" Target="media/0d70d93885f02ae9f00717ef0ba9f8bf6afb9966.undefined"/><Relationship Id="rId17" Type="http://schemas.openxmlformats.org/officeDocument/2006/relationships/image" Target="media/c6c9bc98852bbbd8f031de5c60185571e574355b.undefined"/><Relationship Id="rId18" Type="http://schemas.openxmlformats.org/officeDocument/2006/relationships/image" Target="media/c261150534a2ad650681e4011e149793ede51939.undefined"/><Relationship Id="rId19" Type="http://schemas.openxmlformats.org/officeDocument/2006/relationships/image" Target="media/e5c2e8103b229b040ccd3d8588637f32f6d57a62.undefined"/><Relationship Id="rId20" Type="http://schemas.openxmlformats.org/officeDocument/2006/relationships/image" Target="media/663ed9adefa0c458e0a150e1155ebb295d3467e3.undefined"/><Relationship Id="rId21" Type="http://schemas.openxmlformats.org/officeDocument/2006/relationships/image" Target="media/a333d990c4782cc7214049874e281ef3a3656184.undefined"/><Relationship Id="rId22" Type="http://schemas.openxmlformats.org/officeDocument/2006/relationships/image" Target="media/229c450ffd62535658c59c42ca5c25debc6d2af7.undefined"/><Relationship Id="rId23" Type="http://schemas.openxmlformats.org/officeDocument/2006/relationships/image" Target="media/a884a33f45071419cd7467c4c992095dba4fe287.undefined"/><Relationship Id="rId24" Type="http://schemas.openxmlformats.org/officeDocument/2006/relationships/image" Target="media/d0dc730255c49e63615471b1401dac82a9f3df99.undefined"/><Relationship Id="rId25" Type="http://schemas.openxmlformats.org/officeDocument/2006/relationships/image" Target="media/0609c3a42d04260b32bfbb9a5fed82dcf3a9888c.undefined"/><Relationship Id="rId26" Type="http://schemas.openxmlformats.org/officeDocument/2006/relationships/image" Target="media/557d531b259cccc9113df941f64161cc1d48e0c8.undefined"/><Relationship Id="rId27" Type="http://schemas.openxmlformats.org/officeDocument/2006/relationships/image" Target="media/c9effac407348d1e759dec9de0bd0859ec91c9f5.undefined"/><Relationship Id="rId28" Type="http://schemas.openxmlformats.org/officeDocument/2006/relationships/image" Target="media/96efd929915fcb3314ad87c31bc0c9f3cb3cfc6b.undefined"/><Relationship Id="rId29" Type="http://schemas.openxmlformats.org/officeDocument/2006/relationships/image" Target="media/1bda744f00ceec9883ada0d8de1f5d14ed61980b.undefined"/><Relationship Id="rId30" Type="http://schemas.openxmlformats.org/officeDocument/2006/relationships/image" Target="media/b641cd8f12a5c67fc8f2f31e8a7d67dfb8abc697.undefined"/><Relationship Id="rId31" Type="http://schemas.openxmlformats.org/officeDocument/2006/relationships/image" Target="media/a578b6db75183dd27dd76933f420c2d246178052.undefined"/><Relationship Id="rId32" Type="http://schemas.openxmlformats.org/officeDocument/2006/relationships/image" Target="media/8c708147d14e9ec5b2be76716f78f333281e56b0.undefined"/><Relationship Id="rId33" Type="http://schemas.openxmlformats.org/officeDocument/2006/relationships/image" Target="media/cba26c094fbe5b08ef4d221b1fae292cd61a09a4.undefined"/><Relationship Id="rId34" Type="http://schemas.openxmlformats.org/officeDocument/2006/relationships/image" Target="media/bb726fb00b88dbd789eb9d2095f5e1a5a7bb4a17.undefined"/><Relationship Id="rId35" Type="http://schemas.openxmlformats.org/officeDocument/2006/relationships/image" Target="media/1f6b12816366a554e68e0178d422a85b2fba1d52.undefined"/><Relationship Id="rId36" Type="http://schemas.openxmlformats.org/officeDocument/2006/relationships/image" Target="media/d2bf30fde46232fea397ab878acb4d0c6813c315.undefined"/><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2026-10-03T14:59:18.696Z</dcterms:created>
  <dcterms:modified xsi:type="dcterms:W3CDTF">2026-10-03T14:59:18.700Z</dcterms:modified>
</cp:coreProperties>
</file>

<file path=docProps/custom.xml><?xml version="1.0" encoding="utf-8"?>
<Properties xmlns="http://schemas.openxmlformats.org/officeDocument/2006/custom-properties" xmlns:vt="http://schemas.openxmlformats.org/officeDocument/2006/docPropsVTypes"/>
</file>