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df" ContentType="application/pdf"/>
  <Override PartName="/word/media/rId22.pdf" ContentType="application/pdf"/>
  <Override PartName="/word/media/rId35.pdf" ContentType="application/pdf"/>
  <Override PartName="/word/media/rId33.pdf" ContentType="application/pdf"/>
  <Override PartName="/word/media/rId20.pdf" ContentType="application/pdf"/>
  <Override PartName="/word/media/rId37.pdf" ContentType="application/pdf"/>
  <Override PartName="/word/media/rId24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Amber</w:t>
      </w:r>
      <w:r>
        <w:t xml:space="preserve"> </w:t>
      </w:r>
      <w:r>
        <w:t xml:space="preserve">M.</w:t>
      </w:r>
      <w:r>
        <w:t xml:space="preserve"> </w:t>
      </w:r>
      <w:r>
        <w:t xml:space="preserve">Young</w:t>
      </w:r>
    </w:p>
    <w:p>
      <w:pPr>
        <w:pStyle w:val="FirstParagraph"/>
      </w:pPr>
      <w:r>
        <w:t xml:space="preserve"> </w:t>
      </w:r>
    </w:p>
    <w:bookmarkStart w:id="21" w:name="X53641998f706b9a9121fc11a92aa8ac439c2774"/>
    <w:p>
      <w:pPr>
        <w:pStyle w:val="Heading1"/>
      </w:pPr>
      <w:r>
        <w:t xml:space="preserve">The DeSurv model shows consistent convergence and stability</w:t>
      </w:r>
      <w:r>
        <w:t xml:space="preserve"> </w:t>
      </w:r>
      <w:r>
        <w:t xml:space="preserve">across</w:t>
      </w:r>
      <w:r>
        <w:t xml:space="preserve"> </w:t>
      </w:r>
      <w:r>
        <w:t xml:space="preserve">restarts</w:t>
      </w:r>
    </w:p>
    <w:p>
      <w:pPr>
        <w:pStyle w:val="FirstParagraph"/>
      </w:pPr>
      <w:r>
        <w:t xml:space="preserve">Across datasets and initialization schemes, the DeSurv algorithm</w:t>
      </w:r>
      <w:r>
        <w:t xml:space="preserve"> </w:t>
      </w:r>
      <w:r>
        <w:t xml:space="preserve">consistently converged to numerically stable solutions within the</w:t>
      </w:r>
      <w:r>
        <w:t xml:space="preserve"> </w:t>
      </w:r>
      <w:r>
        <w:t xml:space="preserve">designated iteration budget. Warm-start strategies, in which solutions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initialized supervised runs, substantially reduced</w:t>
      </w:r>
      <w:r>
        <w:t xml:space="preserve"> </w:t>
      </w:r>
      <w:r>
        <w:t xml:space="preserve">variability across restarts and improved reproducibility. Fig.</w:t>
      </w:r>
      <w:r>
        <w:t xml:space="preserve"> </w:t>
      </w:r>
      <w:hyperlink w:anchor="fig:fig-converge">
        <w:r>
          <w:rPr>
            <w:rStyle w:val="Hyperlink"/>
          </w:rPr>
          <w:t xml:space="preserve">[fig:fig-converge]</w:t>
        </w:r>
      </w:hyperlink>
      <w:r>
        <w:t xml:space="preserve"> </w:t>
      </w:r>
      <w:r>
        <w:t xml:space="preserve">shows representative loss trajectories</w:t>
      </w:r>
      <w:r>
        <w:t xml:space="preserve"> </w:t>
      </w:r>
      <w:r>
        <w:t xml:space="preserve">demonstrating monotone decreases until convergence across restarts.</w:t>
      </w:r>
      <w:r>
        <w:t xml:space="preserve"> </w:t>
      </w:r>
      <w:r>
        <w:t xml:space="preserve">Compared with naive random initialization, warm-starts produced tighter</w:t>
      </w:r>
      <w:r>
        <w:t xml:space="preserve"> </w:t>
      </w:r>
      <w:r>
        <w:t xml:space="preserve">distributions of cross-validated C-index and partial likelihood,</w:t>
      </w:r>
      <w:r>
        <w:t xml:space="preserve"> </w:t>
      </w:r>
      <w:r>
        <w:t xml:space="preserve">confirming stability of the optimization procedure.</w:t>
      </w:r>
    </w:p>
    <w:p>
      <w:pPr>
        <w:pStyle w:val="BodyText"/>
      </w:pPr>
      <w:r>
        <w:drawing>
          <wp:inline>
            <wp:extent cx="4572000" cy="27432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supplement_media/d25794be6f66eb7d58c9055a8ef79b37a5d19027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3" w:name="Xa656e561b251301228bdad7d1c71d379544158a"/>
    <w:p>
      <w:pPr>
        <w:pStyle w:val="Heading1"/>
      </w:pPr>
      <w:r>
        <w:t xml:space="preserve">Simulation results under null and mixed</w:t>
      </w:r>
      <w:r>
        <w:t xml:space="preserve"> </w:t>
      </w:r>
      <w:r>
        <w:t xml:space="preserve">scenarios</w:t>
      </w:r>
    </w:p>
    <w:p>
      <w:pPr>
        <w:pStyle w:val="FirstParagraph"/>
      </w:pPr>
      <w:r>
        <w:t xml:space="preserve">To characterize the operating characteristics of DeSurv across different</w:t>
      </w:r>
      <w:r>
        <w:t xml:space="preserve"> </w:t>
      </w:r>
      <w:r>
        <w:t xml:space="preserve">signal regimes, we evaluated performance under three simulation</w:t>
      </w:r>
      <w:r>
        <w:t xml:space="preserve"> </w:t>
      </w:r>
      <w:r>
        <w:t xml:space="preserve">scenarios. In the primary scenario (main text Fig. 3), prognostic</w:t>
      </w:r>
      <w:r>
        <w:t xml:space="preserve"> </w:t>
      </w:r>
      <w:r>
        <w:t xml:space="preserve">programs explained low variance relative to outcome-neutral background</w:t>
      </w:r>
      <w:r>
        <w:t xml:space="preserve"> </w:t>
      </w:r>
      <w:r>
        <w:t xml:space="preserve">signals, and survival depended on 150 factor-specific marker genes</w:t>
      </w:r>
      <w:r>
        <w:t xml:space="preserve"> </w:t>
      </w:r>
      <w:r>
        <w:t xml:space="preserve">(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In the null scenario,</w:t>
      </w:r>
      <w:r>
        <w:t xml:space="preserve"> </w:t>
      </w:r>
      <w:r>
        <w:t xml:space="preserve">survival times were generated independently of gene expression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), so no prognostic structure existed. In the mixed</w:t>
      </w:r>
      <w:r>
        <w:t xml:space="preserve"> </w:t>
      </w:r>
      <w:r>
        <w:t xml:space="preserve">scenario, survival depended on 300 genes per lethal factor, of which</w:t>
      </w:r>
      <w:r>
        <w:t xml:space="preserve"> </w:t>
      </w:r>
      <w:r>
        <w:t xml:space="preserve">50% were factor-specific markers and 50% were background genes with</w:t>
      </w:r>
      <w:r>
        <w:t xml:space="preserve"> </w:t>
      </w:r>
      <w:r>
        <w:t xml:space="preserve">loadings shared across all factors. All scenarios used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genes,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samples,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true factors, and identical gamma</w:t>
      </w:r>
      <w:r>
        <w:t xml:space="preserve"> </w:t>
      </w:r>
      <w:r>
        <w:t xml:space="preserve">distribution parameters for the gene loading matrix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(see Materials</w:t>
      </w:r>
      <w:r>
        <w:t xml:space="preserve"> </w:t>
      </w:r>
      <w:r>
        <w:t xml:space="preserve">and Methods). Performance was evaluated using cross-validated</w:t>
      </w:r>
      <w:r>
        <w:t xml:space="preserve"> </w:t>
      </w:r>
      <w:r>
        <w:t xml:space="preserve">concordance index (C-index), precision of recovered prognostic gene</w:t>
      </w:r>
      <w:r>
        <w:t xml:space="preserve"> </w:t>
      </w:r>
      <w:r>
        <w:t xml:space="preserve">sets, and the distribution of selected ranks across simulation</w:t>
      </w:r>
      <w:r>
        <w:t xml:space="preserve"> </w:t>
      </w:r>
      <w:r>
        <w:t xml:space="preserve">replicates.</w:t>
      </w:r>
    </w:p>
    <w:p>
      <w:pPr>
        <w:pStyle w:val="BodyText"/>
      </w:pPr>
      <w:r>
        <w:t xml:space="preserve">Under the null scenario (Fig.</w:t>
      </w:r>
      <w:r>
        <w:t xml:space="preserve"> </w:t>
      </w:r>
      <w:hyperlink w:anchor="fig:sim-null-mixed">
        <w:r>
          <w:rPr>
            <w:rStyle w:val="Hyperlink"/>
          </w:rPr>
          <w:t xml:space="preserve">[fig:sim-null-mixed]</w:t>
        </w:r>
      </w:hyperlink>
      <w:r>
        <w:t xml:space="preserve">A–B), DeSurv</w:t>
      </w:r>
      <w:r>
        <w:t xml:space="preserve"> </w:t>
      </w:r>
      <w:r>
        <w:t xml:space="preserve">showed no advantage over unsupervised NMF (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). Both methods</w:t>
      </w:r>
      <w:r>
        <w:t xml:space="preserve"> </w:t>
      </w:r>
      <w:r>
        <w:t xml:space="preserve">yielded C-index values near 0.5, consistent with the absence of survival</w:t>
      </w:r>
      <w:r>
        <w:t xml:space="preserve"> </w:t>
      </w:r>
      <w:r>
        <w:t xml:space="preserve">signal. The distribution of selected ranks was concentrated at low</w:t>
      </w:r>
      <w:r>
        <w:t xml:space="preserve"> </w:t>
      </w:r>
      <w:r>
        <w:t xml:space="preserve">values for both methods, with NMF more strongly favoring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These results confirm that DeSurv does not hallucinate prognostic</w:t>
      </w:r>
      <w:r>
        <w:t xml:space="preserve"> </w:t>
      </w:r>
      <w:r>
        <w:t xml:space="preserve">structure when none exists: Bayesian optimization selected low values of</w:t>
      </w:r>
      <w:r>
        <w:t xml:space="preserve"> </w:t>
      </w:r>
      <w:r>
        <w:t xml:space="preserve">the supervision parameter</w:t>
      </w:r>
      <w:r>
        <w:t xml:space="preserve"> </w:t>
      </w:r>
      <m:oMath>
        <m:r>
          <m:t>α</m:t>
        </m:r>
      </m:oMath>
      <w:r>
        <w:t xml:space="preserve">, effectively recovering standard</w:t>
      </w:r>
      <w:r>
        <w:t xml:space="preserve"> </w:t>
      </w:r>
      <w:r>
        <w:t xml:space="preserve">NMF as a special case. This specificity control is important because it</w:t>
      </w:r>
      <w:r>
        <w:t xml:space="preserve"> </w:t>
      </w:r>
      <w:r>
        <w:t xml:space="preserve">establishes that the advantages observed in the primary scenario reflect</w:t>
      </w:r>
      <w:r>
        <w:t xml:space="preserve"> </w:t>
      </w:r>
      <w:r>
        <w:t xml:space="preserve">genuine signal recovery rather than overfitting to noise in the survival</w:t>
      </w:r>
      <w:r>
        <w:t xml:space="preserve"> </w:t>
      </w:r>
      <w:r>
        <w:t xml:space="preserve">labels.</w:t>
      </w:r>
    </w:p>
    <w:p>
      <w:pPr>
        <w:pStyle w:val="BodyText"/>
      </w:pPr>
      <w:r>
        <w:t xml:space="preserve">Under the mixed scenario (Fig.</w:t>
      </w:r>
      <w:r>
        <w:t xml:space="preserve"> </w:t>
      </w:r>
      <w:hyperlink w:anchor="fig:sim-null-mixed">
        <w:r>
          <w:rPr>
            <w:rStyle w:val="Hyperlink"/>
          </w:rPr>
          <w:t xml:space="preserve">[fig:sim-null-mixed]</w:t>
        </w:r>
      </w:hyperlink>
      <w:r>
        <w:t xml:space="preserve">C–F), four</w:t>
      </w:r>
      <w:r>
        <w:t xml:space="preserve"> </w:t>
      </w:r>
      <w:r>
        <w:t xml:space="preserve">mechanistic observations characterize DeSurv’s advantage. First, when</w:t>
      </w:r>
      <w:r>
        <w:t xml:space="preserve"> </w:t>
      </w:r>
      <w:r>
        <w:t xml:space="preserve">precision is evaluated against the factor-specific marker genes alone</w:t>
      </w:r>
      <w:r>
        <w:t xml:space="preserve"> </w:t>
      </w:r>
      <w:r>
        <w:t xml:space="preserve">(150 genes; Fig.</w:t>
      </w:r>
      <w:r>
        <w:t xml:space="preserve"> </w:t>
      </w:r>
      <w:hyperlink w:anchor="fig:sim-null-mixed">
        <w:r>
          <w:rPr>
            <w:rStyle w:val="Hyperlink"/>
          </w:rPr>
          <w:t xml:space="preserve">[fig:sim-null-mixed]</w:t>
        </w:r>
      </w:hyperlink>
      <w:r>
        <w:t xml:space="preserve">D left), DeSurv substantially</w:t>
      </w:r>
      <w:r>
        <w:t xml:space="preserve"> </w:t>
      </w:r>
      <w:r>
        <w:t xml:space="preserve">outperforms NMF—matching or exceeding primary-scenario levels—even</w:t>
      </w:r>
      <w:r>
        <w:t xml:space="preserve"> </w:t>
      </w:r>
      <w:r>
        <w:t xml:space="preserve">though overall survival-gene precision (300-gene survival set including</w:t>
      </w:r>
      <w:r>
        <w:t xml:space="preserve"> </w:t>
      </w:r>
      <w:r>
        <w:t xml:space="preserve">background genes; Fig.</w:t>
      </w:r>
      <w:r>
        <w:t xml:space="preserve"> </w:t>
      </w:r>
      <w:hyperlink w:anchor="fig:sim-null-mixed">
        <w:r>
          <w:rPr>
            <w:rStyle w:val="Hyperlink"/>
          </w:rPr>
          <w:t xml:space="preserve">[fig:sim-null-mixed]</w:t>
        </w:r>
      </w:hyperlink>
      <w:r>
        <w:t xml:space="preserve">D right) is more modestly</w:t>
      </w:r>
      <w:r>
        <w:t xml:space="preserve"> </w:t>
      </w:r>
      <w:r>
        <w:t xml:space="preserve">improved. This dissociation reveals that background-gene recovery is</w:t>
      </w:r>
      <w:r>
        <w:t xml:space="preserve"> </w:t>
      </w:r>
      <w:r>
        <w:t xml:space="preserve">similar between methods, and DeSurv’s edge comes specifically from</w:t>
      </w:r>
      <w:r>
        <w:t xml:space="preserve"> </w:t>
      </w:r>
      <w:r>
        <w:t xml:space="preserve">concentrating marker programs. Second, the learned factor most aligned</w:t>
      </w:r>
      <w:r>
        <w:t xml:space="preserve"> </w:t>
      </w:r>
      <w:r>
        <w:t xml:space="preserve">with the true marker program receives a substantially larger Cox</w:t>
      </w:r>
      <w:r>
        <w:t xml:space="preserve"> </w:t>
      </w:r>
      <w:r>
        <w:t xml:space="preserve">coefficient (</w:t>
      </w:r>
      <m:oMath>
        <m:d>
          <m:dPr>
            <m:begChr m:val="|"/>
            <m:endChr m:val="|"/>
            <m:sepChr m:val=""/>
            <m:grow/>
          </m:dPr>
          <m:e>
            <m:r>
              <m:t>β</m:t>
            </m:r>
          </m:e>
        </m:d>
      </m:oMath>
      <w:r>
        <w:t xml:space="preserve">) under DeSurv than under NMF (Fig.</w:t>
      </w:r>
      <w:r>
        <w:t xml:space="preserve"> </w:t>
      </w:r>
      <w:hyperlink w:anchor="fig:sim-null-mixed">
        <w:r>
          <w:rPr>
            <w:rStyle w:val="Hyperlink"/>
          </w:rPr>
          <w:t xml:space="preserve">[fig:sim-null-mixed]</w:t>
        </w:r>
      </w:hyperlink>
      <w:r>
        <w:t xml:space="preserve">E), confirming that survival supervision</w:t>
      </w:r>
      <w:r>
        <w:t xml:space="preserve"> </w:t>
      </w:r>
      <w:r>
        <w:t xml:space="preserve">preferentially amplifies the marker-specific signal. Third, C-index</w:t>
      </w:r>
      <w:r>
        <w:t xml:space="preserve"> </w:t>
      </w:r>
      <w:r>
        <w:t xml:space="preserve">values are modestly higher for DeSurv (Fig.</w:t>
      </w:r>
      <w:r>
        <w:t xml:space="preserve"> </w:t>
      </w:r>
      <w:hyperlink w:anchor="fig:sim-null-mixed">
        <w:r>
          <w:rPr>
            <w:rStyle w:val="Hyperlink"/>
          </w:rPr>
          <w:t xml:space="preserve">[fig:sim-null-mixed]</w:t>
        </w:r>
      </w:hyperlink>
      <w:r>
        <w:t xml:space="preserve">C),</w:t>
      </w:r>
      <w:r>
        <w:t xml:space="preserve"> </w:t>
      </w:r>
      <w:r>
        <w:t xml:space="preserve">consistent with the moderate overall improvement when background-gene</w:t>
      </w:r>
      <w:r>
        <w:t xml:space="preserve"> </w:t>
      </w:r>
      <w:r>
        <w:t xml:space="preserve">dilution attenuates the survival signal. Together, these results</w:t>
      </w:r>
      <w:r>
        <w:t xml:space="preserve"> </w:t>
      </w:r>
      <w:r>
        <w:t xml:space="preserve">demonstrate that DeSurv’s advantage in the mixed scenario is</w:t>
      </w:r>
      <w:r>
        <w:t xml:space="preserve"> </w:t>
      </w:r>
      <w:r>
        <w:t xml:space="preserve">mechanistic: the method specifically recovers marker programs and</w:t>
      </w:r>
      <w:r>
        <w:t xml:space="preserve"> </w:t>
      </w:r>
      <w:r>
        <w:t xml:space="preserve">assigns them elevated survival weights, rather than incidental capture</w:t>
      </w:r>
      <w:r>
        <w:t xml:space="preserve"> </w:t>
      </w:r>
      <w:r>
        <w:t xml:space="preserve">of background-gene prognosis.</w:t>
      </w:r>
    </w:p>
    <w:p>
      <w:pPr>
        <w:pStyle w:val="BodyText"/>
      </w:pPr>
      <w:r>
        <w:t xml:space="preserve">Together, the three scenarios provide a dose-response relationship:</w:t>
      </w:r>
      <w:r>
        <w:t xml:space="preserve"> </w:t>
      </w:r>
      <w:r>
        <w:t xml:space="preserve">DeSurv’s advantage is greatest when variance and prognosis diverge</w:t>
      </w:r>
      <w:r>
        <w:t xml:space="preserve"> </w:t>
      </w:r>
      <w:r>
        <w:t xml:space="preserve">(primary), moderate when they partially overlap (mixed), and absent when</w:t>
      </w:r>
      <w:r>
        <w:t xml:space="preserve"> </w:t>
      </w:r>
      <w:r>
        <w:t xml:space="preserve">no survival signal exists (null). The mechanistic basis for the</w:t>
      </w:r>
      <w:r>
        <w:t xml:space="preserve"> </w:t>
      </w:r>
      <w:r>
        <w:t xml:space="preserve">attenuation in the mixed scenario is now clear: DeSurv continues to</w:t>
      </w:r>
      <w:r>
        <w:t xml:space="preserve"> </w:t>
      </w:r>
      <w:r>
        <w:t xml:space="preserve">specifically recover marker programs (high marker precision, elevated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β</m:t>
            </m:r>
          </m:e>
        </m:d>
      </m:oMath>
      <w:r>
        <w:t xml:space="preserve">), but the overall survival-gene precision improvement is</w:t>
      </w:r>
      <w:r>
        <w:t xml:space="preserve"> </w:t>
      </w:r>
      <w:r>
        <w:t xml:space="preserve">dampened because background-gene dilution in the 300-gene survival</w:t>
      </w:r>
      <w:r>
        <w:t xml:space="preserve"> </w:t>
      </w:r>
      <w:r>
        <w:t xml:space="preserve">signal reduces the discrimination advantage. This gradient is consistent</w:t>
      </w:r>
      <w:r>
        <w:t xml:space="preserve"> </w:t>
      </w:r>
      <w:r>
        <w:t xml:space="preserve">with the predictions of sufficient dimension reduction theory and offers</w:t>
      </w:r>
      <w:r>
        <w:t xml:space="preserve"> </w:t>
      </w:r>
      <w:r>
        <w:t xml:space="preserve">practical guidance for users: DeSurv is most beneficial in settings</w:t>
      </w:r>
      <w:r>
        <w:t xml:space="preserve"> </w:t>
      </w:r>
      <w:r>
        <w:t xml:space="preserve">where the dominant transcriptional axes are expected to be</w:t>
      </w:r>
      <w:r>
        <w:t xml:space="preserve"> </w:t>
      </w:r>
      <w:r>
        <w:t xml:space="preserve">prognostically neutral, as is common in cancers with high tumor purity</w:t>
      </w:r>
      <w:r>
        <w:t xml:space="preserve"> </w:t>
      </w:r>
      <w:r>
        <w:t xml:space="preserve">variation or dominant tissue-composition signals.</w:t>
      </w:r>
    </w:p>
    <w:p>
      <w:pPr>
        <w:pStyle w:val="BodyText"/>
      </w:pPr>
      <w:r>
        <w:drawing>
          <wp:inline>
            <wp:extent cx="5334000" cy="5744307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supplement_media/136196790086ee3bd6482e102516972d6d2c334e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5" w:name="X680e376122d014d3f7c1287c73305ede05e677a"/>
    <w:p>
      <w:pPr>
        <w:pStyle w:val="Heading1"/>
      </w:pPr>
      <w:r>
        <w:t xml:space="preserve">Cross-validated C-index across factorization</w:t>
      </w:r>
      <w:r>
        <w:t xml:space="preserve"> </w:t>
      </w:r>
      <w:r>
        <w:t xml:space="preserve">rank</w:t>
      </w:r>
    </w:p>
    <w:p>
      <w:pPr>
        <w:pStyle w:val="FirstParagraph"/>
      </w:pPr>
      <w:r>
        <w:t xml:space="preserve">To evaluate how the number of latent factors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affects prognostic</w:t>
      </w:r>
      <w:r>
        <w:t xml:space="preserve"> </w:t>
      </w:r>
      <w:r>
        <w:t xml:space="preserve">performance, we performed an exhaustive grid search 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 </w:t>
      </w:r>
      <w:r>
        <w:t xml:space="preserve">and supervision strength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}</m:t>
        </m:r>
      </m:oMath>
      <w:r>
        <w:t xml:space="preserve"> </w:t>
      </w:r>
      <w:r>
        <w:t xml:space="preserve">using 5-fold cross-validation</w:t>
      </w:r>
      <w:r>
        <w:t xml:space="preserve"> </w:t>
      </w:r>
      <w:r>
        <w:t xml:space="preserve">on the TCGA+CPTAC training cohort. For each</w:t>
      </w:r>
      <w:r>
        <w:t xml:space="preserve"> </w:t>
      </w:r>
      <m:oMath>
        <m:r>
          <m:t>k</m:t>
        </m:r>
      </m:oMath>
      <w:r>
        <w:t xml:space="preserve">, the best-performing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was selected by maximizing the mean CV C-index. The</w:t>
      </w:r>
      <w:r>
        <w:t xml:space="preserve"> </w:t>
      </w:r>
      <w:r>
        <w:t xml:space="preserve">unsupervised NMF baseline (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) was evaluated at the same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values for comparison. Results are shown for two gene-selection</w:t>
      </w:r>
      <w:r>
        <w:t xml:space="preserve"> </w:t>
      </w:r>
      <w:r>
        <w:t xml:space="preserve">settings: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 </w:t>
      </w:r>
      <w:r>
        <w:t xml:space="preserve">top genes per factor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ALL</m:t>
        </m:r>
      </m:oMath>
      <w:r>
        <w:t xml:space="preserve"> </w:t>
      </w:r>
      <w:r>
        <w:t xml:space="preserve">(all genes retained), both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0.349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0.056</m:t>
        </m:r>
      </m:oMath>
      <w:r>
        <w:t xml:space="preserve">.</w:t>
      </w:r>
    </w:p>
    <w:p>
      <w:pPr>
        <w:pStyle w:val="BodyText"/>
      </w:pPr>
      <w:r>
        <w:t xml:space="preserve">Fig.</w:t>
      </w:r>
      <w:r>
        <w:t xml:space="preserve"> </w:t>
      </w:r>
      <w:hyperlink w:anchor="fig:fig-cindex-by-k">
        <w:r>
          <w:rPr>
            <w:rStyle w:val="Hyperlink"/>
          </w:rPr>
          <w:t xml:space="preserve">[fig:fig-cindex-by-k]</w:t>
        </w:r>
      </w:hyperlink>
      <w:r>
        <w:t xml:space="preserve"> </w:t>
      </w:r>
      <w:r>
        <w:t xml:space="preserve">shows the resulting C-index curves for</w:t>
      </w:r>
      <w:r>
        <w:t xml:space="preserve"> </w:t>
      </w:r>
      <w:r>
        <w:t xml:space="preserve">both training (CV) and external validation (pooled across held-out</w:t>
      </w:r>
      <w:r>
        <w:t xml:space="preserve"> </w:t>
      </w:r>
      <w:r>
        <w:t xml:space="preserve">cohorts), with shaded ribbons indicating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standard error. In</w:t>
      </w:r>
      <w:r>
        <w:t xml:space="preserve"> </w:t>
      </w:r>
      <w:r>
        <w:t xml:space="preserve">training, DeSurv consistently outperforms NMF across all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confirming that survival supervision improves in-sample concordance. In</w:t>
      </w:r>
      <w:r>
        <w:t xml:space="preserve"> </w:t>
      </w:r>
      <w:r>
        <w:t xml:space="preserve">external validation, DeSurv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achieves concordance comparable</w:t>
      </w:r>
      <w:r>
        <w:t xml:space="preserve"> </w:t>
      </w:r>
      <w:r>
        <w:t xml:space="preserve">to NMF at higher ranks (e.g.,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; Table</w:t>
      </w:r>
      <w:r>
        <w:t xml:space="preserve"> </w:t>
      </w:r>
      <w:hyperlink w:anchor="tab:tab-cindex-comparison">
        <w:r>
          <w:rPr>
            <w:rStyle w:val="Hyperlink"/>
          </w:rPr>
          <w:t xml:space="preserve">3</w:t>
        </w:r>
      </w:hyperlink>
      <w:r>
        <w:t xml:space="preserve">), demonstrating that survival</w:t>
      </w:r>
      <w:r>
        <w:t xml:space="preserve"> </w:t>
      </w:r>
      <w:r>
        <w:t xml:space="preserve">supervision concentrates prognostic information into fewer factors</w:t>
      </w:r>
      <w:r>
        <w:t xml:space="preserve"> </w:t>
      </w:r>
      <w:r>
        <w:t xml:space="preserve">rather than requiring additional rank to capture it.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supplement_media/e600124905a7aa3f0a36d2e23b8fcdb54df9cb0d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standard-nmf-rank-selection-heuristics"/>
    <w:p>
      <w:pPr>
        <w:pStyle w:val="Heading1"/>
      </w:pPr>
      <w:r>
        <w:t xml:space="preserve">Standard NMF rank selection</w:t>
      </w:r>
      <w:r>
        <w:t xml:space="preserve"> </w:t>
      </w:r>
      <w:r>
        <w:t xml:space="preserve">heuristics</w:t>
      </w:r>
    </w:p>
    <w:p>
      <w:pPr>
        <w:pStyle w:val="FirstParagraph"/>
      </w:pPr>
      <w:r>
        <w:t xml:space="preserve">Standard unsupervised rank selection criteria — reconstruction</w:t>
      </w:r>
      <w:r>
        <w:t xml:space="preserve"> </w:t>
      </w:r>
      <w:r>
        <w:t xml:space="preserve">residuals, cophenetic correlation coefficient, and mean silhouette width</w:t>
      </w:r>
      <w:r>
        <w:t xml:space="preserve"> </w:t>
      </w:r>
      <w:r>
        <w:t xml:space="preserve">— yielded inconsistent guidance for selecting the factorization rank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PDAC training cohort (TCGA + CPTAC). Reconstruction</w:t>
      </w:r>
      <w:r>
        <w:t xml:space="preserve"> </w:t>
      </w:r>
      <w:r>
        <w:t xml:space="preserve">residuals decreased smoothly without a clear elbow (Fig.</w:t>
      </w:r>
      <w:r>
        <w:t xml:space="preserve"> </w:t>
      </w:r>
      <w:hyperlink w:anchor="fig:nmf-diagnostics">
        <w:r>
          <w:rPr>
            <w:rStyle w:val="Hyperlink"/>
          </w:rPr>
          <w:t xml:space="preserve">[fig:nmf-diagnostics]</w:t>
        </w:r>
      </w:hyperlink>
      <w:r>
        <w:t xml:space="preserve">A). Cophenetic correlation fluctuated without a</w:t>
      </w:r>
      <w:r>
        <w:t xml:space="preserve"> </w:t>
      </w:r>
      <w:r>
        <w:t xml:space="preserve">distinct transition point (Fig.</w:t>
      </w:r>
      <w:r>
        <w:t xml:space="preserve"> </w:t>
      </w:r>
      <w:hyperlink w:anchor="fig:nmf-diagnostics">
        <w:r>
          <w:rPr>
            <w:rStyle w:val="Hyperlink"/>
          </w:rPr>
          <w:t xml:space="preserve">[fig:nmf-diagnostics]</w:t>
        </w:r>
      </w:hyperlink>
      <w:r>
        <w:t xml:space="preserve">B). Mean</w:t>
      </w:r>
      <w:r>
        <w:t xml:space="preserve"> </w:t>
      </w:r>
      <w:r>
        <w:t xml:space="preserve">silhouette width favored very low ranks that conflicted with other</w:t>
      </w:r>
      <w:r>
        <w:t xml:space="preserve"> </w:t>
      </w:r>
      <w:r>
        <w:t xml:space="preserve">criteria (Fig.</w:t>
      </w:r>
      <w:r>
        <w:t xml:space="preserve"> </w:t>
      </w:r>
      <w:hyperlink w:anchor="fig:nmf-diagnostics">
        <w:r>
          <w:rPr>
            <w:rStyle w:val="Hyperlink"/>
          </w:rPr>
          <w:t xml:space="preserve">[fig:nmf-diagnostics]</w:t>
        </w:r>
      </w:hyperlink>
      <w:r>
        <w:t xml:space="preserve">C). These contradictions</w:t>
      </w:r>
      <w:r>
        <w:t xml:space="preserve"> </w:t>
      </w:r>
      <w:r>
        <w:t xml:space="preserve">motivated the survival-supervised rank selection approach described in</w:t>
      </w:r>
      <w:r>
        <w:t xml:space="preserve"> </w:t>
      </w:r>
      <w:r>
        <w:t xml:space="preserve">the main text.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supplement_media/004ca74877ff1e9b0d8f0297f7ca74976fb74ff8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2" w:name="Xf6462c8157398f0f15754505574153e14193f4c"/>
    <w:p>
      <w:pPr>
        <w:pStyle w:val="Heading1"/>
      </w:pPr>
      <w:r>
        <w:t xml:space="preserve">K-sensitivity analysis: effect of gene focusing on iCAF factor</w:t>
      </w:r>
      <w:r>
        <w:t xml:space="preserve"> </w:t>
      </w:r>
      <w:r>
        <w:t xml:space="preserve">validation</w:t>
      </w:r>
    </w:p>
    <w:p>
      <w:pPr>
        <w:pStyle w:val="FirstParagraph"/>
      </w:pPr>
      <w:r>
        <w:t xml:space="preserve">To evaluate the robustness of the K=3 iCAF factorization, we conducted</w:t>
      </w:r>
      <w:r>
        <w:t xml:space="preserve"> </w:t>
      </w:r>
      <w:r>
        <w:t xml:space="preserve">an exhaustive sensitivity analysis across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,</m:t>
        </m:r>
        <m:r>
          <m:t>0.55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0.85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}</m:t>
        </m:r>
      </m:oMath>
      <w:r>
        <w:t xml:space="preserve"> </w:t>
      </w:r>
      <w:r>
        <w:t xml:space="preserve">(35</w:t>
      </w:r>
      <w:r>
        <w:t xml:space="preserve"> </w:t>
      </w:r>
      <w:r>
        <w:t xml:space="preserve">combinations), holding all remaining hyperparameters fixed at the</w:t>
      </w:r>
      <w:r>
        <w:t xml:space="preserve"> </w:t>
      </w:r>
      <w:r>
        <w:t xml:space="preserve">production-optimal values (</w:t>
      </w:r>
      <m:oMath>
        <m:r>
          <m:t>λ</m:t>
        </m:r>
        <m:r>
          <m:rPr>
            <m:sty m:val="p"/>
          </m:rPr>
          <m:t>=</m:t>
        </m:r>
        <m:r>
          <m:t>0.349</m:t>
        </m:r>
      </m:oMath>
      <w:r>
        <w:t xml:space="preserve">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0.056</m:t>
        </m:r>
      </m:oMath>
      <w:r>
        <w:t xml:space="preserve">, 100</w:t>
      </w:r>
      <w:r>
        <w:t xml:space="preserve"> </w:t>
      </w:r>
      <w:r>
        <w:t xml:space="preserve">initializations). For each fit, we identified the factor most correlated</w:t>
      </w:r>
      <w:r>
        <w:t xml:space="preserve"> </w:t>
      </w:r>
      <w:r>
        <w:t xml:space="preserve">with the production K=3 D1 (the iCAF factor) and evaluated its</w:t>
      </w:r>
      <w:r>
        <w:t xml:space="preserve"> </w:t>
      </w:r>
      <w:r>
        <w:t xml:space="preserve">prognostic value in 570 independent validation patients across 4 cohorts</w:t>
      </w:r>
      <w:r>
        <w:t xml:space="preserve"> </w:t>
      </w:r>
      <w:r>
        <w:t xml:space="preserve">(Dijk, Moffitt GEO, Puleo, PACA-AU), using stratified Cox regression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strata(dataset)</w:t>
      </w:r>
      <w:r>
        <w:t xml:space="preserve">) with and without adjustment for PurIST and</w:t>
      </w:r>
      <w:r>
        <w:t xml:space="preserve"> </w:t>
      </w:r>
      <w:r>
        <w:t xml:space="preserve">DeCAF classifiers. Factor-program fidelity was quantified by Spearman</w:t>
      </w:r>
      <w:r>
        <w:t xml:space="preserve"> </w:t>
      </w:r>
      <w:r>
        <w:t xml:space="preserve">rank correlation of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-focused H-scores (H-cor)</w:t>
      </w:r>
      <w:r>
        <w:t xml:space="preserve"> </w:t>
      </w:r>
      <w:r>
        <w:t xml:space="preserve">with the production factor. We repeated this analysis under two</w:t>
      </w:r>
      <w:r>
        <w:t xml:space="preserve"> </w:t>
      </w:r>
      <w:r>
        <w:t xml:space="preserve">gene-projection settings,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 </w:t>
      </w:r>
      <w:r>
        <w:t xml:space="preserve">(production-optimal</w:t>
      </w:r>
      <w:r>
        <w:t xml:space="preserve"> </w:t>
      </w:r>
      <w:r>
        <w:t xml:space="preserve">top genes per factor)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NULL</m:t>
        </m:r>
      </m:oMath>
      <w:r>
        <w:t xml:space="preserve"> </w:t>
      </w:r>
      <w:r>
        <w:t xml:space="preserve">(all 1,970</w:t>
      </w:r>
      <w:r>
        <w:t xml:space="preserve"> </w:t>
      </w:r>
      <w:r>
        <w:t xml:space="preserve">genes), to isolate the effect of gene focusing on validation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The central finding is shown in Table</w:t>
      </w:r>
      <w:r>
        <w:t xml:space="preserve"> </w:t>
      </w:r>
      <w:hyperlink w:anchor="tab:tab-ksens-summary">
        <w:r>
          <w:rPr>
            <w:rStyle w:val="Hyperlink"/>
          </w:rPr>
          <w:t xml:space="preserve">[tab:tab-ksens-summary]</w:t>
        </w:r>
      </w:hyperlink>
      <w:r>
        <w:t xml:space="preserve">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is the critical hyperparameter enabling</w:t>
      </w:r>
      <w:r>
        <w:rPr>
          <w:bCs/>
          <w:b/>
        </w:rPr>
        <w:t xml:space="preserve"> </w:t>
      </w:r>
      <w:r>
        <w:rPr>
          <w:bCs/>
          <w:b/>
        </w:rPr>
        <w:t xml:space="preserve">the production fit’s adjusted validation.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NULL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, while</w:t>
      </w:r>
      <w:r>
        <w:t xml:space="preserve"> </w:t>
      </w:r>
      <w:r>
        <w:t xml:space="preserve">holding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at their optimal values, increases the</w:t>
      </w:r>
      <w:r>
        <w:t xml:space="preserve"> </w:t>
      </w:r>
      <w:r>
        <w:t xml:space="preserve">number of K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α</m:t>
        </m:r>
      </m:oMath>
      <w:r>
        <w:t xml:space="preserve"> </w:t>
      </w:r>
      <w:r>
        <w:t xml:space="preserve">combinations achieving adjusted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from 5/35 to 18/35 and restores K=3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0.55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0.003</m:t>
        </m:r>
      </m:oMath>
      <w:r>
        <w:t xml:space="preserve">, nearly identical to the production fit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). By contrast, changing only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from 0.3 to</w:t>
      </w:r>
      <w:r>
        <w:t xml:space="preserve"> </w:t>
      </w:r>
      <w:r>
        <w:t xml:space="preserve">0.349 while keeping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NULL</m:t>
        </m:r>
      </m:oMath>
      <w:r>
        <w:t xml:space="preserve"> </w:t>
      </w:r>
      <w:r>
        <w:t xml:space="preserve">leaves the overall</w:t>
      </w:r>
      <w:r>
        <w:t xml:space="preserve"> </w:t>
      </w:r>
      <w:r>
        <w:t xml:space="preserve">count unchanged (5/35), confirming that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t>ξ</m:t>
        </m:r>
      </m:oMath>
      <w:r>
        <w:t xml:space="preserve"> </w:t>
      </w:r>
      <w:r>
        <w:t xml:space="preserve">tuning alone</w:t>
      </w:r>
      <w:r>
        <w:t xml:space="preserve"> </w:t>
      </w:r>
      <w:r>
        <w:t xml:space="preserve">cannot reproduce the adjusted signal.</w:t>
      </w:r>
    </w:p>
    <w:p>
      <w:pPr>
        <w:pStyle w:val="BodyText"/>
      </w:pPr>
      <w:r>
        <w:t xml:space="preserve">Tables</w:t>
      </w:r>
      <w:r>
        <w:t xml:space="preserve"> </w:t>
      </w:r>
      <w:hyperlink w:anchor="tab:tab-ksens-adjp-ntop270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</w:t>
      </w:r>
      <w:r>
        <w:t xml:space="preserve"> </w:t>
      </w:r>
      <w:hyperlink w:anchor="tab:tab-ksens-adjp-allgen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present the full K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α</m:t>
        </m:r>
      </m:oMath>
      <w:r>
        <w:t xml:space="preserve"> </w:t>
      </w:r>
      <w:r>
        <w:t xml:space="preserve">adjusted P-value matrices for the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NULL</m:t>
        </m:r>
      </m:oMath>
      <w:r>
        <w:t xml:space="preserve"> </w:t>
      </w:r>
      <w:r>
        <w:t xml:space="preserve">analyses respectively.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, K=3 achieves adjusted significance at 5 of 7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 tested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0.55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}</m:t>
        </m:r>
      </m:oMath>
      <w:r>
        <w:t xml:space="preserve">), and broad adjusted</w:t>
      </w:r>
      <w:r>
        <w:t xml:space="preserve"> </w:t>
      </w:r>
      <w:r>
        <w:t xml:space="preserve">significance is also observed at K=2 (5/7) and K=5 (4/7).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NULL</m:t>
        </m:r>
      </m:oMath>
      <w:r>
        <w:t xml:space="preserve"> </w:t>
      </w:r>
      <w:r>
        <w:t xml:space="preserve">(Table</w:t>
      </w:r>
      <w:r>
        <w:t xml:space="preserve"> </w:t>
      </w:r>
      <w:hyperlink w:anchor="tab:tab-ksens-adjp-allgenes">
        <w:r>
          <w:rPr>
            <w:rStyle w:val="Hyperlink"/>
          </w:rPr>
          <w:t xml:space="preserve">2</w:t>
        </w:r>
      </w:hyperlink>
      <w:r>
        <w:t xml:space="preserve">), the landscape is sparse and</w:t>
      </w:r>
      <w:r>
        <w:t xml:space="preserve"> </w:t>
      </w:r>
      <w:r>
        <w:t xml:space="preserve">structurally different: K=3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0.55</m:t>
        </m:r>
      </m:oMath>
      <w:r>
        <w:t xml:space="preserve"> </w:t>
      </w:r>
      <w:r>
        <w:t xml:space="preserve">narrowly misses</w:t>
      </w:r>
      <w:r>
        <w:t xml:space="preserve"> </w:t>
      </w:r>
      <w:r>
        <w:t xml:space="preserve">significance (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), and only isolated combinations scattered</w:t>
      </w:r>
      <w:r>
        <w:t xml:space="preserve"> </w:t>
      </w:r>
      <w:r>
        <w:t xml:space="preserve">across K=3, K=5, K=7, and K=9 achieve adjusted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</w:t>
      </w:r>
    </w:p>
    <w:bookmarkStart w:id="29" w:name="tab:tab-ksens-adjp-ntop270"/>
    <w:p>
      <w:pPr>
        <w:pStyle w:val="TableCaption"/>
      </w:pPr>
      <w:bookmarkStart w:id="28" w:name="tab:tab-ksens-adjp-ntop270"/>
      <w:r>
        <w:t xml:space="preserve">[tab:tab-ksens-adjp-ntop270]</w:t>
      </w:r>
      <w:bookmarkEnd w:id="28"/>
      <w:r>
        <w:t xml:space="preserve">Adjusted validation P-values (Cox + PurIST + DeCAF + strata(dataset)) across K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α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0.349</m:t>
        </m:r>
      </m:oMath>
      <w:r>
        <w:t xml:space="preserve">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0.056</m:t>
        </m:r>
      </m:oMath>
      <w:r>
        <w:t xml:space="preserve">. Each cell gives the P-value for the factor most correlated with the production K=3 iCAF factor. Bold: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; 18 of 35 combinations are significant.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[tab:tab-ksens-adjp-ntop270]Adjusted validation P-values (Cox + PurIST + DeCAF + strata(dataset)) across K \times \alpha with n_{\text{top}}=270, \lambda=0.349, \xi=0.056. Each cell gives the P-value for the factor most correlated with the production K=3 iCAF factor. Bold: P &lt; 0.05; 18 of 35 combinations are significant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</w:p>
        </w:tc>
        <w:tc>
          <w:tcPr>
            <w:gridSpan w:val="7"/>
          </w:tcPr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</w:t>
            </w:r>
            <w:r>
              <w:t xml:space="preserve">3pt</w:t>
            </w:r>
            <w:r>
              <w:t xml:space="preserve">r</w:t>
            </w:r>
            <w:r>
              <w:t xml:space="preserve">3pt</w:t>
            </w:r>
            <w:r>
              <w:t xml:space="preserve">)</w:t>
            </w:r>
            <w:r>
              <w:t xml:space="preserve">2-8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5e-4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8e-4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6e-4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</w:tr>
    </w:tbl>
    <w:bookmarkEnd w:id="29"/>
    <w:bookmarkStart w:id="31" w:name="tab:tab-ksens-adjp-allgenes"/>
    <w:p>
      <w:pPr>
        <w:pStyle w:val="TableCaption"/>
      </w:pPr>
      <w:bookmarkStart w:id="30" w:name="tab:tab-ksens-adjp-allgenes"/>
      <w:r>
        <w:t xml:space="preserve">[tab:tab-ksens-adjp-allgenes]</w:t>
      </w:r>
      <w:bookmarkEnd w:id="30"/>
      <w:r>
        <w:t xml:space="preserve">Adjusted validation P-values across K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α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</m:oMath>
      <w:r>
        <w:t xml:space="preserve">=NULL (all 1970 genes),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0.349</m:t>
        </m:r>
      </m:oMath>
      <w:r>
        <w:t xml:space="preserve">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0.056</m:t>
        </m:r>
      </m:oMath>
      <w:r>
        <w:t xml:space="preserve">. Layout identical to Table</w:t>
      </w:r>
      <w:r>
        <w:t xml:space="preserve"> </w:t>
      </w:r>
      <w:hyperlink w:anchor="tab:tab-ksens-adjp-ntop270">
        <w:r>
          <w:rPr>
            <w:rStyle w:val="Hyperlink"/>
          </w:rPr>
          <w:t xml:space="preserve">1</w:t>
        </w:r>
      </w:hyperlink>
      <w:r>
        <w:t xml:space="preserve">. Only 5 of 35 combinations are significant (bold), and K=3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0.55</m:t>
        </m:r>
      </m:oMath>
      <w:r>
        <w:t xml:space="preserve"> </w:t>
      </w:r>
      <w:r>
        <w:t xml:space="preserve">(the production neighborhood) reaches only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[tab:tab-ksens-adjp-allgenes]Adjusted validation P-values across K \times \alpha with n_{\text{top}}=NULL (all 1970 genes), \lambda=0.349, \xi=0.056. Layout identical to Table 1. Only 5 of 35 combinations are significant (bold), and K=3 at \alpha=0.55 (the production neighborhood) reaches only P = 0.097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</w:p>
        </w:tc>
        <w:tc>
          <w:tcPr>
            <w:gridSpan w:val="7"/>
          </w:tcPr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</w:t>
            </w:r>
            <w:r>
              <w:t xml:space="preserve">3pt</w:t>
            </w:r>
            <w:r>
              <w:t xml:space="preserve">r</w:t>
            </w:r>
            <w:r>
              <w:t xml:space="preserve">3pt</w:t>
            </w:r>
            <w:r>
              <w:t xml:space="preserve">)</w:t>
            </w:r>
            <w:r>
              <w:t xml:space="preserve">2-8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</w:tr>
    </w:tbl>
    <w:bookmarkEnd w:id="31"/>
    <w:p>
      <w:pPr>
        <w:pStyle w:val="BodyText"/>
      </w:pPr>
      <w:r>
        <w:t xml:space="preserve">Four additional findings emerge from these analyses. First, K=7’s</w:t>
      </w:r>
      <w:r>
        <w:t xml:space="preserve"> </w:t>
      </w:r>
      <w:r>
        <w:t xml:space="preserve">apparent advantage observed in a parallel analysis using conventional</w:t>
      </w:r>
      <w:r>
        <w:t xml:space="preserve"> </w:t>
      </w:r>
      <w:r>
        <w:t xml:space="preserve">hyperparameters (</w:t>
      </w:r>
      <m:oMath>
        <m:r>
          <m:t>λ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NULL</m:t>
        </m:r>
      </m:oMath>
      <w:r>
        <w:t xml:space="preserve">),</w:t>
      </w:r>
      <w:r>
        <w:t xml:space="preserve"> </w:t>
      </w:r>
      <w:r>
        <w:t xml:space="preserve">where K=7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0.75</m:t>
        </m:r>
      </m:oMath>
      <w:r>
        <w:t xml:space="preserve"> </w:t>
      </w:r>
      <w:r>
        <w:t xml:space="preserve">achieved 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0.019</m:t>
        </m:r>
      </m:oMath>
      <w:r>
        <w:t xml:space="preserve">, completely</w:t>
      </w:r>
      <w:r>
        <w:t xml:space="preserve"> </w:t>
      </w:r>
      <w:r>
        <w:t xml:space="preserve">disappears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 </w:t>
      </w:r>
      <w:r>
        <w:t xml:space="preserve">(adj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0.676</m:t>
        </m:r>
      </m:oMath>
      <w:r>
        <w:t xml:space="preserve">, Table</w:t>
      </w:r>
      <w:r>
        <w:t xml:space="preserve"> </w:t>
      </w:r>
      <w:hyperlink w:anchor="tab:tab-ksens-adjp-ntop270">
        <w:r>
          <w:rPr>
            <w:rStyle w:val="Hyperlink"/>
          </w:rPr>
          <w:t xml:space="preserve">1</w:t>
        </w:r>
      </w:hyperlink>
      <w:r>
        <w:t xml:space="preserve">). Focused 270-gene projection fragments</w:t>
      </w:r>
      <w:r>
        <w:t xml:space="preserve"> </w:t>
      </w:r>
      <w:r>
        <w:t xml:space="preserve">the iCAF signal across K=7’s factors, indicating that the earlier K=7</w:t>
      </w:r>
      <w:r>
        <w:t xml:space="preserve"> </w:t>
      </w:r>
      <w:r>
        <w:t xml:space="preserve">advantage depended on the all-genes projection rather than reflecting an</w:t>
      </w:r>
      <w:r>
        <w:t xml:space="preserve"> </w:t>
      </w:r>
      <w:r>
        <w:t xml:space="preserve">intrinsic property of the 7-factor solution. Second, K=3 achieves</w:t>
      </w:r>
      <w:r>
        <w:t xml:space="preserve"> </w:t>
      </w:r>
      <w:r>
        <w:t xml:space="preserve">adjusted significance across a broad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range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 </w:t>
      </w:r>
      <w:r>
        <w:t xml:space="preserve">(5/7 values), demonstrating that the production</w:t>
      </w:r>
      <w:r>
        <w:t xml:space="preserve"> </w:t>
      </w:r>
      <w:r>
        <w:t xml:space="preserve">result does not depend on the BO-selected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0.334</m:t>
        </m:r>
      </m:oMath>
      <w:r>
        <w:t xml:space="preserve"> </w:t>
      </w:r>
      <w:r>
        <w:t xml:space="preserve">specifically. Third, K=5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0.55</m:t>
        </m:r>
      </m:oMath>
      <w:r>
        <w:t xml:space="preserve"> </w:t>
      </w:r>
      <w:r>
        <w:t xml:space="preserve">achieves the highest</w:t>
      </w:r>
      <w:r>
        <w:t xml:space="preserve"> </w:t>
      </w:r>
      <w:r>
        <w:t xml:space="preserve">factor-program fidelity in the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 </w:t>
      </w:r>
      <w:r>
        <w:t xml:space="preserve">analysis (H-cor</w:t>
      </w:r>
      <w:r>
        <w:t xml:space="preserve"> </w:t>
      </w:r>
      <w:r>
        <w:t xml:space="preserve">= 0.903 vs. K=3’s 0.855) and also achieves adjusted significance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0.019</m:t>
        </m:r>
      </m:oMath>
      <w:r>
        <w:t xml:space="preserve">), providing convergent evidence for the iCAF biology from</w:t>
      </w:r>
      <w:r>
        <w:t xml:space="preserve"> </w:t>
      </w:r>
      <w:r>
        <w:t xml:space="preserve">a higher-K model; an independent K=5 all-genes fit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likewise achieves adjusted significance (</w:t>
      </w:r>
      <m:oMath>
        <m:r>
          <m:t>P</m:t>
        </m:r>
        <m:r>
          <m:rPr>
            <m:sty m:val="p"/>
          </m:rPr>
          <m:t>=</m:t>
        </m:r>
        <m:r>
          <m:t>0.0003</m:t>
        </m:r>
      </m:oMath>
      <w:r>
        <w:t xml:space="preserve">, H-cor = 0.91).</w:t>
      </w:r>
      <w:r>
        <w:t xml:space="preserve"> </w:t>
      </w:r>
      <w:r>
        <w:t xml:space="preserve">Fourth, without gene focusing, high supervision weights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≥</m:t>
        </m:r>
        <m:r>
          <m:t>0.75</m:t>
        </m:r>
      </m:oMath>
      <w:r>
        <w:t xml:space="preserve">) produce factors with extreme training</w:t>
      </w:r>
      <w:r>
        <w:t xml:space="preserve"> </w:t>
      </w:r>
      <w:r>
        <w:t xml:space="preserve">discrimination (HR</w:t>
      </w:r>
      <w:r>
        <w:t xml:space="preserve"> </w:t>
      </w:r>
      <m:oMath>
        <m:r>
          <m:rPr>
            <m:sty m:val="p"/>
          </m:rPr>
          <m:t>≈</m:t>
        </m:r>
        <m:r>
          <m:t>0.07</m:t>
        </m:r>
      </m:oMath>
      <w:r>
        <w:t xml:space="preserve">–</w:t>
      </w:r>
      <m:oMath>
        <m:r>
          <m:t>0.1</m:t>
        </m:r>
      </m:oMath>
      <w:r>
        <w:t xml:space="preserve">, LRT</w:t>
      </w:r>
      <w:r>
        <w:t xml:space="preserve"> </w:t>
      </w:r>
      <m:oMath>
        <m:r>
          <m:t>P</m:t>
        </m:r>
        <m:r>
          <m:rPr>
            <m:sty m:val="p"/>
          </m:rPr>
          <m:t>∼</m:t>
        </m:r>
        <m:r>
          <m:t>1</m:t>
        </m:r>
        <m:r>
          <m:t>e</m:t>
        </m:r>
        <m:r>
          <m:rPr>
            <m:sty m:val="p"/>
          </m:rPr>
          <m:t>−</m:t>
        </m:r>
        <m:r>
          <m:t>60</m:t>
        </m:r>
      </m:oMath>
      <w:r>
        <w:t xml:space="preserve">) that</w:t>
      </w:r>
      <w:r>
        <w:t xml:space="preserve"> </w:t>
      </w:r>
      <w:r>
        <w:t xml:space="preserve">fail external validation, indicating overfitting of the training</w:t>
      </w:r>
      <w:r>
        <w:t xml:space="preserve"> </w:t>
      </w:r>
      <w:r>
        <w:t xml:space="preserve">survival signal; gene focusing 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) suppresses</w:t>
      </w:r>
      <w:r>
        <w:t xml:space="preserve"> </w:t>
      </w:r>
      <w:r>
        <w:t xml:space="preserve">this by constraining each factor to its 270 most biologically</w:t>
      </w:r>
      <w:r>
        <w:t xml:space="preserve"> </w:t>
      </w:r>
      <w:r>
        <w:t xml:space="preserve">characteristic genes.</w:t>
      </w:r>
    </w:p>
    <w:bookmarkEnd w:id="32"/>
    <w:bookmarkStart w:id="34" w:name="X4eb8c6122c78f795854ef9f46a46393ec3e9d7d"/>
    <w:p>
      <w:pPr>
        <w:pStyle w:val="Heading1"/>
      </w:pPr>
      <w:r>
        <w:t xml:space="preserve">K=3 factors are partially but asymmetrically nested within</w:t>
      </w:r>
      <w:r>
        <w:t xml:space="preserve"> </w:t>
      </w:r>
      <w:r>
        <w:t xml:space="preserve">K=7</w:t>
      </w:r>
    </w:p>
    <w:p>
      <w:pPr>
        <w:pStyle w:val="FirstParagraph"/>
      </w:pPr>
      <w:r>
        <w:t xml:space="preserve">To assess whether the K=3 solution is simply a pruned version of the K=7</w:t>
      </w:r>
      <w:r>
        <w:t xml:space="preserve"> </w:t>
      </w:r>
      <w:r>
        <w:t xml:space="preserve">solution, we computed pairwise Spearman correlations between the</w:t>
      </w:r>
      <w:r>
        <w:t xml:space="preserve"> </w:t>
      </w:r>
      <w:r>
        <w:t xml:space="preserve">W-matrix gene loadings of the production K=3 model and a K=7 DeSurv fit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t xml:space="preserve">(the nearest grid value to the BO-selected optimum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0.334</m:t>
        </m:r>
      </m:oMath>
      <w:r>
        <w:t xml:space="preserve">), both using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0.349</m:t>
        </m:r>
      </m:oMath>
      <w:r>
        <w:t xml:space="preserve">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0.056</m:t>
        </m:r>
      </m:oMath>
      <w:r>
        <w:t xml:space="preserve">.</w:t>
      </w:r>
    </w:p>
    <w:p>
      <w:pPr>
        <w:pStyle w:val="BodyText"/>
      </w:pPr>
      <w:r>
        <w:t xml:space="preserve">The correspondence was partial but asymmetric (Fig.</w:t>
      </w:r>
      <w:r>
        <w:t xml:space="preserve"> </w:t>
      </w:r>
      <w:hyperlink w:anchor="fig:k3-k7-nesting">
        <w:r>
          <w:rPr>
            <w:rStyle w:val="Hyperlink"/>
          </w:rPr>
          <w:t xml:space="preserve">[fig:k3-k7-nesting]</w:t>
        </w:r>
      </w:hyperlink>
      <w:r>
        <w:t xml:space="preserve">). Two of three K=3 factors had clear one-to-one</w:t>
      </w:r>
      <w:r>
        <w:t xml:space="preserve"> </w:t>
      </w:r>
      <w:r>
        <w:t xml:space="preserve">K=7 counterparts: K3_F1 mapped strongly to K7_F1 (</w:t>
      </w:r>
      <m:oMath>
        <m:r>
          <m:t>r</m:t>
        </m:r>
        <m:r>
          <m:rPr>
            <m:sty m:val="p"/>
          </m:rPr>
          <m:t>=</m:t>
        </m:r>
        <m:r>
          <m:t>0.77</m:t>
        </m:r>
      </m:oMath>
      <w:r>
        <w:t xml:space="preserve">) and</w:t>
      </w:r>
      <w:r>
        <w:t xml:space="preserve"> </w:t>
      </w:r>
      <w:r>
        <w:t xml:space="preserve">K3_F2 mapped very strongly to K7_F7 (</w:t>
      </w:r>
      <m:oMath>
        <m:r>
          <m:t>r</m:t>
        </m:r>
        <m:r>
          <m:rPr>
            <m:sty m:val="p"/>
          </m:rPr>
          <m:t>=</m:t>
        </m:r>
        <m:r>
          <m:t>0.88</m:t>
        </m:r>
      </m:oMath>
      <w:r>
        <w:t xml:space="preserve">). In contrast,</w:t>
      </w:r>
      <w:r>
        <w:t xml:space="preserve"> </w:t>
      </w:r>
      <w:r>
        <w:t xml:space="preserve">K3_F3 showed no single dominant K=7 match; instead, it correlated</w:t>
      </w:r>
      <w:r>
        <w:t xml:space="preserve"> </w:t>
      </w:r>
      <w:r>
        <w:t xml:space="preserve">moderately with four K=7 factors simultaneously (K7_F2 through K7_F6;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0.57</m:t>
        </m:r>
      </m:oMath>
      <w:r>
        <w:t xml:space="preserve">–</w:t>
      </w:r>
      <m:oMath>
        <m:r>
          <m:t>0.71</m:t>
        </m:r>
      </m:oMath>
      <w:r>
        <w:t xml:space="preserve">). K7_F4 showed weak-to-moderate correlations</w:t>
      </w:r>
      <w:r>
        <w:t xml:space="preserve"> </w:t>
      </w:r>
      <w:r>
        <w:t xml:space="preserve">with all three K=3 factors (</w:t>
      </w:r>
      <m:oMath>
        <m:r>
          <m:t>r</m:t>
        </m:r>
        <m:r>
          <m:rPr>
            <m:sty m:val="p"/>
          </m:rPr>
          <m:t>=</m:t>
        </m:r>
        <m:r>
          <m:t>0.45</m:t>
        </m:r>
      </m:oMath>
      <w:r>
        <w:t xml:space="preserve">–</w:t>
      </w:r>
      <m:oMath>
        <m:r>
          <m:t>0.52</m:t>
        </m:r>
      </m:oMath>
      <w:r>
        <w:t xml:space="preserve">), suggesting it is a</w:t>
      </w:r>
      <w:r>
        <w:t xml:space="preserve"> </w:t>
      </w:r>
      <w:r>
        <w:t xml:space="preserve">mixed composite with no clear biological counterpart in the K=3</w:t>
      </w:r>
      <w:r>
        <w:t xml:space="preserve"> </w:t>
      </w:r>
      <w:r>
        <w:t xml:space="preserve">solution.</w:t>
      </w:r>
    </w:p>
    <w:p>
      <w:pPr>
        <w:pStyle w:val="BodyText"/>
      </w:pPr>
      <w:r>
        <w:t xml:space="preserve">This fragmentation pattern indicates that K=7 does not simply subdivide</w:t>
      </w:r>
      <w:r>
        <w:t xml:space="preserve"> </w:t>
      </w:r>
      <w:r>
        <w:t xml:space="preserve">K=3 structure. Rather, it disperses one coherent K=3 prognostic program</w:t>
      </w:r>
      <w:r>
        <w:t xml:space="preserve"> </w:t>
      </w:r>
      <w:r>
        <w:t xml:space="preserve">across multiple lower-signal components, consistent with the observed</w:t>
      </w:r>
      <w:r>
        <w:t xml:space="preserve"> </w:t>
      </w:r>
      <w:r>
        <w:t xml:space="preserve">failure of K=7 to achieve adjusted significance in external cohorts</w:t>
      </w:r>
      <w:r>
        <w:t xml:space="preserve"> </w:t>
      </w:r>
      <w:r>
        <w:t xml:space="preserve">(adjusted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0.676</m:t>
        </m:r>
      </m:oMath>
      <w:r>
        <w:t xml:space="preserve">; see main text).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supplement_media/b41d3bf65c0b9ebdbcc1c78a12ba672f8172e655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6" w:name="X2f4bb94c8759c9a33a42e156457d95bc49efb1d"/>
    <w:p>
      <w:pPr>
        <w:pStyle w:val="Heading1"/>
      </w:pPr>
      <w:r>
        <w:t xml:space="preserve">Cutpoint selection and validation of dichotomized risk</w:t>
      </w:r>
      <w:r>
        <w:t xml:space="preserve"> </w:t>
      </w:r>
      <w:r>
        <w:t xml:space="preserve">groups</w:t>
      </w:r>
    </w:p>
    <w:p>
      <w:pPr>
        <w:pStyle w:val="FirstParagraph"/>
      </w:pPr>
      <w:r>
        <w:t xml:space="preserve">To convert the continuous DeSurv linear predictor into a clinically</w:t>
      </w:r>
      <w:r>
        <w:t xml:space="preserve"> </w:t>
      </w:r>
      <w:r>
        <w:t xml:space="preserve">interpretable binary risk stratification, we selected an optimal z-score</w:t>
      </w:r>
      <w:r>
        <w:t xml:space="preserve"> </w:t>
      </w:r>
      <w:r>
        <w:t xml:space="preserve">cutpoint via cross-validation on the TCGA+CPTAC training cohort. For</w:t>
      </w:r>
      <w:r>
        <w:t xml:space="preserve"> </w:t>
      </w:r>
      <w:r>
        <w:t xml:space="preserve">each candidate cutpoint 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1.8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</m:oMath>
      <w:r>
        <w:t xml:space="preserve">, we computed</w:t>
      </w:r>
      <w:r>
        <w:t xml:space="preserve"> </w:t>
      </w:r>
      <w:r>
        <w:t xml:space="preserve">the mean absolute log-rank z-statistic across held-out folds and</w:t>
      </w:r>
      <w:r>
        <w:t xml:space="preserve"> </w:t>
      </w:r>
      <w:r>
        <w:t xml:space="preserve">selected the cutpoint maximizing this metric (Fig.</w:t>
      </w:r>
      <w:r>
        <w:t xml:space="preserve"> </w:t>
      </w:r>
      <w:hyperlink w:anchor="fig:fig-cutpoint-km">
        <w:r>
          <w:rPr>
            <w:rStyle w:val="Hyperlink"/>
          </w:rPr>
          <w:t xml:space="preserve">[fig:fig-cutpoint-km]</w:t>
        </w:r>
      </w:hyperlink>
      <w:r>
        <w:t xml:space="preserve">A). We then applied this cutpoint to external</w:t>
      </w:r>
      <w:r>
        <w:t xml:space="preserve"> </w:t>
      </w:r>
      <w:r>
        <w:t xml:space="preserve">validation cohorts by standardizing each patient’s linear predictor</w:t>
      </w:r>
      <w:r>
        <w:t xml:space="preserve"> </w:t>
      </w:r>
      <w:r>
        <w:t xml:space="preserve">using the training mean and standard deviation. Fig.</w:t>
      </w:r>
      <w:r>
        <w:t xml:space="preserve"> </w:t>
      </w:r>
      <w:hyperlink w:anchor="fig:fig-cutpoint-km">
        <w:r>
          <w:rPr>
            <w:rStyle w:val="Hyperlink"/>
          </w:rPr>
          <w:t xml:space="preserve">[fig:fig-cutpoint-km]</w:t>
        </w:r>
      </w:hyperlink>
      <w:r>
        <w:t xml:space="preserve">B shows the resulting Kaplan–Meier curves for</w:t>
      </w:r>
      <w:r>
        <w:t xml:space="preserve"> </w:t>
      </w:r>
      <w:r>
        <w:t xml:space="preserve">the pooled external validation analysis, with a stratified log-rank test</w:t>
      </w:r>
      <w:r>
        <w:t xml:space="preserve"> </w:t>
      </w:r>
      <w:r>
        <w:t xml:space="preserve">accounting for dataset of origin. Panels C–F display per-cohort</w:t>
      </w:r>
      <w:r>
        <w:t xml:space="preserve"> </w:t>
      </w:r>
      <w:r>
        <w:t xml:space="preserve">validation KM curves for Dijk, Moffitt, PACA-AU, and Puleo,</w:t>
      </w:r>
      <w:r>
        <w:t xml:space="preserve"> </w:t>
      </w:r>
      <w:r>
        <w:t xml:space="preserve">respectively. Across all cohorts, the DeSurv-derived high-risk group</w:t>
      </w:r>
      <w:r>
        <w:t xml:space="preserve"> </w:t>
      </w:r>
      <w:r>
        <w:t xml:space="preserve">showed consistently shorter survival, confirming that the</w:t>
      </w:r>
      <w:r>
        <w:t xml:space="preserve"> </w:t>
      </w:r>
      <w:r>
        <w:t xml:space="preserve">training-derived cutpoint generalizes to independent datasets.</w:t>
      </w:r>
    </w:p>
    <w:p>
      <w:pPr>
        <w:pStyle w:val="BodyText"/>
      </w:pPr>
      <w:r>
        <w:drawing>
          <wp:inline>
            <wp:extent cx="5334000" cy="586739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supplement_media/7bce94eeb8724f974f99ec198f917a2c0145db24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7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X618339c2b6fa97e7aec52c74d274bc8734d138c"/>
    <w:p>
      <w:pPr>
        <w:pStyle w:val="Heading1"/>
      </w:pPr>
      <w:r>
        <w:t xml:space="preserve">Overlap of DeSurv risk groups with known molecular</w:t>
      </w:r>
      <w:r>
        <w:t xml:space="preserve"> </w:t>
      </w:r>
      <w:r>
        <w:t xml:space="preserve">subtypes</w:t>
      </w:r>
    </w:p>
    <w:p>
      <w:pPr>
        <w:pStyle w:val="FirstParagraph"/>
      </w:pPr>
      <w:r>
        <w:t xml:space="preserve">To assess whether the DeSurv-derived risk stratification captures</w:t>
      </w:r>
      <w:r>
        <w:t xml:space="preserve"> </w:t>
      </w:r>
      <w:r>
        <w:t xml:space="preserve">biologically meaningful transcriptional programs, we examined the</w:t>
      </w:r>
      <w:r>
        <w:t xml:space="preserve"> </w:t>
      </w:r>
      <w:r>
        <w:t xml:space="preserve">overlap between dichotomized risk groups (High vs Low) and two</w:t>
      </w:r>
      <w:r>
        <w:t xml:space="preserve"> </w:t>
      </w:r>
      <w:r>
        <w:t xml:space="preserve">established PDAC molecular classifiers: PurIST (Basal-like vs Classical)</w:t>
      </w:r>
      <w:r>
        <w:t xml:space="preserve"> </w:t>
      </w:r>
      <w:r>
        <w:t xml:space="preserve">and DeCAF (proCAF vs restCAF). Fig.</w:t>
      </w:r>
      <w:r>
        <w:t xml:space="preserve"> </w:t>
      </w:r>
      <w:hyperlink w:anchor="fig:fig-subtype-overlap">
        <w:r>
          <w:rPr>
            <w:rStyle w:val="Hyperlink"/>
          </w:rPr>
          <w:t xml:space="preserve">[fig:fig-subtype-overlap]</w:t>
        </w:r>
      </w:hyperlink>
      <w:r>
        <w:t xml:space="preserve"> </w:t>
      </w:r>
      <w:r>
        <w:t xml:space="preserve">shows</w:t>
      </w:r>
      <w:r>
        <w:t xml:space="preserve"> </w:t>
      </w:r>
      <w:r>
        <w:t xml:space="preserve">the composition of each risk group across all pooled external validation</w:t>
      </w:r>
      <w:r>
        <w:t xml:space="preserve"> </w:t>
      </w:r>
      <w:r>
        <w:t xml:space="preserve">cohorts, with Fisher’s exact test P-values quantifying the association.</w:t>
      </w:r>
      <w:r>
        <w:t xml:space="preserve"> </w:t>
      </w:r>
      <w:r>
        <w:t xml:space="preserve">The high-risk group was significantly enriched for Basal-like (PurIST)</w:t>
      </w:r>
      <w:r>
        <w:t xml:space="preserve"> </w:t>
      </w:r>
      <w:r>
        <w:t xml:space="preserve">and proCAF (DeCAF) subtypes, consistent with the known poor prognosis of</w:t>
      </w:r>
      <w:r>
        <w:t xml:space="preserve"> </w:t>
      </w:r>
      <w:r>
        <w:t xml:space="preserve">these molecular classes. This concordance confirms that DeSurv’s</w:t>
      </w:r>
      <w:r>
        <w:t xml:space="preserve"> </w:t>
      </w:r>
      <w:r>
        <w:t xml:space="preserve">survival-driven factorization recovers clinically relevant biology</w:t>
      </w:r>
      <w:r>
        <w:t xml:space="preserve"> </w:t>
      </w:r>
      <w:r>
        <w:t xml:space="preserve">without requiring subtype labels during training.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supplement_media/da5ffa5effadead968f966fba1a5bc6421bd9375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4" w:name="Xc4c5baeff7306f1dabd993fa94a8d627a23f6be"/>
    <w:p>
      <w:pPr>
        <w:pStyle w:val="Heading1"/>
      </w:pPr>
      <w:r>
        <w:t xml:space="preserve">Standard NMF factor structure at independently selected</w:t>
      </w:r>
      <w:r>
        <w:t xml:space="preserve"> </w:t>
      </w:r>
      <w:r>
        <w:t xml:space="preserve">rank</w:t>
      </w:r>
    </w:p>
    <w:p>
      <w:pPr>
        <w:pStyle w:val="FirstParagraph"/>
      </w:pPr>
      <w:r>
        <w:t xml:space="preserve">Throughout the main text, both DeSurv and standard NMF were fit at the</w:t>
      </w:r>
      <w:r>
        <w:t xml:space="preserve"> </w:t>
      </w:r>
      <w:r>
        <w:t xml:space="preserve">same rank 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), enabling a controlled comparison of the effect of</w:t>
      </w:r>
      <w:r>
        <w:t xml:space="preserve"> </w:t>
      </w:r>
      <w:r>
        <w:t xml:space="preserve">survival supervision on factor structure. When each method selects its</w:t>
      </w:r>
      <w:r>
        <w:t xml:space="preserve"> </w:t>
      </w:r>
      <w:r>
        <w:t xml:space="preserve">own rank independently, standard NMF chooses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via residual</w:t>
      </w:r>
      <w:r>
        <w:t xml:space="preserve"> </w:t>
      </w:r>
      <w:r>
        <w:t xml:space="preserve">elbow detection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via Bayesian optimization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, while supervised DeSurv BO selects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 We examine</w:t>
      </w:r>
      <w:r>
        <w:t xml:space="preserve"> </w:t>
      </w:r>
      <w:r>
        <w:t xml:space="preserve">here the gene program structure at elbow-selected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for standard</w:t>
      </w:r>
      <w:r>
        <w:t xml:space="preserve"> </w:t>
      </w:r>
      <w:r>
        <w:t xml:space="preserve">NMF (Fig.</w:t>
      </w:r>
      <w:r>
        <w:t xml:space="preserve"> </w:t>
      </w:r>
      <w:hyperlink w:anchor="fig:fig-nmf-k5-heatmap">
        <w:r>
          <w:rPr>
            <w:rStyle w:val="Hyperlink"/>
          </w:rPr>
          <w:t xml:space="preserve">[fig:fig-nmf-k5-heatmap]</w:t>
        </w:r>
      </w:hyperlink>
      <w:r>
        <w:t xml:space="preserve">), and the NMF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structure</w:t>
      </w:r>
      <w:r>
        <w:t xml:space="preserve"> </w:t>
      </w:r>
      <w:r>
        <w:t xml:space="preserve">to illustrate additional fragmentation when supervision is absent (Fig.</w:t>
      </w:r>
      <w:r>
        <w:t xml:space="preserve"> </w:t>
      </w:r>
      <w:hyperlink w:anchor="fig:fig-nmf-k7-heatmap">
        <w:r>
          <w:rPr>
            <w:rStyle w:val="Hyperlink"/>
          </w:rPr>
          <w:t xml:space="preserve">[fig:fig-nmf-k7-heatmap]</w:t>
        </w:r>
      </w:hyperlink>
      <w:r>
        <w:t xml:space="preserve">).</w:t>
      </w:r>
    </w:p>
    <w:p>
      <w:pPr>
        <w:pStyle w:val="BodyText"/>
      </w:pPr>
      <w:r>
        <w:t xml:space="preserve">At elbow-selected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the three core programs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recovered by standard NMF (Fig.</w:t>
      </w:r>
      <w:r>
        <w:t xml:space="preserve"> </w:t>
      </w:r>
      <w:hyperlink w:anchor="fig:fig-nmf-k5-heatmap">
        <w:r>
          <w:rPr>
            <w:rStyle w:val="Hyperlink"/>
          </w:rPr>
          <w:t xml:space="preserve">[fig:fig-nmf-k5-heatmap]</w:t>
        </w:r>
      </w:hyperlink>
      <w:r>
        <w:t xml:space="preserve">). Two</w:t>
      </w:r>
      <w:r>
        <w:t xml:space="preserve"> </w:t>
      </w:r>
      <w:r>
        <w:t xml:space="preserve">additional factors emerge with strong overlap with Exocrine-like and</w:t>
      </w:r>
      <w:r>
        <w:t xml:space="preserve"> </w:t>
      </w:r>
      <w:r>
        <w:t xml:space="preserve">iCAF signatures, capturing transcriptional variance not aligned with</w:t>
      </w:r>
      <w:r>
        <w:t xml:space="preserve"> </w:t>
      </w:r>
      <w:r>
        <w:t xml:space="preserve">survival outcomes. These biologically redundant factors explain why</w:t>
      </w:r>
      <w:r>
        <w:t xml:space="preserve"> </w:t>
      </w:r>
      <w:r>
        <w:t xml:space="preserve">supervised BO selects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: the additional</w:t>
      </w:r>
      <w:r>
        <w:t xml:space="preserve"> </w:t>
      </w:r>
      <w:r>
        <w:t xml:space="preserve">rank adds no prognostically relevant structure.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At BO-selected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(Fig.</w:t>
      </w:r>
      <w:r>
        <w:t xml:space="preserve"> </w:t>
      </w:r>
      <w:hyperlink w:anchor="fig:fig-nmf-k7-heatmap">
        <w:r>
          <w:rPr>
            <w:rStyle w:val="Hyperlink"/>
          </w:rPr>
          <w:t xml:space="preserve">[fig:fig-nmf-k7-heatmap]</w:t>
        </w:r>
      </w:hyperlink>
      <w:r>
        <w:t xml:space="preserve">), standard NMF shows increased</w:t>
      </w:r>
      <w:r>
        <w:t xml:space="preserve"> </w:t>
      </w:r>
      <w:r>
        <w:t xml:space="preserve">fragmentation relative 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: multiple factors partially overlap</w:t>
      </w:r>
      <w:r>
        <w:t xml:space="preserve"> </w:t>
      </w:r>
      <w:r>
        <w:t xml:space="preserve">the same PDAC gene signatures, and no new biologically coherent program</w:t>
      </w:r>
      <w:r>
        <w:t xml:space="preserve"> </w:t>
      </w:r>
      <w:r>
        <w:t xml:space="preserve">emerges beyond those present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 A supervised DeSurv</w:t>
      </w:r>
      <w:r>
        <w:t xml:space="preserve"> </w:t>
      </w:r>
      <w:r>
        <w:t xml:space="preserve">equivalent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not shown because supervised BO selects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not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; the relationship between the production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DeSurv model and 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supervised DeSurv fit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0.35</m:t>
        </m:r>
      </m:oMath>
      <w:r>
        <w:t xml:space="preserve">) is characterized by the factor-nesting analysis</w:t>
      </w:r>
      <w:r>
        <w:t xml:space="preserve"> </w:t>
      </w:r>
      <w:r>
        <w:t xml:space="preserve">(Fig.</w:t>
      </w:r>
      <w:r>
        <w:t xml:space="preserve"> </w:t>
      </w:r>
      <w:hyperlink w:anchor="fig:k3-k7-nesting">
        <w:r>
          <w:rPr>
            <w:rStyle w:val="Hyperlink"/>
          </w:rPr>
          <w:t xml:space="preserve">[fig:k3-k7-nesting]</w:t>
        </w:r>
      </w:hyperlink>
      <w:r>
        <w:t xml:space="preserve">), which demonstrates that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solution fragments rather than extends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structure.</w:t>
      </w:r>
    </w:p>
    <w:p>
      <w:pPr>
        <w:pStyle w:val="BodyText"/>
      </w:pPr>
      <w:r>
        <w:t xml:space="preserve"> </w:t>
      </w:r>
    </w:p>
    <w:bookmarkStart w:id="40" w:name="tab:tab-cindex-comparison"/>
    <w:p>
      <w:pPr>
        <w:pStyle w:val="TableCaption"/>
      </w:pPr>
      <w:r>
        <w:t xml:space="preserve">External validation C-index by method and cohort. DeSurv at</w:t>
      </w:r>
      <w:r>
        <w:t xml:space="preserve"> </w:t>
      </w:r>
      <w:r>
        <w:t xml:space="preserve">BO-selected rank 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 is compared with standard NMF at matched</w:t>
      </w:r>
      <w:r>
        <w:t xml:space="preserve"> </w:t>
      </w:r>
      <w:r>
        <w:t xml:space="preserve">rank 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), elbow-selected rank 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), and BO-selected rank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). Higher values indicate better</w:t>
      </w:r>
      <w:r>
        <w:t xml:space="preserve"> </w:t>
      </w:r>
      <w:r>
        <w:t xml:space="preserve">discrimination.</w:t>
      </w:r>
      <w:r>
        <w:t xml:space="preserve"> </w:t>
      </w:r>
      <w:bookmarkStart w:id="39" w:name="tab:tab-cindex-comparison"/>
      <w:r>
        <w:t xml:space="preserve">[tab:tab-cindex-comparison]</w:t>
      </w:r>
      <w:bookmarkEnd w:id="39"/>
    </w:p>
    <w:tbl>
      <w:tblPr>
        <w:tblStyle w:val="Table"/>
        <w:tblW w:type="auto" w:w="0"/>
        <w:tblLook w:firstRow="1" w:lastRow="0" w:firstColumn="0" w:lastColumn="0" w:noHBand="0" w:noVBand="0" w:val="0020"/>
        <w:tblCaption w:val="External validation C-index by method and cohort. DeSurv at BO-selected rank (k = 3) is compared with standard NMF at matched rank (k = 3), elbow-selected rank (k = 5), and BO-selected rank (k = 7, \alpha = 0). Higher values indicate better discrimination. [tab:tab-cindex-comparison]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DeSurv (K=3)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NMF (K=3)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NMF (K=5, elbow)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NMF (K=7, BO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DeSurv (K=3)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NMF (K=3)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NMF (K=5, elbow)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NMF (K=7, BO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Dijk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Moffitt_GEO_array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PACA_AU_array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PACA_AU_seq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Puleo_array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p>
      <w:pPr>
        <w:pStyle w:val="BodyText"/>
      </w:pPr>
      <w:r>
        <w:t xml:space="preserve">Standard NMF at elbow-selected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BO-selected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both</w:t>
      </w:r>
      <w:r>
        <w:t xml:space="preserve"> </w:t>
      </w:r>
      <w:r>
        <w:t xml:space="preserve">substantially improve over NMF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across all cohorts (Table</w:t>
      </w:r>
      <w:r>
        <w:t xml:space="preserve"> </w:t>
      </w:r>
      <w:hyperlink w:anchor="tab:tab-cindex-comparison">
        <w:r>
          <w:rPr>
            <w:rStyle w:val="Hyperlink"/>
          </w:rPr>
          <w:t xml:space="preserve">3</w:t>
        </w:r>
      </w:hyperlink>
      <w:r>
        <w:t xml:space="preserve">), confirming that additional</w:t>
      </w:r>
      <w:r>
        <w:t xml:space="preserve"> </w:t>
      </w:r>
      <w:r>
        <w:t xml:space="preserve">unsupervised factors capture prognostically relevant variation missed at</w:t>
      </w:r>
      <w:r>
        <w:t xml:space="preserve"> </w:t>
      </w:r>
      <w:r>
        <w:t xml:space="preserve">the matched rank.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 NMF matches or exceeds DeSurv’s</w:t>
      </w:r>
      <w:r>
        <w:t xml:space="preserve"> </w:t>
      </w:r>
      <w:r>
        <w:t xml:space="preserve">per-cohort C-index in most cohorts, demonstrating that unsupervised</w:t>
      </w:r>
      <w:r>
        <w:t xml:space="preserve"> </w:t>
      </w:r>
      <w:r>
        <w:t xml:space="preserve">factorization can approach supervised concordance given enough factors.</w:t>
      </w:r>
      <w:r>
        <w:t xml:space="preserve"> </w:t>
      </w:r>
      <w:r>
        <w:t xml:space="preserve">However, this comes at the cost of a less parsimonious and less</w:t>
      </w:r>
      <w:r>
        <w:t xml:space="preserve"> </w:t>
      </w:r>
      <w:r>
        <w:t xml:space="preserve">interpretable factorization: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NMF solution shows increased</w:t>
      </w:r>
      <w:r>
        <w:t xml:space="preserve"> </w:t>
      </w:r>
      <w:r>
        <w:t xml:space="preserve">fragmentation (Fig.</w:t>
      </w:r>
      <w:r>
        <w:t xml:space="preserve"> </w:t>
      </w:r>
      <w:hyperlink w:anchor="fig:fig-nmf-k7-heatmap">
        <w:r>
          <w:rPr>
            <w:rStyle w:val="Hyperlink"/>
          </w:rPr>
          <w:t xml:space="preserve">[fig:fig-nmf-k7-heatmap]</w:t>
        </w:r>
      </w:hyperlink>
      <w:r>
        <w:t xml:space="preserve">), and the K-sensitivity</w:t>
      </w:r>
      <w:r>
        <w:t xml:space="preserve"> </w:t>
      </w:r>
      <w:r>
        <w:t xml:space="preserve">analysis (Tables S1–S3) shows that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’s prognostic signal</w:t>
      </w:r>
      <w:r>
        <w:t xml:space="preserve"> </w:t>
      </w:r>
      <w:r>
        <w:t xml:space="preserve">largely overlaps with existing molecular classifiers (PurIST, DeCAF),</w:t>
      </w:r>
      <w:r>
        <w:t xml:space="preserve"> </w:t>
      </w:r>
      <w:r>
        <w:t xml:space="preserve">whereas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DeSurv retains significance after classifier</w:t>
      </w:r>
      <w:r>
        <w:t xml:space="preserve"> </w:t>
      </w:r>
      <w:r>
        <w:t xml:space="preserve">adjustment. DeSurv’s advantage thus lies not in maximal concordance but</w:t>
      </w:r>
      <w:r>
        <w:t xml:space="preserve"> </w:t>
      </w:r>
      <w:r>
        <w:t xml:space="preserve">in recovering a compact, interpretable factorization whose prognostic</w:t>
      </w:r>
      <w:r>
        <w:t xml:space="preserve"> </w:t>
      </w:r>
      <w:r>
        <w:t xml:space="preserve">content is independent of known classifiers.</w:t>
      </w:r>
    </w:p>
    <w:p>
      <w:pPr>
        <w:pStyle w:val="BodyText"/>
      </w:pPr>
      <w:r>
        <w:t xml:space="preserve">To quantify this directly, Table</w:t>
      </w:r>
      <w:r>
        <w:t xml:space="preserve"> </w:t>
      </w:r>
      <w:hyperlink w:anchor="tab:tab-hr-adjuste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</w:t>
      </w:r>
      <w:r>
        <w:t xml:space="preserve"> </w:t>
      </w:r>
      <w:r>
        <w:t xml:space="preserve">pooled validation hazard ratios (per SD of the linear predictor) for</w:t>
      </w:r>
      <w:r>
        <w:t xml:space="preserve"> </w:t>
      </w:r>
      <w:r>
        <w:t xml:space="preserve">DeSurv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standard NMF at BO-selected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 both</w:t>
      </w:r>
      <w:r>
        <w:t xml:space="preserve"> </w:t>
      </w:r>
      <w:r>
        <w:t xml:space="preserve">unadjusted and after adjustment for PurIST and DeCAF molecular</w:t>
      </w:r>
      <w:r>
        <w:t xml:space="preserve"> </w:t>
      </w:r>
      <w:r>
        <w:t xml:space="preserve">classifiers. In the unadjusted analysis, both methods show a survival</w:t>
      </w:r>
      <w:r>
        <w:t xml:space="preserve"> </w:t>
      </w:r>
      <w:r>
        <w:t xml:space="preserve">association, though DeSurv’s effect size is substantially larger. After</w:t>
      </w:r>
      <w:r>
        <w:t xml:space="preserve"> </w:t>
      </w:r>
      <w:r>
        <w:t xml:space="preserve">adjustment, DeSurv retains a significant and clinically meaningful</w:t>
      </w:r>
      <w:r>
        <w:t xml:space="preserve"> </w:t>
      </w:r>
      <w:r>
        <w:t xml:space="preserve">hazard ratio, whereas NMF’s effect attenuates and is no longer</w:t>
      </w:r>
      <w:r>
        <w:t xml:space="preserve"> </w:t>
      </w:r>
      <w:r>
        <w:t xml:space="preserve">significant, confirming that NMF’s prognostic content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largely redundant with existing classifiers.</w:t>
      </w:r>
    </w:p>
    <w:bookmarkStart w:id="43" w:name="tab:tab-hr-adjusted"/>
    <w:p>
      <w:pPr>
        <w:pStyle w:val="TableCaption"/>
      </w:pPr>
      <w:bookmarkStart w:id="41" w:name="tab:tab-hr-adjusted"/>
      <w:r>
        <w:t xml:space="preserve">[tab:tab-hr-adjusted]</w:t>
      </w:r>
      <w:bookmarkEnd w:id="41"/>
      <w:r>
        <w:t xml:space="preserve">Pooled external validation hazard ratios (per SD of linear predictor) for DeSurv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standard NMF at BO-selected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). Adjusted models include PurIST and DeCAF molecular classifiers as covariates, with stratification by dataset.</w:t>
      </w:r>
      <w:r>
        <w:t xml:space="preserve"> </w:t>
      </w:r>
      <w:bookmarkStart w:id="42" w:name="tab:tab-hr-adjusted"/>
      <w:r>
        <w:t xml:space="preserve">[tab:tab-hr-adjusted]</w:t>
      </w:r>
      <w:bookmarkEnd w:id="42"/>
    </w:p>
    <w:tbl>
      <w:tblPr>
        <w:tblStyle w:val="Table"/>
        <w:tblW w:type="auto" w:w="0"/>
        <w:tblLook w:firstRow="1" w:lastRow="0" w:firstColumn="0" w:lastColumn="0" w:noHBand="0" w:noVBand="0" w:val="0020"/>
        <w:tblCaption w:val="[tab:tab-hr-adjusted]Pooled external validation hazard ratios (per SD of linear predictor) for DeSurv at k = 3 and standard NMF at BO-selected k = 7 (\alpha = 0). Adjusted models include PurIST and DeCAF molecular classifiers as covariates, with stratification by dataset. [tab:tab-hr-adjusted]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Unadjusted HR per SD (95% CI),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Adjusted HR per SD (95% CI),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DeSurv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 (1.29–1.63),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1.3 (1.13–1.5),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 NMF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, BO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(1.32–1.61),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1.42 (1.23–1.64),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</w:tbl>
    <w:bookmarkEnd w:id="43"/>
    <w:p>
      <w:pPr>
        <w:pStyle w:val="BodyText"/>
      </w:pPr>
      <w:r>
        <w:t xml:space="preserve">The variance–survival decomposition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(Fig.</w:t>
      </w:r>
      <w:r>
        <w:t xml:space="preserve"> </w:t>
      </w:r>
      <w:hyperlink w:anchor="fig:varsurvival-k5">
        <w:r>
          <w:rPr>
            <w:rStyle w:val="Hyperlink"/>
          </w:rPr>
          <w:t xml:space="preserve">[fig:varsurvival-k5]</w:t>
        </w:r>
      </w:hyperlink>
      <w:r>
        <w:t xml:space="preserve">) confirms that elbow selection does not recover</w:t>
      </w:r>
      <w:r>
        <w:t xml:space="preserve"> </w:t>
      </w:r>
      <w:r>
        <w:t xml:space="preserve">additional prognostic structure.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standard NMF continues to</w:t>
      </w:r>
      <w:r>
        <w:t xml:space="preserve"> </w:t>
      </w:r>
      <w:r>
        <w:t xml:space="preserve">distribute survival contribution negligibly across all factors; the two</w:t>
      </w:r>
      <w:r>
        <w:t xml:space="preserve"> </w:t>
      </w:r>
      <w:r>
        <w:t xml:space="preserve">factors new relative 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(N4 and N5) contribute minimally,</w:t>
      </w:r>
      <w:r>
        <w:t xml:space="preserve"> </w:t>
      </w:r>
      <w:r>
        <w:t xml:space="preserve">confirming that the additional rank captures background transcriptional</w:t>
      </w:r>
      <w:r>
        <w:t xml:space="preserve"> </w:t>
      </w:r>
      <w:r>
        <w:t xml:space="preserve">variance rather than independent prognostic programs.</w:t>
      </w:r>
    </w:p>
    <w:p>
      <w:pPr>
        <w:pStyle w:val="BodyText"/>
      </w:pPr>
      <w:r>
        <w:t xml:space="preserve"> 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df" /><Relationship Type="http://schemas.openxmlformats.org/officeDocument/2006/relationships/image" Id="rId22" Target="media/rId22.pdf" /><Relationship Type="http://schemas.openxmlformats.org/officeDocument/2006/relationships/image" Id="rId35" Target="media/rId35.pdf" /><Relationship Type="http://schemas.openxmlformats.org/officeDocument/2006/relationships/image" Id="rId33" Target="media/rId33.pdf" /><Relationship Type="http://schemas.openxmlformats.org/officeDocument/2006/relationships/image" Id="rId20" Target="media/rId20.pdf" /><Relationship Type="http://schemas.openxmlformats.org/officeDocument/2006/relationships/image" Id="rId37" Target="media/rId37.pdf" /><Relationship Type="http://schemas.openxmlformats.org/officeDocument/2006/relationships/image" Id="rId24" Target="media/rId24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Results</dc:title>
  <dc:creator>Amber M. Young</dc:creator>
  <cp:keywords/>
  <dcterms:created xsi:type="dcterms:W3CDTF">2026-03-11T21:18:54Z</dcterms:created>
  <dcterms:modified xsi:type="dcterms:W3CDTF">2026-03-11T21:18:54Z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