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Methods</w:t>
      </w:r>
    </w:p>
    <w:p>
      <w:pPr>
        <w:pStyle w:val="Author"/>
      </w:pPr>
      <w:r>
        <w:t xml:space="preserve">Amber</w:t>
      </w:r>
      <w:r>
        <w:t xml:space="preserve"> </w:t>
      </w:r>
      <w:r>
        <w:t xml:space="preserve">M.</w:t>
      </w:r>
      <w:r>
        <w:t xml:space="preserve"> </w:t>
      </w:r>
      <w:r>
        <w:t xml:space="preserve">Young</w:t>
      </w:r>
    </w:p>
    <w:p>
      <w:pPr>
        <w:pStyle w:val="FirstParagraph"/>
      </w:pPr>
      <w:r>
        <w:t xml:space="preserve"> </w:t>
      </w:r>
    </w:p>
    <w:bookmarkStart w:id="20" w:name="model-details"/>
    <w:p>
      <w:pPr>
        <w:pStyle w:val="Heading1"/>
      </w:pPr>
      <w:r>
        <w:t xml:space="preserve">Model details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p>
        </m:sSubSup>
      </m:oMath>
      <w:r>
        <w:t xml:space="preserve"> </w:t>
      </w:r>
      <w:r>
        <w:t xml:space="preserve">denote the nonnegative</w:t>
      </w:r>
      <w:r>
        <w:t xml:space="preserve"> </w:t>
      </w:r>
      <w:r>
        <w:t xml:space="preserve">gene expression 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genes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subjects. DeSurv</w:t>
      </w:r>
      <w:r>
        <w:t xml:space="preserve"> </w:t>
      </w:r>
      <w:r>
        <w:t xml:space="preserve">approximates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W</m:t>
        </m:r>
        <m:r>
          <m:t>H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×</m:t>
            </m:r>
            <m:r>
              <m:t>n</m:t>
            </m:r>
          </m:sup>
        </m:sSubSup>
      </m:oMath>
      <w:r>
        <w:t xml:space="preserve">, and links the shared program</w:t>
      </w:r>
      <w:r>
        <w:t xml:space="preserve"> </w:t>
      </w:r>
      <w:r>
        <w:t xml:space="preserve">matrix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survival via an elastic-net–penalized Cox model.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be the observed survival times,</w:t>
      </w:r>
      <w: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event indicators,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the sample-wise factor</w:t>
      </w:r>
      <w:r>
        <w:t xml:space="preserve"> </w:t>
      </w:r>
      <w:r>
        <w:t xml:space="preserve">scores. We write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m:oMath>
        <m:r>
          <m:t>i</m:t>
        </m:r>
      </m:oMath>
      <w:r>
        <w:t xml:space="preserve">th column of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event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0"/>
            <m:supHide m:val="0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 For convenience we recall</w:t>
      </w:r>
      <w:r>
        <w:t xml:space="preserve"> </w:t>
      </w:r>
      <w:r>
        <w:t xml:space="preserve">the DeSurv loss from Equation 1 in the main text and rewrite it as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  <m:scr m:val="script"/>
                  </m:rPr>
                  <m:t>L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W</m:t>
                    </m:r>
                    <m:r>
                      <m:rPr>
                        <m:sty m:val="p"/>
                      </m:rPr>
                      <m:t>,</m:t>
                    </m:r>
                    <m:r>
                      <m:t>H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</m:mr>
            <m:mr>
              <m:e/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t>n</m:t>
                        </m:r>
                        <m:r>
                          <m:t>p</m:t>
                        </m:r>
                      </m:den>
                    </m:f>
                    <m:r>
                      <m:rPr>
                        <m:sty m:val="p"/>
                      </m:rPr>
                      <m:t>∥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W</m:t>
                    </m:r>
                    <m:r>
                      <m:t>H</m:t>
                    </m:r>
                    <m:sSubSup>
                      <m:e>
                        <m:r>
                          <m:rPr>
                            <m:sty m:val="p"/>
                          </m:rPr>
                          <m:t>∥</m:t>
                        </m:r>
                      </m:e>
                      <m:sub>
                        <m:r>
                          <m:t>F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H</m:t>
                            </m:r>
                          </m:sub>
                        </m:sSub>
                      </m:num>
                      <m:den>
                        <m:r>
                          <m:t>2</m:t>
                        </m:r>
                        <m:r>
                          <m:t>n</m:t>
                        </m:r>
                        <m:r>
                          <m:t>k</m:t>
                        </m:r>
                      </m:den>
                    </m:f>
                    <m:r>
                      <m:rPr>
                        <m:sty m:val="p"/>
                      </m:rPr>
                      <m:t>∥</m:t>
                    </m:r>
                    <m:r>
                      <m:t>H</m:t>
                    </m:r>
                    <m:sSubSup>
                      <m:e>
                        <m:r>
                          <m:rPr>
                            <m:sty m:val="p"/>
                          </m:rPr>
                          <m:t>∥</m:t>
                        </m:r>
                      </m:e>
                      <m:sub>
                        <m:r>
                          <m:t>F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>
                <m:r>
                  <m:rPr>
                    <m:sty m:val="p"/>
                  </m:rPr>
                  <m:t>−</m:t>
                </m:r>
              </m:e>
              <m:e>
                <m:r>
                  <m:t>α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e</m:t>
                            </m:r>
                            <m:r>
                              <m:t>v</m:t>
                            </m:r>
                            <m:r>
                              <m:t>e</m:t>
                            </m:r>
                            <m:r>
                              <m:t>n</m:t>
                            </m:r>
                            <m:r>
                              <m:t>t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ℓ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W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β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{</m:t>
                    </m:r>
                    <m:r>
                      <m:t>ξ</m:t>
                    </m:r>
                    <m:r>
                      <m:rPr>
                        <m:sty m:val="p"/>
                      </m:rPr>
                      <m:t>∥</m:t>
                    </m:r>
                    <m:r>
                      <m:t>β</m:t>
                    </m:r>
                    <m:sSub>
                      <m:e>
                        <m:r>
                          <m:rPr>
                            <m:sty m:val="p"/>
                          </m:rPr>
                          <m:t>∥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ξ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∥</m:t>
                    </m:r>
                    <m:r>
                      <m:t>β</m:t>
                    </m:r>
                    <m:sSubSup>
                      <m:e>
                        <m:r>
                          <m:rPr>
                            <m:sty m:val="p"/>
                          </m:rPr>
                          <m:t>∥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}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Frobenius norm and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are the Cox coefficients. The Cox log-partial</w:t>
      </w:r>
      <w:r>
        <w:t xml:space="preserve"> </w:t>
      </w:r>
      <w:r>
        <w:t xml:space="preserve">likelihood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["/>
              <m:endChr m:val="]"/>
              <m:sepChr m:val=""/>
              <m:grow/>
            </m:dPr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r>
                <m:t>β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: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bSup>
                      <m:r>
                        <m:t>β</m:t>
                      </m:r>
                    </m:e>
                  </m:d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Hyperparameters satisfy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H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ξ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The</w:t>
      </w:r>
      <w:r>
        <w:t xml:space="preserve"> </w:t>
      </w:r>
      <w:r>
        <w:t xml:space="preserve">constants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  <m:r>
              <m:t>p</m:t>
            </m:r>
          </m:e>
        </m:d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event</m:t>
            </m:r>
          </m:sub>
        </m:sSub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  <m:r>
              <m:t>k</m:t>
            </m:r>
          </m:e>
        </m:d>
      </m:oMath>
      <w:r>
        <w:t xml:space="preserve"> </w:t>
      </w:r>
      <w:r>
        <w:t xml:space="preserve">are</w:t>
      </w:r>
      <w:r>
        <w:t xml:space="preserve"> </w:t>
      </w:r>
      <w:r>
        <w:t xml:space="preserve">chosen for numerical convenience and do not affect the minimizer.</w:t>
      </w:r>
    </w:p>
    <w:bookmarkEnd w:id="20"/>
    <w:bookmarkStart w:id="27" w:name="optimization-algorithm"/>
    <w:p>
      <w:pPr>
        <w:pStyle w:val="Heading1"/>
      </w:pPr>
      <w:r>
        <w:t xml:space="preserve">Optimization Algorithm</w:t>
      </w:r>
    </w:p>
    <w:bookmarkStart w:id="21" w:name="block-coordinate-descent-scheme"/>
    <w:p>
      <w:pPr>
        <w:pStyle w:val="Heading2"/>
      </w:pPr>
      <w:r>
        <w:t xml:space="preserve">Block coordinate descent scheme</w:t>
      </w:r>
    </w:p>
    <w:p>
      <w:pPr>
        <w:pStyle w:val="FirstParagraph"/>
      </w:pPr>
      <w:r>
        <w:t xml:space="preserve">Algorithm</w:t>
      </w:r>
      <w:r>
        <w:t xml:space="preserve"> </w:t>
      </w:r>
      <w:hyperlink w:anchor="alg:desurv">
        <w:r>
          <w:rPr>
            <w:rStyle w:val="Hyperlink"/>
          </w:rPr>
          <w:t xml:space="preserve">[alg:desurv]</w:t>
        </w:r>
      </w:hyperlink>
      <w:r>
        <w:t xml:space="preserve"> </w:t>
      </w:r>
      <w:r>
        <w:t xml:space="preserve">summarizes the block coordinate descent (BCD)</w:t>
      </w:r>
      <w:r>
        <w:t xml:space="preserve"> </w:t>
      </w:r>
      <w:r>
        <w:t xml:space="preserve">scheme used to minimize</w:t>
      </w:r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. At each outer</w:t>
      </w:r>
      <w:r>
        <w:t xml:space="preserve"> </w:t>
      </w:r>
      <w:r>
        <w:t xml:space="preserve">iteration, we update</w:t>
      </w:r>
      <w:r>
        <w:t xml:space="preserve"> </w:t>
      </w:r>
      <m:oMath>
        <m:r>
          <m:t>H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, then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while holding the</w:t>
      </w:r>
      <w:r>
        <w:t xml:space="preserve"> </w:t>
      </w:r>
      <w:r>
        <w:t xml:space="preserve">other blocks fixed.</w:t>
      </w:r>
    </w:p>
    <w:p>
      <w:pPr>
        <w:pStyle w:val="BodyText"/>
      </w:pP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p>
        </m:sSubSup>
      </m:oMath>
      <w:r>
        <w:t xml:space="preserve">, survival times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  <m:sup>
            <m:r>
              <m:t>n</m:t>
            </m:r>
          </m:sup>
        </m:sSubSup>
      </m:oMath>
      <w:r>
        <w:t xml:space="preserve">, event indicators</w:t>
      </w:r>
      <w: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t xml:space="preserve">, tolerance</w:t>
      </w:r>
      <w:r>
        <w:t xml:space="preserve"> </w:t>
      </w:r>
      <m:oMath>
        <m:r>
          <m:t>t</m:t>
        </m:r>
        <m:r>
          <m:t>o</m:t>
        </m:r>
        <m:r>
          <m:t>l</m:t>
        </m:r>
      </m:oMath>
      <w:r>
        <w:t xml:space="preserve">, maximum iterations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t>i</m:t>
        </m:r>
        <m:r>
          <m:t>t</m:t>
        </m:r>
      </m:oMath>
      <w:r>
        <w:t xml:space="preserve">, supervision parameter</w:t>
      </w:r>
      <w:r>
        <w:t xml:space="preserve"> </w:t>
      </w:r>
      <m:oMath>
        <m:r>
          <m:t>α</m:t>
        </m:r>
      </m:oMath>
      <w:r>
        <w:t xml:space="preserve">, rank</w:t>
      </w:r>
      <w:r>
        <w:t xml:space="preserve"> </w:t>
      </w:r>
      <m:oMath>
        <m:r>
          <m:t>k</m:t>
        </m:r>
      </m:oMath>
      <w:r>
        <w:t xml:space="preserve">, penalties</w:t>
      </w:r>
      <w:r>
        <w:t xml:space="preserve"> </w:t>
      </w:r>
      <m:oMath>
        <m:sSub>
          <m:e>
            <m:r>
              <m:t>λ</m:t>
            </m:r>
          </m:e>
          <m:sub>
            <m:r>
              <m:t>H</m:t>
            </m:r>
          </m:sub>
        </m:sSub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Fitted DeSurv parameters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</w:p>
    <w:p>
      <w:pPr>
        <w:pStyle w:val="BodyText"/>
      </w:pPr>
      <w:r>
        <w:t xml:space="preserve">Initialize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H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</m:oMath>
      <w:r>
        <w:t xml:space="preserve"> </w:t>
      </w:r>
      <w:r>
        <w:t xml:space="preserve">with positive entries (e.g.,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H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  <m:r>
              <m:t>X</m:t>
            </m:r>
          </m:e>
        </m:d>
      </m:oMath>
      <w:r>
        <w:t xml:space="preserve">)</w:t>
      </w:r>
      <w:r>
        <w:t xml:space="preserve"> </w:t>
      </w:r>
      <w:r>
        <w:t xml:space="preserve">Initialize</w:t>
      </w:r>
      <w:r>
        <w:t xml:space="preserve"> </w:t>
      </w:r>
      <m:oMath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t xml:space="preserve">)</w:t>
      </w:r>
      <w:r>
        <w:t xml:space="preserve"> </w:t>
      </w:r>
      <m:oMath>
        <m:r>
          <m:t>l</m:t>
        </m:r>
        <m:r>
          <m:t>o</m:t>
        </m:r>
        <m:r>
          <m:t>s</m:t>
        </m:r>
        <m:r>
          <m:t>s</m:t>
        </m:r>
        <m:r>
          <m:rPr>
            <m:sty m:val="p"/>
          </m:rPr>
          <m:t>=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H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p>
          </m:e>
        </m:d>
      </m:oMath>
      <w:r>
        <w:t xml:space="preserve"> </w:t>
      </w:r>
      <m:oMath>
        <m:r>
          <m:t>e</m:t>
        </m:r>
        <m:r>
          <m:t>p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bCs/>
          <w:b/>
        </w:rPr>
        <w:t xml:space="preserve">(H-update)</w:t>
      </w:r>
      <w:r>
        <w:t xml:space="preserve"> </w:t>
      </w:r>
      <w:r>
        <w:t xml:space="preserve">Update</w:t>
      </w:r>
      <w:r>
        <w:t xml:space="preserve"> </w:t>
      </w:r>
      <m:oMath>
        <m:sSup>
          <m:e>
            <m:r>
              <m:t>H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H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 </w:t>
      </w:r>
      <w:r>
        <w:t xml:space="preserve">using the multiplicative rule in Eq.</w:t>
      </w:r>
      <w:r>
        <w:t xml:space="preserve"> </w:t>
      </w:r>
      <w:hyperlink w:anchor="eqn:Hupdate">
        <w:r>
          <w:rPr>
            <w:rStyle w:val="Hyperlink"/>
          </w:rPr>
          <w:t xml:space="preserve">[eqn:Hupdate]</w:t>
        </w:r>
      </w:hyperlink>
      <w:r>
        <w:t xml:space="preserve">,</w:t>
      </w:r>
      <w:r>
        <w:t xml:space="preserve"> </w:t>
      </w:r>
      <w:r>
        <w:t xml:space="preserve">holding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 </w:t>
      </w:r>
      <w:r>
        <w:t xml:space="preserve">fixed.</w:t>
      </w:r>
      <w:r>
        <w:t xml:space="preserve"> </w:t>
      </w:r>
      <w:r>
        <w:rPr>
          <w:bCs/>
          <w:b/>
        </w:rPr>
        <w:t xml:space="preserve">(W-update)</w:t>
      </w:r>
      <w:r>
        <w:t xml:space="preserve"> </w:t>
      </w:r>
      <w:r>
        <w:t xml:space="preserve">Update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 </w:t>
      </w:r>
      <w:r>
        <w:t xml:space="preserve">using the hybrid multiplicative rule in Eq.</w:t>
      </w:r>
      <w:r>
        <w:t xml:space="preserve"> </w:t>
      </w:r>
      <w:hyperlink w:anchor="eqn:W_update">
        <w:r>
          <w:rPr>
            <w:rStyle w:val="Hyperlink"/>
          </w:rPr>
          <w:t xml:space="preserve">[eqn:W_update]</w:t>
        </w:r>
      </w:hyperlink>
      <w:r>
        <w:t xml:space="preserve">,</w:t>
      </w:r>
      <w:r>
        <w:t xml:space="preserve"> </w:t>
      </w:r>
      <w:r>
        <w:t xml:space="preserve">holding</w:t>
      </w:r>
      <w:r>
        <w:t xml:space="preserve"> </w:t>
      </w:r>
      <m:oMath>
        <m:sSup>
          <m:e>
            <m:r>
              <m:t>H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 </w:t>
      </w:r>
      <w:r>
        <w:t xml:space="preserve">fixed, and perform backtracking to ensure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does not increase.</w:t>
      </w:r>
      <w:r>
        <w:t xml:space="preserve"> </w:t>
      </w:r>
      <w:r>
        <w:rPr>
          <w:bCs/>
          <w:b/>
        </w:rPr>
        <w:t xml:space="preserve">(</w:t>
      </w:r>
      <m:oMath>
        <m:r>
          <m:t>β</m:t>
        </m:r>
      </m:oMath>
      <w:r>
        <w:rPr>
          <w:bCs/>
          <w:b/>
        </w:rPr>
        <w:t xml:space="preserve">-update)</w:t>
      </w:r>
      <w:r>
        <w:t xml:space="preserve"> </w:t>
      </w:r>
      <w:r>
        <w:t xml:space="preserve">Update</w:t>
      </w:r>
      <w:r>
        <w:t xml:space="preserve"> </w:t>
      </w:r>
      <m:oMath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 </w:t>
      </w:r>
      <w:r>
        <w:t xml:space="preserve">using a Newton-like step for the Cox loss</w:t>
      </w:r>
      <w:r>
        <w:t xml:space="preserve"> </w:t>
      </w:r>
      <w:r>
        <w:t xml:space="preserve">(Eq.</w:t>
      </w:r>
      <w:r>
        <w:t xml:space="preserve"> </w:t>
      </w:r>
      <w:hyperlink w:anchor="eqn:beta_update">
        <w:r>
          <w:rPr>
            <w:rStyle w:val="Hyperlink"/>
          </w:rPr>
          <w:t xml:space="preserve">[eqn:beta_update]</w:t>
        </w:r>
      </w:hyperlink>
      <w:r>
        <w:t xml:space="preserve">), holding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H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fixed.</w:t>
      </w:r>
      <w:r>
        <w:t xml:space="preserve"> </w:t>
      </w:r>
      <m:oMath>
        <m:r>
          <m:t>l</m:t>
        </m:r>
        <m:r>
          <m:t>o</m:t>
        </m:r>
        <m:r>
          <m:t>s</m:t>
        </m:r>
        <m:r>
          <m:t>s</m:t>
        </m:r>
        <m:r>
          <m:t>N</m:t>
        </m:r>
        <m:r>
          <m:t>e</m:t>
        </m:r>
        <m:r>
          <m:t>w</m:t>
        </m:r>
        <m:r>
          <m:rPr>
            <m:sty m:val="p"/>
          </m:rPr>
          <m:t>=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H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sup>
            </m:sSup>
          </m:e>
        </m:d>
      </m:oMath>
      <w:r>
        <w:t xml:space="preserve"> </w:t>
      </w:r>
      <m:oMath>
        <m:r>
          <m:t>e</m:t>
        </m:r>
        <m:r>
          <m:t>p</m:t>
        </m:r>
        <m:r>
          <m:t>s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l</m:t>
            </m:r>
            <m:r>
              <m:t>o</m:t>
            </m:r>
            <m:r>
              <m:t>s</m:t>
            </m:r>
            <m:r>
              <m:t>s</m:t>
            </m:r>
            <m:r>
              <m:t>N</m:t>
            </m:r>
            <m:r>
              <m:t>e</m:t>
            </m:r>
            <m:r>
              <m:t>w</m:t>
            </m:r>
            <m:r>
              <m:rPr>
                <m:sty m:val="p"/>
              </m:rPr>
              <m:t>−</m:t>
            </m:r>
            <m:r>
              <m:t>l</m:t>
            </m:r>
            <m:r>
              <m:t>o</m:t>
            </m:r>
            <m:r>
              <m:t>s</m:t>
            </m:r>
            <m:r>
              <m:t>s</m:t>
            </m:r>
          </m:e>
        </m:d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l</m:t>
            </m:r>
            <m:r>
              <m:t>o</m:t>
            </m:r>
            <m:r>
              <m:t>s</m:t>
            </m:r>
            <m:r>
              <m:t>s</m:t>
            </m:r>
          </m:e>
        </m:d>
      </m:oMath>
      <w:r>
        <w:t xml:space="preserve"> </w:t>
      </w:r>
      <m:oMath>
        <m:r>
          <m:t>l</m:t>
        </m:r>
        <m:r>
          <m:t>o</m:t>
        </m:r>
        <m:r>
          <m:t>s</m:t>
        </m:r>
        <m:r>
          <m:t>s</m:t>
        </m:r>
        <m:r>
          <m:rPr>
            <m:sty m:val="p"/>
          </m:rPr>
          <m:t>=</m:t>
        </m:r>
        <m:r>
          <m:t>l</m:t>
        </m:r>
        <m:r>
          <m:t>o</m:t>
        </m:r>
        <m:r>
          <m:t>s</m:t>
        </m:r>
        <m:r>
          <m:t>s</m:t>
        </m:r>
        <m:r>
          <m:t>N</m:t>
        </m:r>
        <m:r>
          <m:t>e</m:t>
        </m:r>
        <m:r>
          <m:t>w</m:t>
        </m:r>
      </m:oMath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,</m:t>
        </m:r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t>H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,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</w:p>
    <w:bookmarkEnd w:id="21"/>
    <w:bookmarkStart w:id="22" w:name="update-for-h"/>
    <w:p>
      <w:pPr>
        <w:pStyle w:val="Heading2"/>
      </w:pPr>
      <w:r>
        <w:t xml:space="preserve">Update for</w:t>
      </w:r>
      <w:r>
        <w:t xml:space="preserve"> </w:t>
      </w:r>
      <m:oMath>
        <m:r>
          <m:t>H</m:t>
        </m:r>
      </m:oMath>
    </w:p>
    <w:p>
      <w:pPr>
        <w:pStyle w:val="FirstParagraph"/>
      </w:pPr>
      <w:r>
        <w:t xml:space="preserve">Conditional on</w:t>
      </w:r>
      <w:r>
        <w:t xml:space="preserve"> </w:t>
      </w:r>
      <m:oMath>
        <m:r>
          <m:t>W</m:t>
        </m:r>
      </m:oMath>
      <w:r>
        <w:t xml:space="preserve">, the loss</w:t>
      </w:r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 </w:t>
      </w:r>
      <w:r>
        <w:t xml:space="preserve">reduces to a</w:t>
      </w:r>
      <w:r>
        <w:t xml:space="preserve"> </w:t>
      </w:r>
      <w:r>
        <w:t xml:space="preserve">strictly convex quadratic function of</w:t>
      </w:r>
      <w:r>
        <w:t xml:space="preserve"> </w:t>
      </w:r>
      <m:oMath>
        <m:r>
          <m:t>H</m:t>
        </m:r>
      </m:oMath>
      <w:r>
        <w:t xml:space="preserve">. We adopt the standard NMF</w:t>
      </w:r>
      <w:r>
        <w:t xml:space="preserve"> </w:t>
      </w:r>
      <w:r>
        <w:t xml:space="preserve">multiplicative update with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←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r>
                <m:rPr>
                  <m:sty m:val="p"/>
                </m:rPr>
                <m:t>⊙</m:t>
              </m:r>
              <m:f>
                <m:fPr>
                  <m:type m:val="bar"/>
                </m:fPr>
                <m:num>
                  <m:sSup>
                    <m:e>
                      <m: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X</m:t>
                  </m:r>
                </m:num>
                <m:den>
                  <m:sSup>
                    <m:e>
                      <m: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W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ε</m:t>
                  </m:r>
                </m:e>
                <m:sub>
                  <m:r>
                    <m:t>H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denotes elementwise multiplication, all</w:t>
      </w:r>
      <w:r>
        <w:t xml:space="preserve"> </w:t>
      </w:r>
      <w:r>
        <w:t xml:space="preserve">divisions are elementwise, and</w:t>
      </w:r>
      <w:r>
        <w:t xml:space="preserve"> </w:t>
      </w:r>
      <m:oMath>
        <m:sSub>
          <m:e>
            <m:r>
              <m:t>ε</m:t>
            </m:r>
          </m:e>
          <m:sub>
            <m:r>
              <m:t>H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 small floor to</w:t>
      </w:r>
      <w:r>
        <w:t xml:space="preserve"> </w:t>
      </w:r>
      <w:r>
        <w:t xml:space="preserve">prevent entries from becoming exactly zero. This update is equivalent to</w:t>
      </w:r>
      <w:r>
        <w:t xml:space="preserve"> </w:t>
      </w:r>
      <w:r>
        <w:t xml:space="preserve">a majorization–minimization step and guarantees a nonincreasing</w:t>
      </w:r>
      <w:r>
        <w:t xml:space="preserve"> </w:t>
      </w:r>
      <w:r>
        <w:t xml:space="preserve">reconstruction term conditional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(Lee and Seung 2001;</w:t>
      </w:r>
      <w:r>
        <w:t xml:space="preserve"> </w:t>
      </w:r>
      <w:r>
        <w:t xml:space="preserve">Pascual-Montano et al. 2006). The</w:t>
      </w:r>
      <w:r>
        <w:t xml:space="preserve"> </w:t>
      </w:r>
      <m:oMath>
        <m:sSub>
          <m:e>
            <m:r>
              <m:t>ε</m:t>
            </m:r>
          </m:e>
          <m:sub>
            <m:r>
              <m:t>H</m:t>
            </m:r>
          </m:sub>
        </m:sSub>
      </m:oMath>
      <w:r>
        <w:t xml:space="preserve">-floor ensures that</w:t>
      </w:r>
      <w:r>
        <w:t xml:space="preserve"> </w:t>
      </w:r>
      <w:r>
        <w:t xml:space="preserve">iterates remain in the interior of the nonnegative orthant, which</w:t>
      </w:r>
      <w:r>
        <w:t xml:space="preserve"> </w:t>
      </w:r>
      <w:r>
        <w:t xml:space="preserve">simplifies the convergence analysis.</w:t>
      </w:r>
    </w:p>
    <w:bookmarkEnd w:id="22"/>
    <w:bookmarkStart w:id="23" w:name="update-for-w"/>
    <w:p>
      <w:pPr>
        <w:pStyle w:val="Heading2"/>
      </w:pPr>
      <w:r>
        <w:t xml:space="preserve">Update for</w:t>
      </w:r>
      <w:r>
        <w:t xml:space="preserve"> </w:t>
      </w:r>
      <m:oMath>
        <m:r>
          <m:t>W</m:t>
        </m:r>
      </m:oMath>
    </w:p>
    <w:p>
      <w:pPr>
        <w:pStyle w:val="FirstParagraph"/>
      </w:pPr>
      <w:r>
        <w:t xml:space="preserve">For</w:t>
      </w:r>
      <w:r>
        <w:t xml:space="preserve"> </w:t>
      </w:r>
      <m:oMath>
        <m:r>
          <m:t>W</m:t>
        </m:r>
      </m:oMath>
      <w:r>
        <w:t xml:space="preserve">, we construct a hybrid multiplicative update that balances the</w:t>
      </w:r>
      <w:r>
        <w:t xml:space="preserve"> </w:t>
      </w:r>
      <w:r>
        <w:t xml:space="preserve">contributions of the NMF and Cox gradients.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t>p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sSup>
            <m:e>
              <m:r>
                <m:t>H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e</m:t>
                  </m:r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den>
          </m:f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 </w:t>
      </w:r>
      <w:r>
        <w:t xml:space="preserve">denotes the Cox gradient with</w:t>
      </w:r>
      <w:r>
        <w:t xml:space="preserve"> </w:t>
      </w:r>
      <w:r>
        <w:t xml:space="preserve">respect to</w:t>
      </w:r>
      <w:r>
        <w:t xml:space="preserve"> </w:t>
      </w:r>
      <m:oMath>
        <m:r>
          <m:t>W</m:t>
        </m:r>
      </m:oMath>
      <w:r>
        <w:t xml:space="preserve">. A closed-form expression for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rPr>
            <m:sty m:val="p"/>
          </m:rPr>
          <m:t>ℓ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: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bSup>
                      <m:r>
                        <m:t>W</m:t>
                      </m:r>
                      <m:r>
                        <m:t>β</m:t>
                      </m:r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: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bSup>
                      <m:r>
                        <m:t>W</m:t>
                      </m:r>
                      <m:r>
                        <m:t>β</m:t>
                      </m:r>
                    </m:e>
                  </m:d>
                </m:den>
              </m:f>
            </m:e>
          </m:d>
          <m:sSup>
            <m:e>
              <m:r>
                <m:t>β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denotes the</w:t>
      </w:r>
      <w:r>
        <w:t xml:space="preserve"> </w:t>
      </w:r>
      <m:oMath>
        <m:r>
          <m:t>i</m:t>
        </m:r>
      </m:oMath>
      <w:r>
        <w:t xml:space="preserve">th column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We define the gradient-balancing factor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ζ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e>
                      </m:d>
                      <m:sSub>
                        <m:e>
                          <m:r>
                            <m:rPr>
                              <m:sty m:val="p"/>
                            </m:rPr>
                            <m:t>∇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F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W</m:t>
                              </m:r>
                            </m:e>
                            <m:sup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t</m:t>
                                  </m:r>
                                </m:e>
                              </m:d>
                            </m:sup>
                          </m:sSup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r>
                        <m:t>α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∇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L</m:t>
                          </m:r>
                        </m:e>
                        <m:sub>
                          <m:r>
                            <m:t>C</m:t>
                          </m:r>
                          <m:r>
                            <m:t>o</m:t>
                          </m:r>
                          <m:r>
                            <m:t>x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W</m:t>
                              </m:r>
                            </m:e>
                            <m:sup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t</m:t>
                                  </m:r>
                                </m:e>
                              </m:d>
                            </m:sup>
                          </m:sSup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β</m:t>
                              </m:r>
                            </m:e>
                            <m:sup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t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clip</w:t>
      </w:r>
      <w:r>
        <w:t xml:space="preserve"> </w:t>
      </w:r>
      <m:oMath>
        <m:sSup>
          <m:e>
            <m:r>
              <m:t>ζ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 </w:t>
      </w:r>
      <w:r>
        <w:t xml:space="preserve">to avoid extreme values:</w:t>
      </w:r>
      <w:r>
        <w:t xml:space="preserve"> </w:t>
      </w:r>
      <m:oMath>
        <m:sSup>
          <m:e>
            <m:r>
              <m:t>ζ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←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b>
              <m:e>
                <m:r>
                  <m:t>ζ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ζ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 all experiments.</w:t>
      </w:r>
    </w:p>
    <w:p>
      <w:pPr>
        <w:pStyle w:val="BodyText"/>
      </w:pPr>
      <w:r>
        <w:t xml:space="preserve">The multiplicative factor for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num>
                <m:den>
                  <m:r>
                    <m:t>n</m:t>
                  </m:r>
                  <m:r>
                    <m:t>p</m:t>
                  </m:r>
                </m:den>
              </m:f>
              <m:r>
                <m:t>X</m:t>
              </m:r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α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v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</m:den>
              </m:f>
              <m:r>
                <m:t> </m:t>
              </m:r>
              <m:sSup>
                <m:e>
                  <m:r>
                    <m:t>ζ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r>
                <m:t> 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ℓ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W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β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sup>
                  </m:sSup>
                </m:e>
              </m:d>
            </m:num>
            <m:den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num>
                <m:den>
                  <m:r>
                    <m:t>n</m:t>
                  </m:r>
                  <m:r>
                    <m:t>p</m:t>
                  </m:r>
                </m:den>
              </m:f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proposed update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r>
                <m:rPr>
                  <m:sty m:val="p"/>
                </m:rPr>
                <m:t>⊙</m:t>
              </m:r>
              <m:sSup>
                <m:e>
                  <m:r>
                    <m:t>R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t>ε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a small floor</w:t>
      </w:r>
      <w:r>
        <w:t xml:space="preserve"> </w:t>
      </w:r>
      <m:oMath>
        <m:sSub>
          <m:e>
            <m:r>
              <m:t>ε</m:t>
            </m:r>
          </m:e>
          <m:sub>
            <m:r>
              <m:t>W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When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, this reduces to the standard multiplicative update for NMF</w:t>
      </w:r>
      <w:r>
        <w:t xml:space="preserve"> </w:t>
      </w:r>
      <w:r>
        <w:t xml:space="preserve">(Lee and Seung 2001);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, the Cox gradient perturbs the</w:t>
      </w:r>
      <w:r>
        <w:t xml:space="preserve"> </w:t>
      </w:r>
      <w:r>
        <w:t xml:space="preserve">update in a direction that decreases the supervised loss.</w:t>
      </w:r>
    </w:p>
    <w:p>
      <w:pPr>
        <w:pStyle w:val="BodyText"/>
      </w:pPr>
      <w:r>
        <w:t xml:space="preserve">Because the combined multiplicative step does not, by itself, guarantee</w:t>
      </w:r>
      <w:r>
        <w:t xml:space="preserve"> </w:t>
      </w:r>
      <w:r>
        <w:t xml:space="preserve">a nonincrease in the full loss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, we embed it in a</w:t>
      </w:r>
      <w:r>
        <w:t xml:space="preserve"> </w:t>
      </w:r>
      <w:r>
        <w:t xml:space="preserve">backtracking line search.</w:t>
      </w:r>
    </w:p>
    <w:p>
      <w:pPr>
        <w:pStyle w:val="BodyText"/>
      </w:pPr>
      <w:r>
        <w:t xml:space="preserve">Value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the previous iteration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, the multiplicative update term at the current iteration</w:t>
      </w:r>
      <w:r>
        <w:t xml:space="preserve"> </w:t>
      </w:r>
      <m:oMath>
        <m:sSup>
          <m:e>
            <m:r>
              <m:t>R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, the max number of backtracking updates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rPr>
            <m:sty m:val="p"/>
          </m:rPr>
          <m:t>_</m:t>
        </m:r>
        <m:r>
          <m:t>b</m:t>
        </m:r>
        <m:r>
          <m:t>t</m:t>
        </m:r>
      </m:oMath>
      <w:r>
        <w:t xml:space="preserve">, the backtracking parameter</w:t>
      </w:r>
      <w:r>
        <w:t xml:space="preserve"> </w:t>
      </w:r>
      <m:oMath>
        <m:r>
          <m:t>ρ</m:t>
        </m:r>
        <m:r>
          <m:rPr>
            <m:sty m:val="p"/>
          </m:rPr>
          <m:t>⊂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 = 1</w:t>
      </w:r>
      <w:r>
        <w:t xml:space="preserve"> </w:t>
      </w:r>
      <m:oMath>
        <m:r>
          <m:t>f</m:t>
        </m:r>
        <m:r>
          <m:t>l</m:t>
        </m:r>
        <m:r>
          <m:t>a</m:t>
        </m:r>
        <m:r>
          <m:t>g</m:t>
        </m:r>
        <m:r>
          <m:rPr>
            <m:sty m:val="p"/>
          </m:rPr>
          <m:t>_</m:t>
        </m:r>
        <m:r>
          <m:t>a</m:t>
        </m:r>
        <m:r>
          <m:t>c</m:t>
        </m:r>
        <m:r>
          <m:t>c</m:t>
        </m:r>
        <m:r>
          <m:t>e</m:t>
        </m:r>
        <m:r>
          <m:t>p</m:t>
        </m:r>
        <m:r>
          <m:t>t</m:t>
        </m:r>
        <m:r>
          <m:rPr>
            <m:sty m:val="p"/>
          </m:rPr>
          <m:t>=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 </w:t>
      </w:r>
      <m:oMath>
        <m:sSubSup>
          <m:e>
            <m:r>
              <m:t>W</m:t>
            </m:r>
          </m:e>
          <m:sub>
            <m:r>
              <m:t>c</m:t>
            </m:r>
            <m:r>
              <m:t>a</m:t>
            </m:r>
            <m:r>
              <m:t>n</m:t>
            </m:r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  <m:r>
          <m:rPr>
            <m:sty m:val="p"/>
          </m:rPr>
          <m:t>=</m:t>
        </m:r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⊙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t>θ</m:t>
            </m:r>
            <m:sSup>
              <m:e>
                <m:r>
                  <m:t>R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sup>
            </m:sSup>
          </m:e>
        </m:d>
      </m:oMath>
      <w:r>
        <w:t xml:space="preserve"> </w:t>
      </w:r>
      <w:r>
        <w:rPr>
          <w:bCs/>
          <w:b/>
        </w:rPr>
        <w:t xml:space="preserve">(Column normalization)</w:t>
      </w:r>
      <w:r>
        <w:t xml:space="preserve"> </w:t>
      </w:r>
      <w:r>
        <w:t xml:space="preserve">Compute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t>​</m:t>
        </m:r>
        <m:r>
          <m:rPr>
            <m:sty m:val="p"/>
          </m:rPr>
          <m:t>(</m:t>
        </m:r>
        <m:r>
          <m:rPr>
            <m:sty m:val="p"/>
          </m:rPr>
          <m:t>∥</m:t>
        </m:r>
        <m:sSubSup>
          <m:e>
            <m:r>
              <m:t>W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c</m:t>
            </m:r>
            <m:r>
              <m:t>a</m:t>
            </m:r>
            <m:r>
              <m:t>n</m:t>
            </m:r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∥</m:t>
        </m:r>
        <m:sSubSup>
          <m:e>
            <m:r>
              <m:t>W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e>
            </m:d>
            <m:r>
              <m:t>c</m:t>
            </m:r>
            <m:r>
              <m:t>a</m:t>
            </m:r>
            <m:r>
              <m:t>n</m:t>
            </m:r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Sup>
          <m:e>
            <m:r>
              <m:t>W</m:t>
            </m:r>
          </m:e>
          <m:sub>
            <m:r>
              <m:t>c</m:t>
            </m:r>
            <m:r>
              <m:t>a</m:t>
            </m:r>
            <m:r>
              <m:t>n</m:t>
            </m:r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  <m:r>
          <m:rPr>
            <m:sty m:val="p"/>
          </m:rPr>
          <m:t>←</m:t>
        </m:r>
        <m:sSubSup>
          <m:e>
            <m:r>
              <m:t>W</m:t>
            </m:r>
          </m:e>
          <m:sub>
            <m:r>
              <m:t>c</m:t>
            </m:r>
            <m:r>
              <m:t>a</m:t>
            </m:r>
            <m:r>
              <m:t>n</m:t>
            </m:r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Sup>
          <m:e>
            <m:r>
              <m:t>H</m:t>
            </m:r>
          </m:e>
          <m:sub>
            <m:r>
              <m:t>c</m:t>
            </m:r>
            <m:r>
              <m:t>a</m:t>
            </m:r>
            <m:r>
              <m:t>n</m:t>
            </m:r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  <m:r>
          <m:rPr>
            <m:sty m:val="p"/>
          </m:rPr>
          <m:t>←</m:t>
        </m:r>
        <m:r>
          <m:t>D</m:t>
        </m:r>
        <m:sSup>
          <m:e>
            <m:r>
              <m:t>H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, and</w:t>
      </w:r>
      <w:r>
        <w:t xml:space="preserve"> </w:t>
      </w:r>
      <m:oMath>
        <m:sSubSup>
          <m:e>
            <m:r>
              <m:t>β</m:t>
            </m:r>
          </m:e>
          <m:sub>
            <m:r>
              <m:t>c</m:t>
            </m:r>
            <m:r>
              <m:t>a</m:t>
            </m:r>
            <m:r>
              <m:t>n</m:t>
            </m:r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bSup>
        <m:r>
          <m:rPr>
            <m:sty m:val="p"/>
          </m:rPr>
          <m:t>←</m:t>
        </m:r>
        <m:r>
          <m:t>D</m:t>
        </m:r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c</m:t>
            </m:r>
            <m:r>
              <m:t>a</m:t>
            </m:r>
            <m:r>
              <m:t>n</m:t>
            </m:r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t xml:space="preserve"> </w:t>
      </w:r>
      <m:oMath>
        <m:sSup>
          <m:e>
            <m:r>
              <m:t>H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=</m:t>
        </m:r>
        <m:sSubSup>
          <m:e>
            <m:r>
              <m:t>H</m:t>
            </m:r>
          </m:e>
          <m:sub>
            <m:r>
              <m:t>c</m:t>
            </m:r>
            <m:r>
              <m:t>a</m:t>
            </m:r>
            <m:r>
              <m:t>n</m:t>
            </m:r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t xml:space="preserve"> </w:t>
      </w:r>
      <m:oMath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c</m:t>
            </m:r>
            <m:r>
              <m:t>a</m:t>
            </m:r>
            <m:r>
              <m:t>n</m:t>
            </m:r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bSup>
      </m:oMath>
      <w:r>
        <w:t xml:space="preserve"> </w:t>
      </w:r>
      <m:oMath>
        <m:r>
          <m:t>f</m:t>
        </m:r>
        <m:r>
          <m:t>l</m:t>
        </m:r>
        <m:r>
          <m:t>a</m:t>
        </m:r>
        <m:r>
          <m:t>g</m:t>
        </m:r>
        <m:r>
          <m:rPr>
            <m:sty m:val="p"/>
          </m:rPr>
          <m:t>_</m:t>
        </m:r>
        <m:r>
          <m:t>a</m:t>
        </m:r>
        <m:r>
          <m:t>c</m:t>
        </m:r>
        <m:r>
          <m:t>c</m:t>
        </m:r>
        <m:r>
          <m:t>e</m:t>
        </m:r>
        <m:r>
          <m:t>p</m:t>
        </m:r>
        <m:r>
          <m:t>t</m:t>
        </m:r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break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*</m:t>
        </m:r>
        <m:r>
          <m:t>ρ</m:t>
        </m:r>
      </m:oMath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</w:p>
    <w:p>
      <w:pPr>
        <w:pStyle w:val="BodyText"/>
      </w:pPr>
      <w:r>
        <w:t xml:space="preserve">The column normalization preserves both</w:t>
      </w:r>
      <w:r>
        <w:t xml:space="preserve"> </w:t>
      </w:r>
      <m:oMath>
        <m:r>
          <m:t>W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t>β</m:t>
        </m:r>
      </m:oMath>
      <w:r>
        <w:t xml:space="preserve">, and</w:t>
      </w:r>
      <w:r>
        <w:t xml:space="preserve"> </w:t>
      </w:r>
      <w:r>
        <w:t xml:space="preserve">therefore leaves the loss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invariant up to numerical</w:t>
      </w:r>
      <w:r>
        <w:t xml:space="preserve"> </w:t>
      </w:r>
      <w:r>
        <w:t xml:space="preserve">error. Backtracking guarantees that the accepted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update does not</w:t>
      </w:r>
      <w:r>
        <w:t xml:space="preserve"> </w:t>
      </w:r>
      <w:r>
        <w:t xml:space="preserve">increase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.</w:t>
      </w:r>
    </w:p>
    <w:bookmarkEnd w:id="23"/>
    <w:bookmarkStart w:id="24" w:name="update-for-beta"/>
    <w:p>
      <w:pPr>
        <w:pStyle w:val="Heading2"/>
      </w:pPr>
      <w:r>
        <w:t xml:space="preserve">Update for</w:t>
      </w:r>
      <w:r>
        <w:t xml:space="preserve"> </w:t>
      </w:r>
      <m:oMath>
        <m:r>
          <m:t>β</m:t>
        </m:r>
      </m:oMath>
    </w:p>
    <w:p>
      <w:pPr>
        <w:pStyle w:val="FirstParagraph"/>
      </w:pPr>
      <w:r>
        <w:t xml:space="preserve">Conditional 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, the loss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reduces to a convex</w:t>
      </w:r>
      <w:r>
        <w:t xml:space="preserve"> </w:t>
      </w:r>
      <w:r>
        <w:t xml:space="preserve">elastic-net–penalized Cox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β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k</m:t>
                  </m:r>
                </m:sup>
              </m:sSup>
            </m:lim>
          </m:limLow>
          <m:d>
            <m:dPr>
              <m:begChr m:val="{"/>
              <m:endChr m:val="}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α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v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</m:den>
              </m:f>
              <m:r>
                <m:t> </m:t>
              </m:r>
              <m:r>
                <m:rPr>
                  <m:sty m:val="p"/>
                </m:rPr>
                <m:t>ℓ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+</m:t>
              </m:r>
              <m:r>
                <m:t>λ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ξ</m:t>
                  </m:r>
                  <m:r>
                    <m:rPr>
                      <m:sty m:val="p"/>
                    </m:rPr>
                    <m:t>∥</m:t>
                  </m:r>
                  <m:r>
                    <m:t>β</m:t>
                  </m:r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ξ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∥</m:t>
                  </m:r>
                  <m:r>
                    <m:t>β</m:t>
                  </m:r>
                  <m:sSub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solve this subproblem by cyclic coordinate descent following</w:t>
      </w:r>
      <w:r>
        <w:t xml:space="preserve"> </w:t>
      </w:r>
      <w:r>
        <w:t xml:space="preserve">(Simon et al. 2011). Writing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η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⊤</m:t>
            </m:r>
          </m:sup>
        </m:sSubSup>
        <m:r>
          <m:t>β</m:t>
        </m:r>
      </m:oMath>
      <w:r>
        <w:t xml:space="preserve">, the update for coordinate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the closed form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w</m:t>
                      </m:r>
                    </m:e>
                  </m:nary>
                  <m:sSub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η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v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η</m:t>
                                  </m:r>
                                </m:e>
                              </m:acc>
                            </m:e>
                          </m:d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0"/>
                          <m:supHide m:val="1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r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λ</m:t>
                  </m:r>
                  <m:r>
                    <m:t>ξ</m:t>
                  </m:r>
                </m:e>
              </m:d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w</m:t>
                  </m:r>
                </m:e>
              </m:nary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η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sSubSup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λ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ξ</m:t>
                  </m:r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−</m:t>
            </m:r>
            <m:r>
              <m:t>τ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w:r>
        <w:t xml:space="preserve">the soft-thresholding operator, and</w:t>
      </w:r>
      <w:r>
        <w:t xml:space="preserve"> 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η</m:t>
                </m:r>
              </m:e>
            </m:acc>
          </m:e>
        </m:d>
      </m:oMath>
      <w:r>
        <w:t xml:space="preserve">,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η</m:t>
                </m:r>
              </m:e>
            </m:acc>
          </m:e>
        </m:d>
      </m:oMath>
      <w:r>
        <w:t xml:space="preserve"> </w:t>
      </w:r>
      <w:r>
        <w:t xml:space="preserve">are standard local quadratic approximations of the</w:t>
      </w:r>
      <w:r>
        <w:t xml:space="preserve"> </w:t>
      </w:r>
      <w:r>
        <w:t xml:space="preserve">Cox log-partial likelihood (Simon et al. 2011). We iterate coordinate</w:t>
      </w:r>
      <w:r>
        <w:t xml:space="preserve"> </w:t>
      </w:r>
      <w:r>
        <w:t xml:space="preserve">updates until the subproblem converges to numerical tolerance, yielding</w:t>
      </w:r>
      <w:r>
        <w:t xml:space="preserve"> </w:t>
      </w:r>
      <w:r>
        <w:t xml:space="preserve">a minimizer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for the current</w:t>
      </w:r>
      <w:r>
        <w:t xml:space="preserve"> </w:t>
      </w:r>
      <m:oMath>
        <m:r>
          <m:t>W</m:t>
        </m:r>
      </m:oMath>
      <w:r>
        <w:t xml:space="preserve">.</w:t>
      </w:r>
    </w:p>
    <w:bookmarkEnd w:id="24"/>
    <w:bookmarkStart w:id="25" w:name="normalization-of-w"/>
    <w:p>
      <w:pPr>
        <w:pStyle w:val="Heading2"/>
      </w:pPr>
      <w:r>
        <w:t xml:space="preserve">Normalization of W</w:t>
      </w:r>
    </w:p>
    <w:p>
      <w:pPr>
        <w:pStyle w:val="FirstParagraph"/>
      </w:pPr>
      <w:r>
        <w:t xml:space="preserve">After each accepted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update, we normalize the columns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W</m:t>
        </m:r>
        <m:r>
          <m:rPr>
            <m:sty m:val="p"/>
          </m:rPr>
          <m:t>←</m:t>
        </m:r>
        <m:r>
          <m:t>W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and adjust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←</m:t>
          </m:r>
          <m:r>
            <m:t>D</m:t>
          </m:r>
          <m:r>
            <m:t>H</m:t>
          </m:r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←</m:t>
          </m:r>
          <m:r>
            <m:t>D</m:t>
          </m:r>
          <m:r>
            <m:t>β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diagonal matrix of column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2</m:t>
            </m:r>
          </m:sub>
        </m:sSub>
      </m:oMath>
      <w:r>
        <w:t xml:space="preserve">-norms of</w:t>
      </w:r>
      <w:r>
        <w:t xml:space="preserve"> </w:t>
      </w:r>
      <m:oMath>
        <m:r>
          <m:t>W</m:t>
        </m:r>
      </m:oMath>
      <w:r>
        <w:t xml:space="preserve">. This preserves the reconstruction</w:t>
      </w:r>
      <w:r>
        <w:t xml:space="preserve"> </w:t>
      </w:r>
      <m:oMath>
        <m:r>
          <m:t>W</m:t>
        </m:r>
        <m:r>
          <m:t>H</m:t>
        </m:r>
      </m:oMath>
      <w:r>
        <w:t xml:space="preserve"> </w:t>
      </w:r>
      <w:r>
        <w:t xml:space="preserve">and the linear predictor</w:t>
      </w:r>
      <w:r>
        <w:t xml:space="preserve"> </w:t>
      </w:r>
      <m:oMath>
        <m:r>
          <m:t>W</m:t>
        </m:r>
        <m:r>
          <m:t>β</m:t>
        </m:r>
      </m:oMath>
      <w:r>
        <w:t xml:space="preserve">, leaving both the NMF and Cox terms in the loss unchanged.</w:t>
      </w:r>
      <w:r>
        <w:t xml:space="preserve"> </w:t>
      </w:r>
      <w:r>
        <w:t xml:space="preserve">Normalization prevents degeneracy in the scale-nonidentifiable</w:t>
      </w:r>
      <w:r>
        <w:t xml:space="preserve"> </w:t>
      </w:r>
      <w:r>
        <w:t xml:space="preserve">factorization and keeps columns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comparable in magnitude and</w:t>
      </w:r>
      <w:r>
        <w:t xml:space="preserve"> </w:t>
      </w:r>
      <w:r>
        <w:t xml:space="preserve">interpretable as gene programs.</w:t>
      </w:r>
    </w:p>
    <w:bookmarkEnd w:id="25"/>
    <w:bookmarkStart w:id="26" w:name="X81134da40e44e4cb7a3784c41551cce65b1ea7e"/>
    <w:p>
      <w:pPr>
        <w:pStyle w:val="Heading2"/>
      </w:pPr>
      <w:r>
        <w:t xml:space="preserve">Derivation of W update from projected coordinate descent</w:t>
      </w:r>
    </w:p>
    <w:p>
      <w:pPr>
        <w:pStyle w:val="FirstParagraph"/>
      </w:pPr>
      <w:r>
        <w:t xml:space="preserve">The W update can be derived directly from the projected coordinate</w:t>
      </w:r>
      <w:r>
        <w:t xml:space="preserve"> </w:t>
      </w:r>
      <w:r>
        <w:t xml:space="preserve">descent update with a specific step size.</w:t>
      </w:r>
    </w:p>
    <w:p>
      <w:pPr>
        <w:pStyle w:val="BodyText"/>
      </w:pPr>
      <w:r>
        <w:t xml:space="preserve">Recall that the overall loss function is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  <m:scr m:val="script"/>
                  </m:rPr>
                  <m:t>L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W</m:t>
                    </m:r>
                    <m:r>
                      <m:rPr>
                        <m:sty m:val="p"/>
                      </m:rPr>
                      <m:t>,</m:t>
                    </m:r>
                    <m:r>
                      <m:t>H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</m:num>
                  <m:den>
                    <m:r>
                      <m:t>2</m:t>
                    </m:r>
                    <m:r>
                      <m:t>n</m:t>
                    </m:r>
                    <m:r>
                      <m:t>p</m:t>
                    </m:r>
                  </m:den>
                </m:f>
                <m:d>
                  <m:dPr>
                    <m:begChr m:val="|"/>
                    <m:endChr m:val="|"/>
                    <m:sepChr m:val=""/>
                    <m:grow/>
                  </m:dPr>
                  <m:e/>
                </m:d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W</m:t>
                </m:r>
                <m:r>
                  <m:t>H</m:t>
                </m:r>
                <m:sSub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/>
                    </m:d>
                  </m:e>
                  <m:sub>
                    <m:r>
                      <m:t>F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α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e</m:t>
                        </m:r>
                        <m:r>
                          <m:t>v</m:t>
                        </m:r>
                        <m:r>
                          <m:t>e</m:t>
                        </m:r>
                        <m:r>
                          <m:t>n</m:t>
                        </m:r>
                        <m:r>
                          <m:t>t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ℓ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W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λ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ξ</m:t>
                    </m:r>
                    <m:r>
                      <m:rPr>
                        <m:sty m:val="p"/>
                      </m:rPr>
                      <m:t>∥</m:t>
                    </m:r>
                    <m:r>
                      <m:t>β</m:t>
                    </m:r>
                    <m:sSub>
                      <m:e>
                        <m:r>
                          <m:rPr>
                            <m:sty m:val="p"/>
                          </m:rPr>
                          <m:t>∥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ξ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∥</m:t>
                    </m:r>
                    <m:r>
                      <m:t>β</m:t>
                    </m:r>
                    <m:sSubSup>
                      <m:e>
                        <m:r>
                          <m:rPr>
                            <m:sty m:val="p"/>
                          </m:rPr>
                          <m:t>∥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 </w:t>
      </w:r>
      <w:r>
        <w:t xml:space="preserve">is the log-partial likelihood for</w:t>
      </w:r>
      <w:r>
        <w:t xml:space="preserve"> </w:t>
      </w:r>
      <w:r>
        <w:t xml:space="preserve">the Cox model. Let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rPr>
            <m:sty m:val="p"/>
          </m:rPr>
          <m:t>ℓ</m:t>
        </m:r>
      </m:oMath>
      <w:r>
        <w:t xml:space="preserve"> </w:t>
      </w:r>
      <w:r>
        <w:t xml:space="preserve">represent the derivative of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 </w:t>
      </w:r>
      <w:r>
        <w:t xml:space="preserve">with respect to</w:t>
      </w:r>
      <w:r>
        <w:t xml:space="preserve"> </w:t>
      </w:r>
      <m:oMath>
        <m:r>
          <m:t>W</m:t>
        </m:r>
      </m:oMath>
      <w:r>
        <w:t xml:space="preserve">. Then the derivative of the</w:t>
      </w:r>
      <w:r>
        <w:t xml:space="preserve"> </w:t>
      </w:r>
      <w:r>
        <w:t xml:space="preserve">overall loss with respect 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num>
            <m:den>
              <m:r>
                <m:t>n</m:t>
              </m:r>
              <m:r>
                <m:t>p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t>H</m:t>
              </m:r>
              <m:sSup>
                <m:e>
                  <m:r>
                    <m:t>H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H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α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e</m:t>
                  </m:r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den>
          </m:f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ℓ</m:t>
          </m:r>
        </m:oMath>
      </m:oMathPara>
    </w:p>
    <w:p>
      <w:pPr>
        <w:pStyle w:val="FirstParagraph"/>
      </w:pPr>
      <w:r>
        <w:t xml:space="preserve">Then the gradient descent update rule at iteration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W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sup>
                </m:sSup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W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−</m:t>
                </m:r>
                <m:r>
                  <m:t>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W</m:t>
                        </m:r>
                      </m:den>
                    </m:f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W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−</m:t>
                </m:r>
                <m:r>
                  <m:t>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α</m:t>
                            </m:r>
                          </m:e>
                        </m:d>
                      </m:num>
                      <m:den>
                        <m:r>
                          <m:t>n</m:t>
                        </m:r>
                        <m:r>
                          <m:t>p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W</m:t>
                        </m:r>
                        <m:r>
                          <m:t>H</m:t>
                        </m:r>
                        <m:sSup>
                          <m:e>
                            <m:r>
                              <m:t>H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sSup>
                          <m:e>
                            <m:r>
                              <m:t>H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α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e</m:t>
                            </m:r>
                            <m:r>
                              <m:t>v</m:t>
                            </m:r>
                            <m:r>
                              <m:t>e</m:t>
                            </m:r>
                            <m:r>
                              <m:t>n</m:t>
                            </m:r>
                            <m:r>
                              <m:t>t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ℓ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Let the step size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be defined as in (Lee and Seung</w:t>
      </w:r>
      <w:r>
        <w:t xml:space="preserve"> </w:t>
      </w:r>
      <w:r>
        <w:t xml:space="preserve">2001):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p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den>
          </m:f>
          <m:f>
            <m:fPr>
              <m:type m:val="bar"/>
            </m:fPr>
            <m:num>
              <m:r>
                <m:t>W</m:t>
              </m:r>
            </m:num>
            <m:den>
              <m:r>
                <m:t>W</m:t>
              </m:r>
              <m:r>
                <m:t>H</m:t>
              </m:r>
              <m:sSup>
                <m:e>
                  <m:r>
                    <m:t>H</m:t>
                  </m:r>
                </m:e>
                <m:sup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Then the update becomes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W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sup>
                </m:sSup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W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p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</m:den>
                </m:f>
                <m:f>
                  <m:fPr>
                    <m:type m:val="bar"/>
                  </m:fPr>
                  <m:num>
                    <m:r>
                      <m:t>W</m:t>
                    </m:r>
                  </m:num>
                  <m:den>
                    <m:r>
                      <m:t>W</m:t>
                    </m:r>
                    <m:r>
                      <m:t>H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α</m:t>
                            </m:r>
                          </m:e>
                        </m:d>
                      </m:num>
                      <m:den>
                        <m:r>
                          <m:t>n</m:t>
                        </m:r>
                        <m:r>
                          <m:t>p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W</m:t>
                        </m:r>
                        <m:r>
                          <m:t>H</m:t>
                        </m:r>
                        <m:sSup>
                          <m:e>
                            <m:r>
                              <m:t>H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sSup>
                          <m:e>
                            <m:r>
                              <m:t>H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α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e</m:t>
                            </m:r>
                            <m:r>
                              <m:t>v</m:t>
                            </m:r>
                            <m:r>
                              <m:t>e</m:t>
                            </m:r>
                            <m:r>
                              <m:t>n</m:t>
                            </m:r>
                            <m:r>
                              <m:t>t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ℓ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W</m:t>
                    </m:r>
                  </m:num>
                  <m:den>
                    <m:r>
                      <m:t>W</m:t>
                    </m:r>
                    <m:r>
                      <m:t>H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X</m:t>
                </m:r>
                <m:sSup>
                  <m:e>
                    <m:r>
                      <m:t>H</m:t>
                    </m:r>
                  </m:e>
                  <m:sup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α</m:t>
                    </m:r>
                    <m:r>
                      <m:t>n</m:t>
                    </m:r>
                    <m:r>
                      <m:t>p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e</m:t>
                        </m:r>
                        <m:r>
                          <m:t>v</m:t>
                        </m:r>
                        <m:r>
                          <m:t>e</m:t>
                        </m:r>
                        <m:r>
                          <m:t>n</m:t>
                        </m:r>
                        <m:r>
                          <m:t>t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</m:den>
                </m:f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ℓ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W</m:t>
                </m:r>
                <m:r>
                  <m:rPr>
                    <m:sty m:val="p"/>
                  </m:rPr>
                  <m:t>⊙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α</m:t>
                        </m:r>
                        <m:r>
                          <m:t>n</m:t>
                        </m:r>
                        <m:r>
                          <m:t>p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e</m:t>
                            </m:r>
                            <m:r>
                              <m:t>v</m:t>
                            </m:r>
                            <m:r>
                              <m:t>e</m:t>
                            </m:r>
                            <m:r>
                              <m:t>n</m:t>
                            </m:r>
                            <m:r>
                              <m:t>t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α</m:t>
                            </m:r>
                          </m:e>
                        </m:d>
                      </m:den>
                    </m:f>
                    <m:sSub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ℓ</m:t>
                    </m:r>
                  </m:num>
                  <m:den>
                    <m:r>
                      <m:t>W</m:t>
                    </m:r>
                    <m:r>
                      <m:t>H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W</m:t>
                </m:r>
                <m:r>
                  <m:rPr>
                    <m:sty m:val="p"/>
                  </m:rPr>
                  <m:t>⊙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α</m:t>
                            </m:r>
                          </m:e>
                        </m:d>
                      </m:num>
                      <m:den>
                        <m:r>
                          <m:t>n</m:t>
                        </m:r>
                        <m:r>
                          <m:t>p</m:t>
                        </m:r>
                      </m:den>
                    </m:f>
                    <m:r>
                      <m:t>X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α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e</m:t>
                            </m:r>
                            <m:r>
                              <m:t>v</m:t>
                            </m:r>
                            <m:r>
                              <m:t>e</m:t>
                            </m:r>
                            <m:r>
                              <m:t>n</m:t>
                            </m:r>
                            <m:r>
                              <m:t>t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ℓ</m:t>
                    </m:r>
                  </m:num>
                  <m:den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α</m:t>
                            </m:r>
                          </m:e>
                        </m:d>
                      </m:num>
                      <m:den>
                        <m:r>
                          <m:t>n</m:t>
                        </m:r>
                        <m:r>
                          <m:t>p</m:t>
                        </m:r>
                      </m:den>
                    </m:f>
                    <m:r>
                      <m:t>W</m:t>
                    </m:r>
                    <m:r>
                      <m:t>H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</m:e>
            </m:mr>
          </m:m>
        </m:oMath>
      </m:oMathPara>
    </w:p>
    <w:p>
      <w:pPr>
        <w:pStyle w:val="FirstParagraph"/>
      </w:pPr>
      <w:r>
        <w:t xml:space="preserve">Finally, projected coordinate descent projects the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update in to the positive space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⊙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e>
                      </m:d>
                    </m:num>
                    <m:den>
                      <m:r>
                        <m:t>n</m:t>
                      </m:r>
                      <m:r>
                        <m:t>p</m:t>
                      </m:r>
                    </m:den>
                  </m:f>
                  <m:r>
                    <m:t>X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e</m:t>
                          </m:r>
                          <m:r>
                            <m:t>v</m:t>
                          </m:r>
                          <m:r>
                            <m:t>e</m:t>
                          </m:r>
                          <m:r>
                            <m:t>n</m:t>
                          </m:r>
                          <m:r>
                            <m:t>t</m:t>
                          </m:r>
                        </m:sub>
                      </m:sSub>
                    </m:den>
                  </m:f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ℓ</m:t>
                  </m:r>
                </m:num>
                <m:den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e>
                      </m:d>
                    </m:num>
                    <m:den>
                      <m:r>
                        <m:t>n</m:t>
                      </m:r>
                      <m:r>
                        <m:t>p</m:t>
                      </m:r>
                    </m:den>
                  </m:f>
                  <m:r>
                    <m:t>W</m:t>
                  </m:r>
                  <m:r>
                    <m:t>H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W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⊙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e>
                      </m:d>
                    </m:num>
                    <m:den>
                      <m:r>
                        <m:t>n</m:t>
                      </m:r>
                      <m:r>
                        <m:t>p</m:t>
                      </m:r>
                    </m:den>
                  </m:f>
                  <m:r>
                    <m:t>X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e</m:t>
                          </m:r>
                          <m:r>
                            <m:t>v</m:t>
                          </m:r>
                          <m:r>
                            <m:t>e</m:t>
                          </m:r>
                          <m:r>
                            <m:t>n</m:t>
                          </m:r>
                          <m:r>
                            <m:t>t</m:t>
                          </m:r>
                        </m:sub>
                      </m:sSub>
                    </m:den>
                  </m:f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ℓ</m:t>
                  </m:r>
                </m:num>
                <m:den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e>
                      </m:d>
                    </m:num>
                    <m:den>
                      <m:r>
                        <m:t>n</m:t>
                      </m:r>
                      <m:r>
                        <m:t>p</m:t>
                      </m:r>
                    </m:den>
                  </m:f>
                  <m:r>
                    <m:t>W</m:t>
                  </m:r>
                  <m:r>
                    <m:t>H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which matches the multiplicative form used in the</w:t>
      </w:r>
      <w:r>
        <w:t xml:space="preserve"> </w:t>
      </w:r>
      <w:r>
        <w:t xml:space="preserve">software implementation.</w:t>
      </w:r>
    </w:p>
    <w:bookmarkEnd w:id="26"/>
    <w:bookmarkEnd w:id="27"/>
    <w:bookmarkStart w:id="30" w:name="convergence-proof"/>
    <w:p>
      <w:pPr>
        <w:pStyle w:val="Heading1"/>
      </w:pPr>
      <w:r>
        <w:t xml:space="preserve">Convergence proof</w:t>
      </w:r>
    </w:p>
    <w:p>
      <w:pPr>
        <w:pStyle w:val="FirstParagraph"/>
      </w:pPr>
      <w:r>
        <w:t xml:space="preserve">We show that, under mild regularity conditions, the block coordinate</w:t>
      </w:r>
      <w:r>
        <w:t xml:space="preserve"> </w:t>
      </w:r>
      <w:r>
        <w:t xml:space="preserve">descent (BCD) Algorithm S</w:t>
      </w:r>
      <w:hyperlink w:anchor="alg:desurv">
        <w:r>
          <w:rPr>
            <w:rStyle w:val="Hyperlink"/>
          </w:rPr>
          <w:t xml:space="preserve">[alg:desurv]</w:t>
        </w:r>
      </w:hyperlink>
      <w:r>
        <w:t xml:space="preserve"> </w:t>
      </w:r>
      <w:r>
        <w:t xml:space="preserve">converges to a stationary</w:t>
      </w:r>
      <w:r>
        <w:t xml:space="preserve"> </w:t>
      </w:r>
      <w:r>
        <w:t xml:space="preserve">point of the DeSurv loss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clarity, we first analyze the algorithm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the column</w:t>
      </w:r>
      <w:r>
        <w:t xml:space="preserve"> </w:t>
      </w:r>
      <w:r>
        <w:t xml:space="preserve">normalization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inside the loop, and then argue in Section</w:t>
      </w:r>
      <w:r>
        <w:t xml:space="preserve"> </w:t>
      </w:r>
      <w:hyperlink w:anchor="subsec:conv_normalization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that the normalization step preserves</w:t>
      </w:r>
      <w:r>
        <w:t xml:space="preserve"> </w:t>
      </w:r>
      <w:r>
        <w:t xml:space="preserve">stationarity of limit points.</w:t>
      </w:r>
    </w:p>
    <w:p>
      <w:pPr>
        <w:pStyle w:val="BodyText"/>
      </w:pPr>
      <w:r>
        <w:t xml:space="preserve">Throughout, let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 </w:t>
      </w:r>
      <w:r>
        <w:t xml:space="preserve">and denote</w:t>
      </w:r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. The feasible set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:</m:t>
          </m:r>
          <m:r>
            <m:t>W</m:t>
          </m:r>
          <m:r>
            <m:rPr>
              <m:sty m:val="p"/>
            </m:rPr>
            <m:t>∈</m:t>
          </m:r>
          <m:sSubSup>
            <m:e>
              <m:r>
                <m:rPr>
                  <m:sty m:val="p"/>
                  <m:scr m:val="double-struck"/>
                </m:rPr>
                <m:t>R</m:t>
              </m:r>
            </m:e>
            <m:sub>
              <m:r>
                <m:rPr>
                  <m:sty m:val="p"/>
                </m:rPr>
                <m:t>≥</m:t>
              </m:r>
              <m:r>
                <m:t>0</m:t>
              </m:r>
            </m:sub>
            <m:sup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sup>
          </m:sSubSup>
          <m:r>
            <m:rPr>
              <m:sty m:val="p"/>
            </m:rPr>
            <m:t>,</m:t>
          </m:r>
          <m:r>
            <m:t> </m:t>
          </m:r>
          <m:r>
            <m:t>H</m:t>
          </m:r>
          <m:r>
            <m:rPr>
              <m:sty m:val="p"/>
            </m:rPr>
            <m:t>∈</m:t>
          </m:r>
          <m:sSubSup>
            <m:e>
              <m:r>
                <m:rPr>
                  <m:sty m:val="p"/>
                  <m:scr m:val="double-struck"/>
                </m:rPr>
                <m:t>R</m:t>
              </m:r>
            </m:e>
            <m:sub>
              <m:r>
                <m:rPr>
                  <m:sty m:val="p"/>
                </m:rPr>
                <m:t>≥</m:t>
              </m:r>
              <m:r>
                <m:t>0</m:t>
              </m:r>
            </m:sub>
            <m:sup>
              <m:r>
                <m:t>k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bSup>
          <m:r>
            <m:rPr>
              <m:sty m:val="p"/>
            </m:rPr>
            <m:t>,</m:t>
          </m:r>
          <m:r>
            <m:t> </m:t>
          </m:r>
          <m:r>
            <m:t>β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Assumption 1 (Regularity and parameter space).</w:t>
      </w:r>
      <w:r>
        <w:t xml:space="preserve"> </w:t>
      </w:r>
      <w:r>
        <w:t xml:space="preserve">We assume:</w:t>
      </w:r>
    </w:p>
    <w:p>
      <w:pPr>
        <w:numPr>
          <w:ilvl w:val="0"/>
          <w:numId w:val="1001"/>
        </w:numPr>
      </w:pPr>
      <w:r>
        <w:t xml:space="preserve">The data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p>
        </m:sSubSup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  <m:sup>
            <m:r>
              <m:t>n</m:t>
            </m:r>
          </m:sup>
        </m:sSubSup>
      </m:oMath>
      <w:r>
        <w:t xml:space="preserve">, and</w:t>
      </w:r>
      <w: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 fixed and bounded.</w:t>
      </w:r>
    </w:p>
    <w:p>
      <w:pPr>
        <w:numPr>
          <w:ilvl w:val="0"/>
          <w:numId w:val="1001"/>
        </w:numPr>
      </w:pPr>
      <w:r>
        <w:t xml:space="preserve">The hyperparameters satisfy</w:t>
      </w:r>
      <w:r>
        <w:t xml:space="preserve"> </w:t>
      </w:r>
      <m:oMath>
        <m:sSub>
          <m:e>
            <m:r>
              <m:t>λ</m:t>
            </m:r>
          </m:e>
          <m:sub>
            <m:r>
              <m:t>H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ξ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initial iterate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H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p>
          </m:e>
        </m:d>
      </m:oMath>
      <w:r>
        <w:t xml:space="preserve"> </w:t>
      </w:r>
      <w:r>
        <w:t xml:space="preserve">lies 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satisfies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H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elementwise.</w:t>
      </w:r>
    </w:p>
    <w:p>
      <w:pPr>
        <w:pStyle w:val="FirstParagraph"/>
      </w:pPr>
      <w:r>
        <w:rPr>
          <w:bCs/>
          <w:b/>
        </w:rPr>
        <w:t xml:space="preserve">Assumption 2 (Block updates).</w:t>
      </w:r>
      <w:r>
        <w:t xml:space="preserve"> </w:t>
      </w:r>
      <w:r>
        <w:t xml:space="preserve">At each outer iteration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three block updates in Algorithm S</w:t>
      </w:r>
      <w:hyperlink w:anchor="alg:desurv">
        <w:r>
          <w:rPr>
            <w:rStyle w:val="Hyperlink"/>
          </w:rPr>
          <w:t xml:space="preserve">[alg:desurv]</w:t>
        </w:r>
      </w:hyperlink>
      <w:r>
        <w:t xml:space="preserve"> </w:t>
      </w:r>
      <w:r>
        <w:t xml:space="preserve">satisfy:</w:t>
      </w:r>
    </w:p>
    <w:p>
      <w:pPr>
        <w:numPr>
          <w:ilvl w:val="0"/>
          <w:numId w:val="1002"/>
        </w:numPr>
      </w:pPr>
      <m:oMath>
        <m:r>
          <m:t>H</m:t>
        </m:r>
      </m:oMath>
      <w:r>
        <w:rPr>
          <w:iCs/>
          <w:i/>
        </w:rPr>
        <w:t xml:space="preserve">-update.</w:t>
      </w:r>
      <w:r>
        <w:t xml:space="preserve"> </w:t>
      </w:r>
      <w:r>
        <w:t xml:space="preserve">For fixed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</m:oMath>
      <w:r>
        <w:t xml:space="preserve">, the update</w:t>
      </w:r>
      <w:r>
        <w:t xml:space="preserve"> </w:t>
      </w:r>
      <m:oMath>
        <m:sSup>
          <m:e>
            <m:r>
              <m:t>H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↦</m:t>
        </m:r>
        <m:sSup>
          <m:e>
            <m:r>
              <m:t>H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is given by the multiplicative rule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←</m:t>
          </m:r>
          <m:r>
            <m:t>H</m:t>
          </m:r>
          <m:r>
            <m:rPr>
              <m:sty m:val="p"/>
            </m:rPr>
            <m:t>⊙</m:t>
          </m:r>
          <m:f>
            <m:fPr>
              <m:type m:val="bar"/>
            </m:fPr>
            <m:num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X</m:t>
              </m:r>
            </m:num>
            <m:den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W</m:t>
              </m:r>
              <m: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H</m:t>
                  </m:r>
                </m:sub>
              </m:sSub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2"/>
        </w:numPr>
      </w:pPr>
      <w:r>
        <w:t xml:space="preserve">applied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H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</m:oMath>
      <w:r>
        <w:t xml:space="preserve">. This rule preserves nonnegativity and</w:t>
      </w:r>
      <w:r>
        <w:t xml:space="preserve"> </w:t>
      </w:r>
      <w:r>
        <w:t xml:space="preserve">yields a nonincreasing value of the reconstruction term conditional on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; see e.g.</w:t>
      </w:r>
      <w:r>
        <w:t xml:space="preserve"> </w:t>
      </w:r>
      <w:r>
        <w:t xml:space="preserve">(Lee and Seung 2001; Pascual-Montano et al. 2006; Lin 2007).</w:t>
      </w:r>
    </w:p>
    <w:p>
      <w:pPr>
        <w:numPr>
          <w:ilvl w:val="0"/>
          <w:numId w:val="1002"/>
        </w:numPr>
      </w:pPr>
      <m:oMath>
        <m:r>
          <m:t>W</m:t>
        </m:r>
      </m:oMath>
      <w:r>
        <w:rPr>
          <w:iCs/>
          <w:i/>
        </w:rPr>
        <w:t xml:space="preserve">-update.</w:t>
      </w:r>
      <w:r>
        <w:t xml:space="preserve"> </w:t>
      </w:r>
      <w:r>
        <w:t xml:space="preserve">For fixed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H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</m:oMath>
      <w:r>
        <w:t xml:space="preserve">, the update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↦</m:t>
        </m:r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is the hybrid multiplicative step</w:t>
      </w:r>
      <w:r>
        <w:t xml:space="preserve"> </w:t>
      </w:r>
      <w:r>
        <w:t xml:space="preserve">followed by backtracking as in Algorithm S</w:t>
      </w:r>
      <w:hyperlink w:anchor="alg:backtrack">
        <w:r>
          <w:rPr>
            <w:rStyle w:val="Hyperlink"/>
          </w:rPr>
          <w:t xml:space="preserve">[alg:backtrack]</w:t>
        </w:r>
      </w:hyperlink>
      <w:r>
        <w:t xml:space="preserve">, producing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≤</m:t>
          </m:r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</w:pPr>
      <w:r>
        <w:t xml:space="preserve">If no candidate satisfies the Armijo-type condition within the allowed</w:t>
      </w:r>
      <w:r>
        <w:t xml:space="preserve"> </w:t>
      </w:r>
      <w:r>
        <w:t xml:space="preserve">number of backtracking steps, the algorithm sets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box>
          <m:boxPr>
            <m:opEmu m:val="1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m:oMath>
        <m:r>
          <m:t>β</m:t>
        </m:r>
      </m:oMath>
      <w:r>
        <w:rPr>
          <w:iCs/>
          <w:i/>
        </w:rPr>
        <w:t xml:space="preserve">-update.</w:t>
      </w:r>
      <w:r>
        <w:t xml:space="preserve"> </w:t>
      </w:r>
      <w:r>
        <w:t xml:space="preserve">For fixed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H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sup>
            </m:sSup>
          </m:e>
        </m:d>
      </m:oMath>
      <w:r>
        <w:t xml:space="preserve">, the update</w:t>
      </w:r>
      <w:r>
        <w:t xml:space="preserve"> </w:t>
      </w:r>
      <m:oMath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↦</m:t>
        </m:r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is obtained by running the</w:t>
      </w:r>
      <w:r>
        <w:t xml:space="preserve"> </w:t>
      </w:r>
      <w:r>
        <w:t xml:space="preserve">coordinate descent method of Simon et al. (2011) on the convex elastic-net Cox</w:t>
      </w:r>
      <w:r>
        <w:t xml:space="preserve"> </w:t>
      </w:r>
      <w:r>
        <w:t xml:space="preserve">subproblem until convergence. Thus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β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p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β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k</m:t>
                  </m:r>
                </m:sup>
              </m:sSup>
            </m:lim>
          </m:limLow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2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≤</m:t>
          </m:r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Lemma 1 (Continuity and bounded level sets).</w:t>
      </w:r>
      <w:r>
        <w:t xml:space="preserve"> </w:t>
      </w:r>
      <w:r>
        <w:t xml:space="preserve">Under Assumption</w:t>
      </w:r>
      <w:r>
        <w:t xml:space="preserve"> </w:t>
      </w:r>
      <w:r>
        <w:t xml:space="preserve">1,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:</m:t>
        </m:r>
        <m:r>
          <m:t>Θ</m:t>
        </m:r>
        <m:r>
          <m:rPr>
            <m:sty m:val="p"/>
          </m:rPr>
          <m:t>→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is continuous, and the initial</w:t>
      </w:r>
      <w:r>
        <w:t xml:space="preserve"> </w:t>
      </w:r>
      <w:r>
        <w:t xml:space="preserve">sublevel set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S</m:t>
              </m:r>
            </m:e>
            <m:sub>
              <m:r>
                <m:t>0</m:t>
              </m:r>
            </m:sub>
          </m:sSub>
          <m:box>
            <m:boxPr>
              <m:opEmu m:val="1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{</m:t>
          </m:r>
          <m:r>
            <m:t>θ</m:t>
          </m:r>
          <m:r>
            <m:rPr>
              <m:sty m:val="p"/>
            </m:rPr>
            <m:t>∈</m:t>
          </m:r>
          <m:r>
            <m:t>Θ</m:t>
          </m:r>
          <m:r>
            <m:rPr>
              <m:sty m:val="p"/>
            </m:rPr>
            <m:t>:</m:t>
          </m:r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≤</m:t>
          </m:r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is nonempty, closed, and bounded.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The NMF term</w:t>
      </w:r>
      <w:r>
        <w:t xml:space="preserve"> </w:t>
      </w: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W</m:t>
        </m:r>
        <m:r>
          <m:t>H</m:t>
        </m:r>
        <m:sSubSup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polynomial in the</w:t>
      </w:r>
      <w:r>
        <w:t xml:space="preserve"> </w:t>
      </w:r>
      <w:r>
        <w:t xml:space="preserve">entries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hence is continuously differentiable. The</w:t>
      </w:r>
      <w:r>
        <w:t xml:space="preserve"> </w:t>
      </w:r>
      <w:r>
        <w:t xml:space="preserve">penalty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sSubSup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continuous as well. The Cox partial</w:t>
      </w:r>
      <w:r>
        <w:t xml:space="preserve"> </w:t>
      </w:r>
      <w:r>
        <w:t xml:space="preserve">log-likelihood is a smooth function of the linear predictor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⊤</m:t>
            </m:r>
          </m:sup>
        </m:sSubSup>
        <m:r>
          <m:t>W</m:t>
        </m:r>
        <m:r>
          <m:t>β</m:t>
        </m:r>
      </m:oMath>
      <w:r>
        <w:t xml:space="preserve">, which is linear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, so this</w:t>
      </w:r>
      <w:r>
        <w:t xml:space="preserve"> </w:t>
      </w:r>
      <w:r>
        <w:t xml:space="preserve">term is continuously differentiable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. The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on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smooth, and the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is convex and</w:t>
      </w:r>
      <w:r>
        <w:t xml:space="preserve"> </w:t>
      </w:r>
      <w:r>
        <w:t xml:space="preserve">lower semicontinuous. Therefore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constraints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define closed convex cones, and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unconstrained. Because</w:t>
      </w:r>
      <w:r>
        <w:t xml:space="preserve"> </w:t>
      </w:r>
      <m:oMath>
        <m:sSub>
          <m:e>
            <m:r>
              <m:t>λ</m:t>
            </m:r>
          </m:e>
          <m:sub>
            <m:r>
              <m:t>H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the terms</w:t>
      </w:r>
      <w:r>
        <w:t xml:space="preserve"> </w:t>
      </w:r>
      <m:oMath>
        <m:f>
          <m:fPr>
            <m:type m:val="lin"/>
          </m:fPr>
          <m:num>
            <m:sSub>
              <m:e>
                <m:r>
                  <m:t>λ</m:t>
                </m:r>
              </m:e>
              <m:sub>
                <m:r>
                  <m:t>H</m:t>
                </m:r>
              </m:sub>
            </m:sSub>
          </m:num>
          <m:den>
            <m:r>
              <m:t>n</m:t>
            </m:r>
            <m:r>
              <m:t>k</m:t>
            </m:r>
          </m:den>
        </m:f>
        <m:r>
          <m:rPr>
            <m:sty m:val="p"/>
          </m:rPr>
          <m:t>∥</m:t>
        </m:r>
        <m:r>
          <m:t>H</m:t>
        </m:r>
        <m:sSubSup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f>
          <m:fPr>
            <m:type m:val="lin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ξ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t>β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dominate the objective as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∥</m:t>
        </m:r>
        <m:r>
          <m:t>β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respectively. Thus the</w:t>
      </w:r>
      <w:r>
        <w:t xml:space="preserve"> </w:t>
      </w:r>
      <w:r>
        <w:t xml:space="preserve">sublevel set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bounded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. Since</w:t>
      </w:r>
      <w:r>
        <w:t xml:space="preserve"> </w:t>
      </w:r>
      <m:oMath>
        <m:r>
          <m:t>W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fixed, the reconstruction term and Cox term</w:t>
      </w:r>
      <w:r>
        <w:t xml:space="preserve"> </w:t>
      </w:r>
      <w:r>
        <w:t xml:space="preserve">being bounded prevent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 diverging while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remains</w:t>
      </w:r>
      <w:r>
        <w:t xml:space="preserve"> </w:t>
      </w:r>
      <w:r>
        <w:t xml:space="preserve">below</w:t>
      </w:r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p>
          </m:e>
        </m:d>
      </m:oMath>
      <w:r>
        <w:t xml:space="preserve">, 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bounded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t>0</m:t>
            </m:r>
          </m:sub>
        </m:sSub>
      </m:oMath>
      <w:r>
        <w:t xml:space="preserve">. Because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closed and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continuous,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closed. Nonemptiness follows from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Cs/>
          <w:b/>
        </w:rPr>
        <w:t xml:space="preserve">Lemma 2 (Monotone descent and existence of limit points).</w:t>
      </w:r>
      <w:r>
        <w:t xml:space="preserve"> </w:t>
      </w:r>
      <w:r>
        <w:t xml:space="preserve">Under</w:t>
      </w:r>
      <w:r>
        <w:t xml:space="preserve"> </w:t>
      </w:r>
      <w:r>
        <w:t xml:space="preserve">Assumptions 1 and 2, Algorithm S</w:t>
      </w:r>
      <w:hyperlink w:anchor="alg:desurv">
        <w:r>
          <w:rPr>
            <w:rStyle w:val="Hyperlink"/>
          </w:rPr>
          <w:t xml:space="preserve">[alg:desurv]</w:t>
        </w:r>
      </w:hyperlink>
      <w:r>
        <w:t xml:space="preserve"> </w:t>
      </w:r>
      <w:r>
        <w:t xml:space="preserve">(without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normalization) generates a sequence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sSub>
          <m:e>
            <m:r>
              <m:rPr>
                <m:sty m:val="p"/>
              </m:rPr>
              <m:t>}</m:t>
            </m:r>
          </m:e>
          <m:sub>
            <m:r>
              <m:t>t</m:t>
            </m:r>
            <m:r>
              <m:rPr>
                <m:sty m:val="p"/>
              </m:rPr>
              <m:t>≥</m:t>
            </m:r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≤</m:t>
          </m:r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t> </m:t>
          </m:r>
          <m:r>
            <m:rPr>
              <m:sty m:val="p"/>
            </m:rPr>
            <m:t>∀</m:t>
          </m:r>
          <m:r>
            <m:t> 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converges to a finite limit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Moreover,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is bounded and</w:t>
      </w:r>
      <w:r>
        <w:t xml:space="preserve"> </w:t>
      </w:r>
      <w:r>
        <w:t xml:space="preserve">therefore admits at least one limit point.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By Assumption 2(i),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≤</m:t>
          </m:r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Assumption 2(ii),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≤</m:t>
          </m:r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Assumption 2(iii),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≤</m:t>
          </m:r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Combining these inequalities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≤</m:t>
          </m:r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t>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is monotonically nonincreasing.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is bounded below on</w:t>
      </w:r>
      <w:r>
        <w:t xml:space="preserve"> </w:t>
      </w:r>
      <m:oMath>
        <m:r>
          <m:t>Θ</m:t>
        </m:r>
      </m:oMath>
      <w:r>
        <w:t xml:space="preserve">, the sequence</w:t>
      </w:r>
      <w:r>
        <w:t xml:space="preserve"> </w:t>
      </w:r>
      <w:r>
        <w:t xml:space="preserve">converges to some finite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iterate lies 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construction, 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bounded by Lemma 1. Therefore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is bounded and has at least one limit point by the Bolzano–Weierstrass</w:t>
      </w:r>
      <w:r>
        <w:t xml:space="preserve"> </w:t>
      </w:r>
      <w:r>
        <w:t xml:space="preserve">theorem.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Cs/>
          <w:b/>
        </w:rPr>
        <w:t xml:space="preserve">Lemma 3 (Blockwise optimality of limit points).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be any limit point of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under Assumptions 1–2. Then:</w:t>
      </w:r>
    </w:p>
    <w:p>
      <w:pPr>
        <w:numPr>
          <w:ilvl w:val="0"/>
          <w:numId w:val="1003"/>
        </w:numPr>
      </w:pP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 the KKT conditions 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H</m:t>
              </m:r>
              <m:r>
                <m:rPr>
                  <m:sty m:val="p"/>
                </m:rPr>
                <m:t>≥</m:t>
              </m:r>
              <m:r>
                <m:t>0</m:t>
              </m:r>
            </m:lim>
          </m:limLow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 the KKT conditions 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≥</m:t>
              </m:r>
              <m:r>
                <m:t>0</m:t>
              </m:r>
            </m:lim>
          </m:limLow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m:oMath>
        <m:sSup>
          <m:e>
            <m:r>
              <m:t>β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unique minimizer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β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k</m:t>
                  </m:r>
                </m:sup>
              </m:sSup>
            </m:lim>
          </m:limLow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3"/>
        </w:numPr>
      </w:pPr>
      <w:r>
        <w:t xml:space="preserve">and satisfies the KKT conditions for the elastic-net Cox subproblem.</w:t>
      </w:r>
    </w:p>
    <w:p>
      <w:pPr>
        <w:pStyle w:val="FirstParagraph"/>
      </w:pPr>
      <w:r>
        <w:rPr>
          <w:iCs/>
          <w:i/>
        </w:rPr>
        <w:t xml:space="preserve">Proof.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 a subsequence such that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sup>
        </m:sSup>
        <m:r>
          <m:rPr>
            <m:sty m:val="p"/>
          </m:rPr>
          <m:t>→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. By continuity of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</m:sup>
            </m:sSup>
          </m:e>
        </m:d>
        <m:r>
          <m:rPr>
            <m:sty m:val="p"/>
          </m:rPr>
          <m:t>→</m:t>
        </m:r>
        <m:sSup>
          <m:e>
            <m:r>
              <m:rPr>
                <m:sty m:val="p"/>
                <m:scr m:val="script"/>
              </m:rP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Conditional 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, the</w:t>
      </w:r>
      <w:r>
        <w:t xml:space="preserve"> </w:t>
      </w:r>
      <m:oMath>
        <m:r>
          <m:t>H</m:t>
        </m:r>
      </m:oMath>
      <w:r>
        <w:t xml:space="preserve">-subproblem is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H</m:t>
              </m:r>
              <m:r>
                <m:rPr>
                  <m:sty m:val="p"/>
                </m:rPr>
                <m:t>≥</m:t>
              </m:r>
              <m:r>
                <m:t>0</m:t>
              </m:r>
            </m:lim>
          </m:limLow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num>
            <m:den>
              <m:r>
                <m:t>n</m:t>
              </m:r>
              <m:r>
                <m:t>p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W</m:t>
              </m:r>
              <m:r>
                <m:t>H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n</m:t>
                  </m:r>
                  <m:r>
                    <m:t>k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H</m:t>
              </m:r>
              <m:sSub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/>
                  </m:d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const in </m:t>
          </m:r>
          <m:r>
            <m:t>H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4"/>
        </w:numPr>
      </w:pPr>
      <w:r>
        <w:t xml:space="preserve">a strictly convex quadratic program. The multiplicative</w:t>
      </w:r>
      <w:r>
        <w:t xml:space="preserve"> </w:t>
      </w:r>
      <w:r>
        <w:t xml:space="preserve">update for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known to be a descent method whose fixed points</w:t>
      </w:r>
      <w:r>
        <w:t xml:space="preserve"> </w:t>
      </w:r>
      <w:r>
        <w:t xml:space="preserve">coincide with the KKT points of this constrained subproblem (Lee and</w:t>
      </w:r>
      <w:r>
        <w:t xml:space="preserve"> </w:t>
      </w:r>
      <w:r>
        <w:t xml:space="preserve">Seung 2001; Lin 2007). Since the full objective</w:t>
      </w:r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</m:oMath>
      <w:r>
        <w:t xml:space="preserve"> </w:t>
      </w:r>
      <w:r>
        <w:t xml:space="preserve">converges, the per-iteration decrease in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due to the</w:t>
      </w:r>
      <w:r>
        <w:t xml:space="preserve"> </w:t>
      </w:r>
      <m:oMath>
        <m:r>
          <m:t>H</m:t>
        </m:r>
      </m:oMath>
      <w:r>
        <w:t xml:space="preserve">-update must vanish along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were not KKT for the</w:t>
      </w:r>
      <w:r>
        <w:t xml:space="preserve"> </w:t>
      </w:r>
      <m:oMath>
        <m:r>
          <m:t>H</m:t>
        </m:r>
      </m:oMath>
      <w:r>
        <w:t xml:space="preserve">-subproblem given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, there would exist a feasible descent direction for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, implying that for sufficiently large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H</m:t>
        </m:r>
      </m:oMath>
      <w:r>
        <w:t xml:space="preserve">-update would still produce a strict decrease in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, contradicting convergence. Hence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r>
        <w:t xml:space="preserve">the KKT conditions.</w:t>
      </w:r>
    </w:p>
    <w:p>
      <w:pPr>
        <w:numPr>
          <w:ilvl w:val="0"/>
          <w:numId w:val="1004"/>
        </w:numPr>
      </w:pPr>
      <w:r>
        <w:t xml:space="preserve">Conditional 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, the</w:t>
      </w:r>
      <w:r>
        <w:t xml:space="preserve"> </w:t>
      </w:r>
      <m:oMath>
        <m:r>
          <m:t>W</m:t>
        </m:r>
      </m:oMath>
      <w:r>
        <w:t xml:space="preserve">-subproblem is differentiable</w:t>
      </w:r>
      <w:r>
        <w:t xml:space="preserve"> </w:t>
      </w:r>
      <w:r>
        <w:t xml:space="preserve">and convex in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(sum of a quadratic term and a negative Cox</w:t>
      </w:r>
      <w:r>
        <w:t xml:space="preserve"> </w:t>
      </w:r>
      <w:r>
        <w:t xml:space="preserve">partial log-likelihood in a linear predictor). The hybrid</w:t>
      </w:r>
      <w:r>
        <w:t xml:space="preserve"> </w:t>
      </w:r>
      <w:r>
        <w:t xml:space="preserve">multiplicative step with backtracking can be viewed as a projected</w:t>
      </w:r>
      <w:r>
        <w:t xml:space="preserve"> </w:t>
      </w:r>
      <w:r>
        <w:t xml:space="preserve">gradient-like update onto the nonnegative orthant: as shown in the</w:t>
      </w:r>
      <w:r>
        <w:t xml:space="preserve"> </w:t>
      </w:r>
      <w:r>
        <w:t xml:space="preserve">derivation above, the multiplicative direction is equivalent to a</w:t>
      </w:r>
      <w:r>
        <w:t xml:space="preserve"> </w:t>
      </w:r>
      <w:r>
        <w:t xml:space="preserve">negative gradient step with the adaptive step size of Seung et al.,</w:t>
      </w:r>
      <w:r>
        <w:t xml:space="preserve"> </w:t>
      </w:r>
      <w:r>
        <w:t xml:space="preserve">projected onto the nonnegative orthant. Under mild conditions on the</w:t>
      </w:r>
      <w:r>
        <w:t xml:space="preserve"> </w:t>
      </w:r>
      <w:r>
        <w:t xml:space="preserve">search direction and step sizes, any limit point of such a projected</w:t>
      </w:r>
      <w:r>
        <w:t xml:space="preserve"> </w:t>
      </w:r>
      <w:r>
        <w:t xml:space="preserve">gradient scheme is a KKT point for the constrained subproblem; see,</w:t>
      </w:r>
      <w:r>
        <w:t xml:space="preserve"> </w:t>
      </w:r>
      <w:r>
        <w:t xml:space="preserve">for example, (Tseng 2001; Grippo and Sciandrone 2000). If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did</w:t>
      </w:r>
      <w:r>
        <w:t xml:space="preserve"> </w:t>
      </w:r>
      <w:r>
        <w:t xml:space="preserve">not satisfy the KKT conditions, there would be a feasible descent</w:t>
      </w:r>
      <w:r>
        <w:t xml:space="preserve"> </w:t>
      </w:r>
      <w:r>
        <w:t xml:space="preserve">direction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and a sufficiently small step that</w:t>
      </w:r>
      <w:r>
        <w:t xml:space="preserve"> </w:t>
      </w:r>
      <w:r>
        <w:t xml:space="preserve">reduces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, which the line search would eventually</w:t>
      </w:r>
      <w:r>
        <w:t xml:space="preserve"> </w:t>
      </w:r>
      <w:r>
        <w:t xml:space="preserve">accept. This would contradict the fact that</w:t>
      </w:r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</m:sup>
            </m:sSup>
          </m:e>
        </m:d>
        <m:r>
          <m:rPr>
            <m:sty m:val="p"/>
          </m:rPr>
          <m:t>→</m:t>
        </m:r>
        <m:sSup>
          <m:e>
            <m:r>
              <m:rPr>
                <m:sty m:val="p"/>
                <m:scr m:val="script"/>
              </m:rP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Therefore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KKT for the</w:t>
      </w:r>
      <w:r>
        <w:t xml:space="preserve"> </w:t>
      </w:r>
      <m:oMath>
        <m:r>
          <m:t>W</m:t>
        </m:r>
      </m:oMath>
      <w:r>
        <w:t xml:space="preserve">-subproblem.</w:t>
      </w:r>
    </w:p>
    <w:p>
      <w:pPr>
        <w:numPr>
          <w:ilvl w:val="0"/>
          <w:numId w:val="1004"/>
        </w:numPr>
      </w:pPr>
      <w:r>
        <w:t xml:space="preserve">For fixed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, the</w:t>
      </w:r>
      <w:r>
        <w:t xml:space="preserve"> </w:t>
      </w:r>
      <m:oMath>
        <m:r>
          <m:t>β</m:t>
        </m:r>
      </m:oMath>
      <w:r>
        <w:t xml:space="preserve">-subproblem is the convex</w:t>
      </w:r>
      <w:r>
        <w:t xml:space="preserve"> </w:t>
      </w:r>
      <w:r>
        <w:t xml:space="preserve">elastic-net penalized Cox objective. The coordinate descent algorithm</w:t>
      </w:r>
      <w:r>
        <w:t xml:space="preserve"> </w:t>
      </w:r>
      <w:r>
        <w:t xml:space="preserve">converges to the unique minimizer. By Assumption</w:t>
      </w:r>
      <w:r>
        <w:t xml:space="preserve"> </w:t>
      </w:r>
      <w:r>
        <w:t xml:space="preserve">2(iii),</w:t>
      </w:r>
      <m:oMath>
        <m:sSup>
          <m:e>
            <m:r>
              <m:t>β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is taken to be this minimizer at each</w:t>
      </w:r>
      <w:r>
        <w:t xml:space="preserve"> </w:t>
      </w:r>
      <w:r>
        <w:t xml:space="preserve">iteration. Passing to the limit along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shows that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unique minimizer of the</w:t>
      </w:r>
      <w:r>
        <w:t xml:space="preserve"> </w:t>
      </w:r>
      <m:oMath>
        <m:r>
          <m:t>β</m:t>
        </m:r>
      </m:oMath>
      <w:r>
        <w:t xml:space="preserve">-block given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and hence satisfies its KKT conditions.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FirstParagraph"/>
      </w:pPr>
      <w:r>
        <w:rPr>
          <w:bCs/>
          <w:b/>
        </w:rPr>
        <w:t xml:space="preserve">Theorem 1 (Convergence to a stationary point).</w:t>
      </w:r>
      <w:r>
        <w:t xml:space="preserve"> </w:t>
      </w:r>
      <w:r>
        <w:t xml:space="preserve">Under</w:t>
      </w:r>
      <w:r>
        <w:t xml:space="preserve"> </w:t>
      </w:r>
      <w:r>
        <w:t xml:space="preserve">Assumptions 1 and 2, the sequence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produced by</w:t>
      </w:r>
      <w:r>
        <w:t xml:space="preserve"> </w:t>
      </w:r>
      <w:r>
        <w:t xml:space="preserve">Algorithm S</w:t>
      </w:r>
      <w:hyperlink w:anchor="alg:desurv">
        <w:r>
          <w:rPr>
            <w:rStyle w:val="Hyperlink"/>
          </w:rPr>
          <w:t xml:space="preserve">[alg:desurv]</w:t>
        </w:r>
      </w:hyperlink>
      <w:r>
        <w:t xml:space="preserve"> </w:t>
      </w:r>
      <w:r>
        <w:t xml:space="preserve">(without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normalization) satisfies:</w:t>
      </w:r>
    </w:p>
    <w:p>
      <w:pPr>
        <w:numPr>
          <w:ilvl w:val="0"/>
          <w:numId w:val="1005"/>
        </w:numPr>
      </w:pPr>
      <w:r>
        <w:t xml:space="preserve">The objective values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are monotonically</w:t>
      </w:r>
      <w:r>
        <w:t xml:space="preserve"> </w:t>
      </w:r>
      <w:r>
        <w:t xml:space="preserve">nonincreasing and converge to a finite limit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Every limit point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β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Θ</m:t>
        </m:r>
      </m:oMath>
      <w:r>
        <w:t xml:space="preserve">, i.e. it satisfies</w:t>
      </w:r>
      <w:r>
        <w:t xml:space="preserve"> </w:t>
      </w:r>
      <w:r>
        <w:t xml:space="preserve">the first-order KKT conditions 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  <m:r>
                <m:rPr>
                  <m:sty m:val="p"/>
                </m:rPr>
                <m:t>∈</m:t>
              </m:r>
              <m:r>
                <m:t>Θ</m:t>
              </m:r>
            </m:lim>
          </m:limLow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Proof.</w:t>
      </w:r>
      <w:r>
        <w:t xml:space="preserve"> </w:t>
      </w:r>
      <w:r>
        <w:t xml:space="preserve">Part (a) is Lemma 2. For part (b), Lemma 3 shows that any</w:t>
      </w:r>
      <w:r>
        <w:t xml:space="preserve"> </w:t>
      </w:r>
      <w:r>
        <w:t xml:space="preserve">limit point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blockwise optimal: each block is optimal (in</w:t>
      </w:r>
      <w:r>
        <w:t xml:space="preserve"> </w:t>
      </w:r>
      <w:r>
        <w:t xml:space="preserve">the KKT sense) when the others are held fixed.</w:t>
      </w:r>
    </w:p>
    <w:p>
      <w:pPr>
        <w:pStyle w:val="BodyText"/>
      </w:pPr>
      <w:r>
        <w:t xml:space="preserve">The DeSurv loss can be written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+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{</m:t>
              </m:r>
              <m:r>
                <m:t>W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}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{</m:t>
              </m:r>
              <m:r>
                <m:t>H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}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continuously differentiable,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λ</m:t>
        </m:r>
        <m:r>
          <m:t>ξ</m:t>
        </m:r>
        <m:r>
          <m:rPr>
            <m:sty m:val="p"/>
          </m:rPr>
          <m:t>∥</m:t>
        </m:r>
        <m:r>
          <m:t>β</m:t>
        </m:r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separable convex (possibly</w:t>
      </w:r>
      <w:r>
        <w:t xml:space="preserve"> </w:t>
      </w:r>
      <w:r>
        <w:t xml:space="preserve">nondifferentiable) penalty, and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denotes the indicator of a</w:t>
      </w:r>
      <w:r>
        <w:t xml:space="preserve"> </w:t>
      </w:r>
      <w:r>
        <w:t xml:space="preserve">closed convex set</w:t>
      </w:r>
      <w:r>
        <w:t xml:space="preserve"> </w:t>
      </w:r>
      <m:oMath>
        <m:r>
          <m:t>C</m:t>
        </m:r>
      </m:oMath>
      <w:r>
        <w:t xml:space="preserve">. This is the smooth+nonsmooth composite form</w:t>
      </w:r>
      <w:r>
        <w:t xml:space="preserve"> </w:t>
      </w:r>
      <w:r>
        <w:t xml:space="preserve">considered in block coordinate descent analyses such as (Tseng 2001). In</w:t>
      </w:r>
      <w:r>
        <w:t xml:space="preserve"> </w:t>
      </w:r>
      <w:r>
        <w:t xml:space="preserve">this setting, any point that is optimal with respect to each block</w:t>
      </w:r>
      <w:r>
        <w:t xml:space="preserve"> </w:t>
      </w:r>
      <w:r>
        <w:t xml:space="preserve">individually (a block coordinatewise minimizer) is a stationary point</w:t>
      </w:r>
      <w:r>
        <w:t xml:space="preserve"> </w:t>
      </w:r>
      <w:r>
        <w:t xml:space="preserve">for the full problem: equivalently,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∈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rPr>
              <m:sty m:val="p"/>
            </m:rPr>
            <m:t>∂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{</m:t>
              </m:r>
              <m:r>
                <m:t>W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}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rPr>
              <m:sty m:val="p"/>
            </m:rPr>
            <m:t>∂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{</m:t>
              </m:r>
              <m:r>
                <m:t>H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}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∈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rPr>
              <m:sty m:val="p"/>
            </m:rPr>
            <m:t>∂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are precisely the KKT conditions for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θ</m:t>
            </m:r>
            <m:r>
              <m:rPr>
                <m:sty m:val="p"/>
              </m:rPr>
              <m:t>∈</m:t>
            </m:r>
            <m:r>
              <m:t>Θ</m:t>
            </m:r>
          </m:sub>
        </m:sSub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. Hence every limit point</w:t>
      </w:r>
      <w:r>
        <w:t xml:space="preserve"> </w:t>
      </w:r>
      <w:r>
        <w:t xml:space="preserve">of Algorithm S</w:t>
      </w:r>
      <w:hyperlink w:anchor="alg:desurv">
        <w:r>
          <w:rPr>
            <w:rStyle w:val="Hyperlink"/>
          </w:rPr>
          <w:t xml:space="preserve">[alg:desurv]</w:t>
        </w:r>
      </w:hyperlink>
      <w:r>
        <w:t xml:space="preserve"> </w:t>
      </w:r>
      <w:r>
        <w:t xml:space="preserve">is stationary.</w:t>
      </w:r>
      <w:r>
        <w:t xml:space="preserve"> </w:t>
      </w:r>
      <m:oMath>
        <m:r>
          <m:rPr>
            <m:sty m:val="p"/>
          </m:rPr>
          <m:t>▫</m:t>
        </m:r>
      </m:oMath>
    </w:p>
    <w:bookmarkStart w:id="28" w:name="subsec:conv_normalization"/>
    <w:p>
      <w:pPr>
        <w:pStyle w:val="Heading2"/>
      </w:pPr>
      <w:r>
        <w:t xml:space="preserve">Effect of column normalization of</w:t>
      </w:r>
      <w:r>
        <w:t xml:space="preserve"> </w:t>
      </w:r>
      <m:oMath>
        <m:r>
          <m:t>W</m:t>
        </m:r>
      </m:oMath>
    </w:p>
    <w:p>
      <w:pPr>
        <w:pStyle w:val="FirstParagraph"/>
      </w:pPr>
      <w:r>
        <w:t xml:space="preserve">The above analysis omits the column-normalization step for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used in</w:t>
      </w:r>
      <w:r>
        <w:t xml:space="preserve"> </w:t>
      </w:r>
      <w:r>
        <w:t xml:space="preserve">Algorithm S</w:t>
      </w:r>
      <w:hyperlink w:anchor="alg:backtrack">
        <w:r>
          <w:rPr>
            <w:rStyle w:val="Hyperlink"/>
          </w:rPr>
          <w:t xml:space="preserve">[alg:backtrack]</w:t>
        </w:r>
      </w:hyperlink>
      <w:r>
        <w:t xml:space="preserve">. We briefly argue that this normalization</w:t>
      </w:r>
      <w:r>
        <w:t xml:space="preserve"> </w:t>
      </w:r>
      <w:r>
        <w:t xml:space="preserve">does not affect stationarity of limit points.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diagonal matrix with strictly positive diagonal entries.</w:t>
      </w:r>
      <w:r>
        <w:t xml:space="preserve"> </w:t>
      </w:r>
      <w:r>
        <w:t xml:space="preserve">The transformation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↦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D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D</m:t>
              </m:r>
              <m:r>
                <m:t>β</m:t>
              </m:r>
            </m:e>
          </m:d>
        </m:oMath>
      </m:oMathPara>
    </w:p>
    <w:p>
      <w:pPr>
        <w:pStyle w:val="FirstParagraph"/>
      </w:pPr>
      <w:r>
        <w:t xml:space="preserve">preserves both the product</w:t>
      </w:r>
      <w:r>
        <w:t xml:space="preserve"> </w:t>
      </w:r>
      <m:oMath>
        <m:r>
          <m:t>W</m:t>
        </m:r>
        <m:r>
          <m:t>H</m:t>
        </m:r>
      </m:oMath>
      <w:r>
        <w:t xml:space="preserve"> </w:t>
      </w:r>
      <w:r>
        <w:t xml:space="preserve">and the linear predictor</w:t>
      </w:r>
      <w:r>
        <w:t xml:space="preserve"> </w:t>
      </w:r>
      <m:oMath>
        <m:r>
          <m:t>W</m:t>
        </m:r>
        <m:r>
          <m:t>β</m:t>
        </m:r>
      </m:oMath>
      <w:r>
        <w:t xml:space="preserve">, and hence leaves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invariant. The</w:t>
      </w:r>
      <w:r>
        <w:t xml:space="preserve"> </w:t>
      </w:r>
      <w:r>
        <w:t xml:space="preserve">column-normalization step is exactly such a transformation,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chosen from the column norms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be the sequence generated by the algorithm</w:t>
      </w:r>
      <w:r>
        <w:t xml:space="preserve"> </w:t>
      </w:r>
      <w:r>
        <w:t xml:space="preserve">without normalization, and let</w:t>
      </w:r>
      <w:r>
        <w:t xml:space="preserve"> </w:t>
      </w:r>
      <m:oMath>
        <m:r>
          <m:rPr>
            <m:sty m:val="p"/>
          </m:rPr>
          <m:t>{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be the</w:t>
      </w:r>
      <w:r>
        <w:t xml:space="preserve"> </w:t>
      </w:r>
      <w:r>
        <w:t xml:space="preserve">sequence with normalization. For each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there exists a diagonal</w:t>
      </w:r>
      <w:r>
        <w:t xml:space="preserve"> </w:t>
      </w:r>
      <m:oMath>
        <m:sSup>
          <m:e>
            <m:r>
              <m:t>D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 </w:t>
      </w:r>
      <w:r>
        <w:t xml:space="preserve">with strictly positive entries such that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sSup>
                <m:e>
                  <m:r>
                    <m:t>D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D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sSup>
                <m:e>
                  <m:r>
                    <m:t>H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D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  <m:sSup>
                <m:e>
                  <m:r>
                    <m:t>β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</m:oMath>
      <w:r>
        <w:t xml:space="preserve">. Thus</w:t>
      </w:r>
      <w:r>
        <w:t xml:space="preserve"> </w:t>
      </w:r>
      <w:r>
        <w:t xml:space="preserve">limit points of</w:t>
      </w:r>
      <w:r>
        <w:t xml:space="preserve"> </w:t>
      </w:r>
      <m:oMath>
        <m:r>
          <m:rPr>
            <m:sty m:val="p"/>
          </m:rPr>
          <m:t>{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are obtained from limit</w:t>
      </w:r>
      <w:r>
        <w:t xml:space="preserve"> </w:t>
      </w:r>
      <w:r>
        <w:t xml:space="preserve">points of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by such invertible diagonal scalings.</w:t>
      </w:r>
    </w:p>
    <w:p>
      <w:pPr>
        <w:pStyle w:val="BodyText"/>
      </w:pPr>
      <w:r>
        <w:t xml:space="preserve">Since the KKT conditions are expressed in terms of the gradients with</w:t>
      </w:r>
      <w:r>
        <w:t xml:space="preserve"> </w:t>
      </w:r>
      <w:r>
        <w:t xml:space="preserve">respect to</w:t>
      </w:r>
      <w:r>
        <w:t xml:space="preserve"> </w:t>
      </w:r>
      <m:oMath>
        <m:r>
          <m:t>W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t>β</m:t>
        </m:r>
      </m:oMath>
      <w:r>
        <w:t xml:space="preserve">, and these quantities are invariant</w:t>
      </w:r>
      <w:r>
        <w:t xml:space="preserve"> </w:t>
      </w:r>
      <w:r>
        <w:t xml:space="preserve">under the above scaling, stationarity is preserved under the</w:t>
      </w:r>
      <w:r>
        <w:t xml:space="preserve"> </w:t>
      </w:r>
      <w:r>
        <w:t xml:space="preserve">transformation. Therefore Theorem 1 implies that every limit point of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normalized</w:t>
      </w:r>
      <w:r>
        <w:t xml:space="preserve"> </w:t>
      </w:r>
      <w:r>
        <w:t xml:space="preserve">algorithm is also a stationary point of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(up to this scaling equivalence), which establishes</w:t>
      </w:r>
      <w:r>
        <w:t xml:space="preserve"> </w:t>
      </w:r>
      <w:r>
        <w:t xml:space="preserve">convergence of the implementation used in practice.</w:t>
      </w:r>
    </w:p>
    <w:bookmarkEnd w:id="28"/>
    <w:bookmarkStart w:id="29" w:name="remark-coxnet-implementation"/>
    <w:p>
      <w:pPr>
        <w:pStyle w:val="Heading2"/>
      </w:pPr>
      <w:r>
        <w:t xml:space="preserve">Remark (Coxnet implementation)</w:t>
      </w:r>
    </w:p>
    <w:p>
      <w:pPr>
        <w:pStyle w:val="FirstParagraph"/>
      </w:pPr>
      <w:r>
        <w:t xml:space="preserve">Our implementation updates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block using a Coxnet-style</w:t>
      </w:r>
      <w:r>
        <w:t xml:space="preserve"> </w:t>
      </w:r>
      <w:r>
        <w:t xml:space="preserve">coordinate descent that relies on an approximate Hessian. Consequently,</w:t>
      </w:r>
      <w:r>
        <w:t xml:space="preserve"> </w:t>
      </w:r>
      <w:r>
        <w:t xml:space="preserve">the formal optimality proof is established for an idealized version of</w:t>
      </w:r>
      <w:r>
        <w:t xml:space="preserve"> </w:t>
      </w:r>
      <w:r>
        <w:t xml:space="preserve">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update that assumes exact second-order information.</w:t>
      </w:r>
      <w:r>
        <w:t xml:space="preserve"> </w:t>
      </w:r>
      <w:r>
        <w:t xml:space="preserve">Nonetheless, in empirical applications the approximate update is</w:t>
      </w:r>
      <w:r>
        <w:t xml:space="preserve"> </w:t>
      </w:r>
      <w:r>
        <w:t xml:space="preserve">numerically stable and yields a monotone decrease in the objective,</w:t>
      </w:r>
      <w:r>
        <w:t xml:space="preserve"> </w:t>
      </w:r>
      <w:r>
        <w:t xml:space="preserve">consistent with the behavior predicted by the idealized analysis.</w:t>
      </w:r>
    </w:p>
    <w:bookmarkEnd w:id="29"/>
    <w:bookmarkEnd w:id="30"/>
    <w:bookmarkStart w:id="31" w:name="supervision-on-w-versus-h"/>
    <w:p>
      <w:pPr>
        <w:pStyle w:val="Heading1"/>
      </w:pPr>
      <w:r>
        <w:t xml:space="preserve">Supervision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H</m:t>
        </m:r>
      </m:oMath>
    </w:p>
    <w:p>
      <w:pPr>
        <w:pStyle w:val="FirstParagraph"/>
      </w:pPr>
      <w:r>
        <w:t xml:space="preserve">Classical nonnegative matrix factorization (NMF) is non-identifiable:</w:t>
      </w:r>
      <w:r>
        <w:t xml:space="preserve"> </w:t>
      </w:r>
      <w:r>
        <w:t xml:space="preserve">for any invertible matrix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nonnegative entries, the</w:t>
      </w:r>
      <w:r>
        <w:t xml:space="preserve"> </w:t>
      </w:r>
      <w:r>
        <w:t xml:space="preserve">factorization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 </w:t>
      </w:r>
      <w:r>
        <w:t xml:space="preserve">can be transformed to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t>R</m:t>
            </m:r>
            <m:r>
              <m:rPr>
                <m:sty m:val="p"/>
              </m:rPr>
              <m:t>,</m:t>
            </m:r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H</m:t>
            </m:r>
          </m:e>
        </m:d>
      </m:oMath>
      <w:r>
        <w:t xml:space="preserve"> </w:t>
      </w:r>
      <w:r>
        <w:t xml:space="preserve">without changing the reconstruction error, yielding multiple valid</w:t>
      </w:r>
      <w:r>
        <w:t xml:space="preserve"> </w:t>
      </w:r>
      <w:r>
        <w:t xml:space="preserve">solutions (Donoho and Stodden 2004; Laurberg et al. 2008; Gillis 2014).</w:t>
      </w:r>
      <w:r>
        <w:t xml:space="preserve"> </w:t>
      </w:r>
      <w:r>
        <w:t xml:space="preserve">Although normalizing columns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rows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resolves the</w:t>
      </w:r>
      <w:r>
        <w:t xml:space="preserve"> </w:t>
      </w:r>
      <w:r>
        <w:t xml:space="preserve">trivial scaling ambiguity, nonnegative mixing transformations persist,</w:t>
      </w:r>
      <w:r>
        <w:t xml:space="preserve"> </w:t>
      </w:r>
      <w:r>
        <w:t xml:space="preserve">and empirical studies consistently show that the sample-loading 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more sensitive to initialization and local minima than the</w:t>
      </w:r>
      <w:r>
        <w:t xml:space="preserve"> </w:t>
      </w:r>
      <w:r>
        <w:t xml:space="preserve">program matrix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(Brunet et al. 2004; Kim and Park 2007; Gillis and</w:t>
      </w:r>
      <w:r>
        <w:t xml:space="preserve"> </w:t>
      </w:r>
      <w:r>
        <w:t xml:space="preserve">Glineur 2012).</w:t>
      </w:r>
    </w:p>
    <w:p>
      <w:pPr>
        <w:pStyle w:val="BodyText"/>
      </w:pPr>
      <w:r>
        <w:t xml:space="preserve">In DeSurv, survival supervision enters through the projection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</m:oMath>
      <w:r>
        <w:t xml:space="preserve"> </w:t>
      </w:r>
      <w:r>
        <w:t xml:space="preserve">in the partial log-likelihood, so that the gradient of</w:t>
      </w:r>
      <w:r>
        <w:t xml:space="preserve"> </w:t>
      </w:r>
      <w:r>
        <w:t xml:space="preserve">the DeSurv loss with respect to the programs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rPr>
              <m:sty m:val="p"/>
            </m:rPr>
            <m:t>−</m:t>
          </m:r>
          <m:r>
            <m:t>α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therefore the update rule for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as in Equation</w:t>
      </w:r>
      <w:r>
        <w:t xml:space="preserve"> </w:t>
      </w:r>
      <w:hyperlink w:anchor="eqn:W_update">
        <w:r>
          <w:rPr>
            <w:rStyle w:val="Hyperlink"/>
          </w:rPr>
          <w:t xml:space="preserve">[eqn:W_update]</w:t>
        </w:r>
      </w:hyperlink>
      <w:r>
        <w:t xml:space="preserve"> </w:t>
      </w:r>
      <w:r>
        <w:t xml:space="preserve">relies on both the reconstruction term and the</w:t>
      </w:r>
      <w:r>
        <w:t xml:space="preserve"> </w:t>
      </w:r>
      <w:r>
        <w:t xml:space="preserve">supervision term. As such, the gene-program definitions are directly</w:t>
      </w:r>
      <w:r>
        <w:t xml:space="preserve"> </w:t>
      </w:r>
      <w:r>
        <w:t xml:space="preserve">shaped by their association with survival. This mechanism amplifies</w:t>
      </w:r>
      <w:r>
        <w:t xml:space="preserve"> </w:t>
      </w:r>
      <w:r>
        <w:t xml:space="preserve">genes aligned with the hazard gradient and suppresses those that dilute</w:t>
      </w:r>
      <w:r>
        <w:t xml:space="preserve"> </w:t>
      </w:r>
      <w:r>
        <w:t xml:space="preserve">prognostic structure, ensuring that the learned programs encode</w:t>
      </w:r>
      <w:r>
        <w:t xml:space="preserve"> </w:t>
      </w:r>
      <w:r>
        <w:t xml:space="preserve">survival-relevant biological variation.</w:t>
      </w:r>
    </w:p>
    <w:p>
      <w:pPr>
        <w:pStyle w:val="BodyText"/>
      </w:pPr>
      <w:r>
        <w:t xml:space="preserve">By contrast, if supervision were applied to the sample loadings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the model could reduce the Cox loss by redistributing patient-specific</w:t>
      </w:r>
      <w:r>
        <w:t xml:space="preserve"> </w:t>
      </w:r>
      <w:r>
        <w:t xml:space="preserve">coefficients while leaving the gene-level programs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nearly</w:t>
      </w:r>
      <w:r>
        <w:t xml:space="preserve"> </w:t>
      </w:r>
      <w:r>
        <w:t xml:space="preserve">unchanged, a behavior documented in multiple supervised variants of NMF</w:t>
      </w:r>
      <w:r>
        <w:t xml:space="preserve"> </w:t>
      </w:r>
      <w:r>
        <w:t xml:space="preserve">and supervised topic models, where supervision applied only to the</w:t>
      </w:r>
      <w:r>
        <w:t xml:space="preserve"> </w:t>
      </w:r>
      <w:r>
        <w:t xml:space="preserve">coefficient matrix modifies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but not the basis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(Cai, He, and</w:t>
      </w:r>
      <w:r>
        <w:t xml:space="preserve"> </w:t>
      </w:r>
      <w:r>
        <w:t xml:space="preserve">Han 2011; Wang et al. 2014; Blei and McAuliffe 2007).</w:t>
      </w:r>
    </w:p>
    <w:p>
      <w:pPr>
        <w:pStyle w:val="BodyText"/>
      </w:pPr>
      <w:r>
        <w:t xml:space="preserve">Supervising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also provides a practical advantage for</w:t>
      </w:r>
      <w:r>
        <w:t xml:space="preserve"> </w:t>
      </w:r>
      <w:r>
        <w:rPr>
          <w:bCs/>
          <w:b/>
        </w:rPr>
        <w:t xml:space="preserve">portability</w:t>
      </w:r>
      <w:r>
        <w:t xml:space="preserve">: because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defines gene-level programs, new</w:t>
      </w:r>
      <w:r>
        <w:t xml:space="preserve"> </w:t>
      </w:r>
      <w:r>
        <w:t xml:space="preserve">samples can be embedded by the closed-form projection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rPr>
                <m:nor/>
                <m:sty m:val="p"/>
              </m:rPr>
              <m:t>new</m:t>
            </m:r>
          </m:sub>
          <m:sup>
            <m:r>
              <m:rPr>
                <m:sty m:val="p"/>
              </m:rPr>
              <m:t>⊤</m:t>
            </m:r>
          </m:sup>
        </m:sSubSup>
        <m:r>
          <m:t>W</m:t>
        </m:r>
      </m:oMath>
      <w:r>
        <w:t xml:space="preserve">. In contrast, supervising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would not yield such a mapping; instead, obtaining sample loadings</w:t>
      </w:r>
      <w:r>
        <w:t xml:space="preserve"> </w:t>
      </w:r>
      <w:r>
        <w:t xml:space="preserve">for external datasets would require solving a nonnegative least-squares</w:t>
      </w:r>
      <w:r>
        <w:t xml:space="preserve"> </w:t>
      </w:r>
      <w:r>
        <w:t xml:space="preserve">(NNLS) problem for each new sample, introducing optimization noise and</w:t>
      </w:r>
      <w:r>
        <w:t xml:space="preserve"> </w:t>
      </w:r>
      <w:r>
        <w:t xml:space="preserve">reducing reproducibility.</w:t>
      </w:r>
    </w:p>
    <w:p>
      <w:pPr>
        <w:pStyle w:val="BodyText"/>
      </w:pPr>
      <w:r>
        <w:t xml:space="preserve">Together, these considerations motivate supervising through</w:t>
      </w:r>
      <w:r>
        <w:t xml:space="preserve"> </w:t>
      </w:r>
      <m:oMath>
        <m:r>
          <m:t>W</m:t>
        </m:r>
      </m:oMath>
      <w:r>
        <w:t xml:space="preserve">, which</w:t>
      </w:r>
      <w:r>
        <w:t xml:space="preserve"> </w:t>
      </w:r>
      <w:r>
        <w:t xml:space="preserve">shapes the gene programs toward prognostic directions, stabilizes</w:t>
      </w:r>
      <w:r>
        <w:t xml:space="preserve"> </w:t>
      </w:r>
      <w:r>
        <w:t xml:space="preserve">solutions across initializations, and yields biologically interpretable</w:t>
      </w:r>
      <w:r>
        <w:t xml:space="preserve"> </w:t>
      </w:r>
      <w:r>
        <w:t xml:space="preserve">signatures that generalize across cohorts.</w:t>
      </w:r>
    </w:p>
    <w:bookmarkEnd w:id="31"/>
    <w:bookmarkStart w:id="32" w:name="cross-validation-procedure"/>
    <w:p>
      <w:pPr>
        <w:pStyle w:val="Heading1"/>
      </w:pPr>
      <w:r>
        <w:t xml:space="preserve">Cross-validation procedure</w:t>
      </w:r>
    </w:p>
    <w:p>
      <w:pPr>
        <w:pStyle w:val="FirstParagraph"/>
      </w:pPr>
      <w:r>
        <w:t xml:space="preserve">Algorithm S</w:t>
      </w:r>
      <w:hyperlink w:anchor="alg:cv">
        <w:r>
          <w:rPr>
            <w:rStyle w:val="Hyperlink"/>
          </w:rPr>
          <w:t xml:space="preserve">[alg:cv]</w:t>
        </w:r>
      </w:hyperlink>
      <w:r>
        <w:t xml:space="preserve"> </w:t>
      </w:r>
      <w:r>
        <w:t xml:space="preserve">describes the cross validation procedure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folds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initializations. We define the c-index using</w:t>
      </w:r>
      <w:r>
        <w:t xml:space="preserve"> </w:t>
      </w:r>
      <w:r>
        <w:t xml:space="preserve">comparable pairs</w:t>
      </w:r>
      <w:r>
        <w:t xml:space="preserve"> </w:t>
      </w:r>
      <m:oMath>
        <m:r>
          <m:rPr>
            <m:sty m:val="p"/>
            <m:scr m:val="script"/>
          </m:rP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  <m:r>
          <m:rPr>
            <m:sty m:val="p"/>
          </m:rPr>
          <m:t>: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 linear predictors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η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P</m:t>
                  </m:r>
                </m:e>
              </m:d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P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  <m:scr m:val="double-struck"/>
                    </m:rPr>
                    <m:t>1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η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&gt;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η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  <m:scr m:val="double-struck"/>
                    </m:rPr>
                    <m:t>1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η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η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Number of folds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Number of initializations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data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δ</m:t>
        </m:r>
      </m:oMath>
      <w:r>
        <w:t xml:space="preserve">)</w:t>
      </w:r>
      <w:r>
        <w:t xml:space="preserve"> </w:t>
      </w:r>
      <w:r>
        <w:t xml:space="preserve">Hyperparameters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t>ξ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The cross-validated c-index</w:t>
      </w:r>
    </w:p>
    <w:p>
      <w:pPr>
        <w:pStyle w:val="BodyText"/>
      </w:pPr>
      <w:r>
        <w:t xml:space="preserve">Divide subjects into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folds.</w:t>
      </w:r>
      <w:r>
        <w:t xml:space="preserve"> </w:t>
      </w:r>
      <w:r>
        <w:t xml:space="preserve">Split data into training and validation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</m:e>
                </m:d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</m:e>
                </m:d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</m:e>
                </m:d>
              </m:sub>
            </m:sSub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</m:e>
                </m:d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</m:e>
                </m:d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</m:e>
                </m:d>
              </m:sub>
            </m:sSub>
          </m:e>
        </m:d>
      </m:oMath>
      <w:r>
        <w:t xml:space="preserve"> </w:t>
      </w:r>
      <w:r>
        <w:t xml:space="preserve">sets</w:t>
      </w:r>
      <w:r>
        <w:t xml:space="preserve"> </w:t>
      </w:r>
      <w:r>
        <w:t xml:space="preserve">set.seed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 </w:t>
      </w:r>
      <w:r>
        <w:t xml:space="preserve">Apply Algorithm</w:t>
      </w:r>
      <w:r>
        <w:t xml:space="preserve"> </w:t>
      </w:r>
      <w:hyperlink w:anchor="alg:desurv">
        <w:r>
          <w:rPr>
            <w:rStyle w:val="Hyperlink"/>
          </w:rPr>
          <w:t xml:space="preserve">[alg:desurv]</w:t>
        </w:r>
      </w:hyperlink>
      <w:r>
        <w:t xml:space="preserve"> </w:t>
      </w:r>
      <w:r>
        <w:t xml:space="preserve">with inputs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</m:e>
                </m:d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</m:e>
                </m:d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</m:e>
                </m:d>
              </m:sub>
            </m:sSub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,</m:t>
            </m:r>
            <m:r>
              <m:t>λ</m:t>
            </m:r>
            <m:r>
              <m:rPr>
                <m:sty m:val="p"/>
              </m:rPr>
              <m:t>,</m:t>
            </m:r>
            <m:r>
              <m:t>ξ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H</m:t>
                </m:r>
              </m:sub>
            </m:sSub>
          </m:e>
        </m:d>
      </m:oMath>
      <w:r>
        <w:t xml:space="preserve"> </w:t>
      </w:r>
      <w:r>
        <w:t xml:space="preserve">Obtain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as output from Algorithm</w:t>
      </w:r>
      <w:r>
        <w:t xml:space="preserve"> </w:t>
      </w:r>
      <w:hyperlink w:anchor="alg:desurv">
        <w:r>
          <w:rPr>
            <w:rStyle w:val="Hyperlink"/>
          </w:rPr>
          <w:t xml:space="preserve">[alg:desurv]</w:t>
        </w:r>
      </w:hyperlink>
      <w:r>
        <w:t xml:space="preserve"> </w:t>
      </w:r>
      <w:r>
        <w:t xml:space="preserve">Compute the estimated linear predictor:</w:t>
      </w:r>
      <w:r>
        <w:t xml:space="preserve"> </w:t>
      </w:r>
      <m:oMath>
        <m:acc>
          <m:accPr>
            <m:chr m:val="̂"/>
          </m:accPr>
          <m:e>
            <m:r>
              <m:t>η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</m:e>
            </m:d>
          </m:sub>
          <m:sup>
            <m:r>
              <m:t>T</m:t>
            </m:r>
          </m:sup>
        </m:sSubSup>
        <m:acc>
          <m:accPr>
            <m:chr m:val="̂"/>
          </m:accPr>
          <m:e>
            <m:r>
              <m:t>W</m:t>
            </m:r>
          </m:e>
        </m:acc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Compute c-index, denoted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c</m:t>
                </m:r>
              </m:e>
            </m:acc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</m:e>
            </m:d>
            <m:r>
              <m:t>r</m:t>
            </m:r>
          </m:sub>
        </m:sSub>
      </m:oMath>
      <w:r>
        <w:t xml:space="preserve">, according to Equation</w:t>
      </w:r>
      <w:r>
        <w:t xml:space="preserve"> </w:t>
      </w:r>
      <w:hyperlink w:anchor="eqn:cindex">
        <w:r>
          <w:rPr>
            <w:rStyle w:val="Hyperlink"/>
          </w:rPr>
          <w:t xml:space="preserve">[eqn:cindex]</w:t>
        </w:r>
      </w:hyperlink>
      <w:r>
        <w:t xml:space="preserve"> </w:t>
      </w:r>
      <w:r>
        <w:rPr>
          <w:bCs/>
          <w:b/>
        </w:rPr>
        <w:t xml:space="preserve">end loop over</w:t>
      </w:r>
      <w:r>
        <w:rPr>
          <w:bCs/>
          <w:b/>
        </w:rPr>
        <w:t xml:space="preserve"> </w:t>
      </w:r>
      <m:oMath>
        <m:r>
          <m:t>r</m:t>
        </m:r>
      </m:oMath>
      <w:r>
        <w:t xml:space="preserve"> </w:t>
      </w:r>
      <w:r>
        <w:t xml:space="preserve">Compute average c-index across initializations: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c</m:t>
                </m:r>
              </m:e>
            </m:acc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</m:e>
            </m:d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nary>
          <m:naryPr>
            <m:chr m:val="∑"/>
            <m:limLoc m:val="undOvr"/>
            <m:subHide m:val="0"/>
            <m:supHide m:val="0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R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c</m:t>
                    </m:r>
                  </m:e>
                </m:acc>
              </m:e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</m:e>
                </m:d>
                <m:r>
                  <m:t>r</m:t>
                </m:r>
              </m:sub>
            </m:sSub>
          </m:e>
        </m:nary>
      </m:oMath>
      <w:r>
        <w:t xml:space="preserve"> </w:t>
      </w:r>
      <w:r>
        <w:rPr>
          <w:bCs/>
          <w:b/>
        </w:rPr>
        <w:t xml:space="preserve">end loop over</w:t>
      </w:r>
      <w:r>
        <w:rPr>
          <w:bCs/>
          <w:b/>
        </w:rPr>
        <w:t xml:space="preserve"> </w:t>
      </w:r>
      <m:oMath>
        <m:r>
          <m:t>f</m:t>
        </m:r>
      </m:oMath>
      <w:r>
        <w:t xml:space="preserve"> </w:t>
      </w:r>
      <w:r>
        <w:t xml:space="preserve">Compute final cross-validated c-index: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nary>
          <m:naryPr>
            <m:chr m:val="∑"/>
            <m:limLoc m:val="undOvr"/>
            <m:subHide m:val="0"/>
            <m:supHide m:val="0"/>
          </m:naryPr>
          <m:sub>
            <m:r>
              <m:t>f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F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c</m:t>
                    </m:r>
                  </m:e>
                </m:acc>
              </m:e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</m:e>
                </m:d>
              </m:sub>
            </m:sSub>
          </m:e>
        </m:nary>
      </m:oMath>
      <w:r>
        <w:t xml:space="preserve"> </w:t>
      </w:r>
      <w:r>
        <w:t xml:space="preserve">Final estimate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</m:oMath>
    </w:p>
    <w:bookmarkEnd w:id="32"/>
    <w:bookmarkStart w:id="33" w:name="bayesian-optimization"/>
    <w:p>
      <w:pPr>
        <w:pStyle w:val="Heading1"/>
      </w:pPr>
      <w:r>
        <w:t xml:space="preserve">Bayesian Optimization</w:t>
      </w:r>
    </w:p>
    <w:p>
      <w:pPr>
        <w:pStyle w:val="FirstParagraph"/>
      </w:pPr>
      <w:r>
        <w:t xml:space="preserve">We treat hyperparameter tuning as a black-box optimization problem over</w:t>
      </w:r>
      <w:r>
        <w:t xml:space="preserve"> </w:t>
      </w:r>
      <w:r>
        <w:t xml:space="preserve">a bounded domain. 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collect the tuned parameters (at</w:t>
      </w:r>
      <w:r>
        <w:t xml:space="preserve"> </w:t>
      </w:r>
      <w:r>
        <w:t xml:space="preserve">minimum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,</m:t>
            </m:r>
            <m:r>
              <m:t>λ</m:t>
            </m:r>
            <m:r>
              <m:rPr>
                <m:sty m:val="p"/>
              </m:rPr>
              <m:t>,</m:t>
            </m:r>
            <m:r>
              <m:t>ξ</m:t>
            </m:r>
          </m:e>
        </m:d>
      </m:oMath>
      <w:r>
        <w:t xml:space="preserve">, and optionally discrete</w:t>
      </w:r>
      <w:r>
        <w:t xml:space="preserve"> </w:t>
      </w:r>
      <w:r>
        <w:t xml:space="preserve">choices such as the signature size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</m:oMath>
      <w:r>
        <w:t xml:space="preserve">). For a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run the cross-validation procedure in Algorithm</w:t>
      </w:r>
      <w:r>
        <w:t xml:space="preserve"> </w:t>
      </w:r>
      <w:r>
        <w:t xml:space="preserve">S</w:t>
      </w:r>
      <w:hyperlink w:anchor="alg:cv">
        <w:r>
          <w:rPr>
            <w:rStyle w:val="Hyperlink"/>
          </w:rPr>
          <w:t xml:space="preserve">[alg:cv]</w:t>
        </w:r>
      </w:hyperlink>
      <w:r>
        <w:t xml:space="preserve">, averaging the c-index across folds and random</w:t>
      </w:r>
      <w:r>
        <w:t xml:space="preserve"> </w:t>
      </w:r>
      <w:r>
        <w:t xml:space="preserve">initializations to form the objective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c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F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c</m:t>
                      </m:r>
                    </m:e>
                  </m:acc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</m:e>
                  </m:d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is expensive to evaluate and</w:t>
      </w:r>
      <w:r>
        <w:t xml:space="preserve"> </w:t>
      </w:r>
      <w:r>
        <w:t xml:space="preserve">non-differentiable with respect to</w:t>
      </w:r>
      <w:r>
        <w:t xml:space="preserve"> </w:t>
      </w:r>
      <m:oMath>
        <m:r>
          <m:t>θ</m:t>
        </m:r>
      </m:oMath>
      <w:r>
        <w:t xml:space="preserve">, we use Bayesian</w:t>
      </w:r>
      <w:r>
        <w:t xml:space="preserve"> </w:t>
      </w:r>
      <w:r>
        <w:t xml:space="preserve">optimization (BO) to adaptively select candidate configurations.</w:t>
      </w:r>
    </w:p>
    <w:p>
      <w:pPr>
        <w:pStyle w:val="BodyText"/>
      </w:pPr>
      <w:r>
        <w:t xml:space="preserve">We place a Gaussian-process (GP) prior on the response surface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∼</m:t>
        </m:r>
        <m:r>
          <m:rPr>
            <m:sty m:val="p"/>
            <m:scr m:val="script"/>
          </m:rPr>
          <m:t>G</m:t>
        </m:r>
        <m:r>
          <m:rPr>
            <m:sty m:val="p"/>
            <m:scr m:val="script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,</m:t>
                </m:r>
                <m:r>
                  <m:t>θ</m:t>
                </m:r>
                <m:r>
                  <m:rPr>
                    <m:sty m:val="p"/>
                  </m:rPr>
                  <m:t>′</m:t>
                </m:r>
              </m:e>
            </m:d>
          </m:e>
        </m:d>
      </m:oMath>
      <w:r>
        <w:t xml:space="preserve"> </w:t>
      </w:r>
      <w:r>
        <w:t xml:space="preserve">with a Matern</w:t>
      </w:r>
      <w:r>
        <w:t xml:space="preserve"> </w:t>
      </w:r>
      <w:r>
        <w:t xml:space="preserve">kernel and automatic relevance determination length-scales. Continuous</w:t>
      </w:r>
      <w:r>
        <w:t xml:space="preserve"> </w:t>
      </w:r>
      <w:r>
        <w:t xml:space="preserve">parameters are rescaled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and penalties are optimized on a</w:t>
      </w:r>
      <w:r>
        <w:t xml:space="preserve"> </w:t>
      </w:r>
      <w:r>
        <w:t xml:space="preserve">log scale; integer-valued coordinates (e.g.,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</m:oMath>
      <w:r>
        <w:t xml:space="preserve">) are proposed in the continuous space and rounded</w:t>
      </w:r>
      <w:r>
        <w:t xml:space="preserve"> </w:t>
      </w:r>
      <w:r>
        <w:t xml:space="preserve">inside the evaluator. After an initial batch of evaluations, the GP is</w:t>
      </w:r>
      <w:r>
        <w:t xml:space="preserve"> </w:t>
      </w:r>
      <w:r>
        <w:t xml:space="preserve">refit after each new observation and used to guide acquisition.</w:t>
      </w:r>
    </w:p>
    <w:p>
      <w:pPr>
        <w:pStyle w:val="BodyText"/>
      </w:pPr>
      <w:r>
        <w:t xml:space="preserve">At iteration</w:t>
      </w:r>
      <w:r>
        <w:t xml:space="preserve"> </w:t>
      </w:r>
      <m:oMath>
        <m:r>
          <m:t>t</m:t>
        </m:r>
      </m:oMath>
      <w:r>
        <w:t xml:space="preserve">, let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denote the GP posterior mean and standard deviation, and let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be the best observed score. We select new candidates by maximizing</w:t>
      </w:r>
      <w:r>
        <w:t xml:space="preserve"> </w:t>
      </w:r>
      <w:r>
        <w:t xml:space="preserve">expected improvement (EI),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EI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κ</m:t>
              </m:r>
            </m:e>
          </m:d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Z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κ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are the standard normal cdf/pdf and</w:t>
      </w:r>
      <w:r>
        <w:t xml:space="preserve"> </w:t>
      </w:r>
      <m:oMath>
        <m:r>
          <m:t>κ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controls the exploration margin. EI is evaluated over a</w:t>
      </w:r>
      <w:r>
        <w:t xml:space="preserve"> </w:t>
      </w:r>
      <w:r>
        <w:t xml:space="preserve">candidate pool sampled from the bounded search region, and the maximizer</w:t>
      </w:r>
      <w:r>
        <w:t xml:space="preserve"> </w:t>
      </w:r>
      <w:r>
        <w:t xml:space="preserve">is evaluated next. The loop continues until the iteration budget is</w:t>
      </w:r>
      <w:r>
        <w:t xml:space="preserve"> </w:t>
      </w:r>
      <w:r>
        <w:t xml:space="preserve">exhausted or the improvement plateaus.</w:t>
      </w:r>
    </w:p>
    <w:p>
      <w:pPr>
        <w:pStyle w:val="BodyText"/>
      </w:pPr>
      <w:r>
        <w:t xml:space="preserve">For model selection, we take the highest observed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the optimal configuration. When fold-level standard errors are</w:t>
      </w:r>
      <w:r>
        <w:t xml:space="preserve"> </w:t>
      </w:r>
      <w:r>
        <w:t xml:space="preserve">available, we apply a one-standard-error rule for</w:t>
      </w:r>
      <w:r>
        <w:t xml:space="preserve"> </w:t>
      </w:r>
      <m:oMath>
        <m:r>
          <m:t>k</m:t>
        </m:r>
      </m:oMath>
      <w:r>
        <w:t xml:space="preserve">, selecting the</w:t>
      </w:r>
      <w:r>
        <w:t xml:space="preserve"> </w:t>
      </w:r>
      <w:r>
        <w:t xml:space="preserve">smallest rank whose mean performance lies within one standard error of</w:t>
      </w:r>
      <w:r>
        <w:t xml:space="preserve"> </w:t>
      </w:r>
      <w:r>
        <w:t xml:space="preserve">the best. The final DeSurv model is refit at the selected parameters</w:t>
      </w:r>
      <w:r>
        <w:t xml:space="preserve"> </w:t>
      </w:r>
      <w:r>
        <w:t xml:space="preserve">using the consensus-based initialization described above, and the</w:t>
      </w:r>
      <w:r>
        <w:t xml:space="preserve"> </w:t>
      </w:r>
      <w:r>
        <w:t xml:space="preserve">BO-chosen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</m:oMath>
      <w:r>
        <w:t xml:space="preserve"> </w:t>
      </w:r>
      <w:r>
        <w:t xml:space="preserve">(when tuned) is used to truncate each</w:t>
      </w:r>
      <w:r>
        <w:t xml:space="preserve"> </w:t>
      </w:r>
      <w:r>
        <w:t xml:space="preserve">program for downstream analysis.</w:t>
      </w:r>
    </w:p>
    <w:bookmarkEnd w:id="33"/>
    <w:bookmarkStart w:id="35" w:name="pdac-datasets"/>
    <w:p>
      <w:pPr>
        <w:pStyle w:val="Heading1"/>
      </w:pPr>
      <w:r>
        <w:t xml:space="preserve">PDAC Datasets</w:t>
      </w:r>
    </w:p>
    <w:p>
      <w:pPr>
        <w:pStyle w:val="FirstParagraph"/>
      </w:pPr>
      <w:r>
        <w:t xml:space="preserve">We analyzed PDAC cohorts from TCGA-PAAD and CPTAC-PDAC as training data</w:t>
      </w:r>
      <w:r>
        <w:t xml:space="preserve"> </w:t>
      </w:r>
      <w:r>
        <w:t xml:space="preserve">(Raphael et al. 2017; Ellis et al. 2013). External validation used</w:t>
      </w:r>
      <w:r>
        <w:t xml:space="preserve"> </w:t>
      </w:r>
      <w:r>
        <w:t xml:space="preserve">independent cohorts from Dijk, Moffitt, PACA-AU (array and RNA-seq), and</w:t>
      </w:r>
      <w:r>
        <w:t xml:space="preserve"> </w:t>
      </w:r>
      <w:r>
        <w:t xml:space="preserve">Puleo (Dijk et al. 2020; Moffitt et al. 2015; Zhao, Zhao, and Yan 2018;</w:t>
      </w:r>
      <w:r>
        <w:t xml:space="preserve"> </w:t>
      </w:r>
      <w:r>
        <w:t xml:space="preserve">Puleo et al. 2018). Training models were fit on the combined TCGA and</w:t>
      </w:r>
      <w:r>
        <w:t xml:space="preserve"> </w:t>
      </w:r>
      <w:r>
        <w:t xml:space="preserve">CPTAC expression matrices after harmonizing gene identifiers; validation</w:t>
      </w:r>
      <w:r>
        <w:t xml:space="preserve"> </w:t>
      </w:r>
      <w:r>
        <w:t xml:space="preserve">datasets were processed with the same gene set and transformations</w:t>
      </w:r>
      <w:r>
        <w:t xml:space="preserve"> </w:t>
      </w:r>
      <w:r>
        <w:t xml:space="preserve">before prediction and clustering.</w:t>
      </w:r>
    </w:p>
    <w:p>
      <w:pPr>
        <w:pStyle w:val="BodyText"/>
      </w:pPr>
      <w:r>
        <w:t xml:space="preserve">Dataset-specific inclusion and preprocessing steps were as follows. For</w:t>
      </w:r>
      <w:r>
        <w:t xml:space="preserve"> </w:t>
      </w:r>
      <w:r>
        <w:t xml:space="preserve">TCGA-PAAD, we excluded samples lacking tumor grade and mapped features</w:t>
      </w:r>
      <w:r>
        <w:t xml:space="preserve"> </w:t>
      </w:r>
      <w:r>
        <w:t xml:space="preserve">to gene symbols. For CPTAC, we retained samples annotated as PDAC by</w:t>
      </w:r>
      <w:r>
        <w:t xml:space="preserve"> </w:t>
      </w:r>
      <w:r>
        <w:t xml:space="preserve">histology. For Dijk, all 90 samples passed quality-control filters and</w:t>
      </w:r>
      <w:r>
        <w:t xml:space="preserve"> </w:t>
      </w:r>
      <w:r>
        <w:t xml:space="preserve">were retained. For Moffitt, only primary tumor specimens were kept. For</w:t>
      </w:r>
      <w:r>
        <w:t xml:space="preserve"> </w:t>
      </w:r>
      <w:r>
        <w:t xml:space="preserve">PACA-AU array and RNA-seq, we retained primary PDAC tumors and collapsed</w:t>
      </w:r>
      <w:r>
        <w:t xml:space="preserve"> </w:t>
      </w:r>
      <w:r>
        <w:t xml:space="preserve">duplicated gene symbols by median; the RNA-seq cohort received a</w:t>
      </w:r>
      <w:r>
        <w:t xml:space="preserve"> </w:t>
      </w:r>
      <w:r>
        <w:t xml:space="preserve">“_seq’ ’ suffix on sample IDs to avoid collisions with the array</w:t>
      </w:r>
      <w:r>
        <w:t xml:space="preserve"> </w:t>
      </w:r>
      <w:r>
        <w:t xml:space="preserve">cohort. Puleo required no additional dataset-specific filtering beyond</w:t>
      </w:r>
      <w:r>
        <w:t xml:space="preserve"> </w:t>
      </w:r>
      <w:r>
        <w:t xml:space="preserve">survival QC.</w:t>
      </w:r>
    </w:p>
    <w:p>
      <w:pPr>
        <w:pStyle w:val="BodyText"/>
      </w:pPr>
      <w:r>
        <w:t xml:space="preserve">Across cohorts, samples without valid survival outcomes (nonpositive</w:t>
      </w:r>
      <w:r>
        <w:t xml:space="preserve"> </w:t>
      </w:r>
      <w:r>
        <w:t xml:space="preserve">time, missing time, or missing event indicator) were removed. All</w:t>
      </w:r>
      <w:r>
        <w:t xml:space="preserve"> </w:t>
      </w:r>
      <w:r>
        <w:t xml:space="preserve">expression matrices were 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-transformed (log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(TPM + 1))</w:t>
      </w:r>
      <w:r>
        <w:t xml:space="preserve"> </w:t>
      </w:r>
      <w:r>
        <w:t xml:space="preserve">prior to gene selection. For each training cohort (TCGA-PAAD and CPTAC)</w:t>
      </w:r>
      <w:r>
        <w:t xml:space="preserve"> </w:t>
      </w:r>
      <w:r>
        <w:t xml:space="preserve">separately, genes were ranked by mean expression and by variance</w:t>
      </w:r>
      <w:r>
        <w:t xml:space="preserve"> </w:t>
      </w:r>
      <w:r>
        <w:t xml:space="preserve">independently; the 3,000 genes with the lowest sum of these two ranks</w:t>
      </w:r>
      <w:r>
        <w:t xml:space="preserve"> </w:t>
      </w:r>
      <w:r>
        <w:t xml:space="preserve">were retained, selecting genes that are both highly expressed and highly</w:t>
      </w:r>
      <w:r>
        <w:t xml:space="preserve"> </w:t>
      </w:r>
      <w:r>
        <w:t xml:space="preserve">variable. The intersection of these two gene sets yielded 1,970 genes</w:t>
      </w:r>
      <w:r>
        <w:t xml:space="preserve"> </w:t>
      </w:r>
      <w:r>
        <w:t xml:space="preserve">used for model training. Validation datasets were restricted to this</w:t>
      </w:r>
      <w:r>
        <w:t xml:space="preserve"> </w:t>
      </w:r>
      <w:r>
        <w:t xml:space="preserve">same 1,970-gene set. Within-sample rank transformation was applied to</w:t>
      </w:r>
      <w:r>
        <w:t xml:space="preserve"> </w:t>
      </w:r>
      <w:r>
        <w:t xml:space="preserve">all datasets to mitigate platform effects, with validation data</w:t>
      </w:r>
      <w:r>
        <w:t xml:space="preserve"> </w:t>
      </w:r>
      <w:r>
        <w:t xml:space="preserve">transformed identically to training.</w:t>
      </w:r>
    </w:p>
    <w:p>
      <w:pPr>
        <w:pStyle w:val="BodyText"/>
      </w:pPr>
      <w:r>
        <w:t xml:space="preserve">Table</w:t>
      </w:r>
      <w:r>
        <w:t xml:space="preserve"> </w:t>
      </w:r>
      <w:hyperlink w:anchor="tab:cohor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cohorts, platforms, sample sizes</w:t>
      </w:r>
      <w:r>
        <w:t xml:space="preserve"> </w:t>
      </w:r>
      <w:r>
        <w:t xml:space="preserve">after quality control, and patient-level metadata used in this study.</w:t>
      </w:r>
      <w:r>
        <w:t xml:space="preserve"> </w:t>
      </w:r>
      <w:r>
        <w:t xml:space="preserve">Overall survival time and event indicators were available for all</w:t>
      </w:r>
      <w:r>
        <w:t xml:space="preserve"> </w:t>
      </w:r>
      <w:r>
        <w:t xml:space="preserve">cohorts. PurIST (Rashid et al. 2020) and DeCAF (Peng et al. 2026)</w:t>
      </w:r>
      <w:r>
        <w:t xml:space="preserve"> </w:t>
      </w:r>
      <w:r>
        <w:t xml:space="preserve">molecular classifications, applied to bulk expression data as described</w:t>
      </w:r>
      <w:r>
        <w:t xml:space="preserve"> </w:t>
      </w:r>
      <w:r>
        <w:t xml:space="preserve">in those references, were used as covariates in the covariate-adjusted</w:t>
      </w:r>
      <w:r>
        <w:t xml:space="preserve"> </w:t>
      </w:r>
      <w:r>
        <w:t xml:space="preserve">sensitivity analysis (SI Appendix, Table S2). Gene expression data and</w:t>
      </w:r>
      <w:r>
        <w:t xml:space="preserve"> </w:t>
      </w:r>
      <w:r>
        <w:t xml:space="preserve">molecular classifications for the validation cohorts were originally</w:t>
      </w:r>
      <w:r>
        <w:t xml:space="preserve"> </w:t>
      </w:r>
      <w:r>
        <w:t xml:space="preserve">compiled for the DeCAF study (Peng et al. 2026); training data were</w:t>
      </w:r>
      <w:r>
        <w:t xml:space="preserve"> </w:t>
      </w:r>
      <w:r>
        <w:t xml:space="preserve">obtained directly from GDC.</w:t>
      </w:r>
    </w:p>
    <w:bookmarkStart w:id="34" w:name="tab:cohorts"/>
    <w:p>
      <w:pPr>
        <w:pStyle w:val="TableCaption"/>
      </w:pPr>
      <w:r>
        <w:t xml:space="preserve">Summary of PDAC cohorts used in this study.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denotes the number of</w:t>
      </w:r>
      <w:r>
        <w:t xml:space="preserve"> </w:t>
      </w:r>
      <w:r>
        <w:t xml:space="preserve">samples after all quality-control filters (histology, survival validity,</w:t>
      </w:r>
      <w:r>
        <w:t xml:space="preserve"> </w:t>
      </w:r>
      <w:r>
        <w:t xml:space="preserve">dataset-specific exclusions). Patient-level metadata: OS = overall survival</w:t>
      </w:r>
      <w:r>
        <w:t xml:space="preserve"> </w:t>
      </w:r>
      <w:r>
        <w:t xml:space="preserve">(time and event indicator); PurIST = tumor subtype classification</w:t>
      </w:r>
      <w:r>
        <w:t xml:space="preserve"> </w:t>
      </w:r>
      <w:r>
        <w:t xml:space="preserve">(Rashid et al. 2020); DeCAF = CAF subtype classification</w:t>
      </w:r>
      <w:r>
        <w:t xml:space="preserve"> </w:t>
      </w:r>
      <w:r>
        <w:t xml:space="preserve">(Peng et al. 2020). Expression data and molecular classifications</w:t>
      </w:r>
      <w:r>
        <w:t xml:space="preserve"> </w:t>
      </w:r>
      <w:r>
        <w:t xml:space="preserve">for the validation cohorts were originally compiled for the DeCAF study</w:t>
      </w:r>
      <w:r>
        <w:t xml:space="preserve"> </w:t>
      </w:r>
      <w:r>
        <w:t xml:space="preserve">(Peng et al. 2020).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of PDAC cohorts used in this study. N denotes the number of samples after all quality-control filters (histology, survival validity, dataset-specific exclusions). Patient-level metadata: OS = overall survival (time and event indicator); PurIST = tumor subtype classification (Rashid et al. 2020); DeCAF = CAF subtype classification (Peng et al. 2020). Expression data and molecular classifications for the validation cohorts were originally compiled for the DeCAF study (Peng et al. 2020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TCGA-PAAD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RNA-seq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GDC (TCGA-PAAD)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OS, PurIST, DeCAF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Raphael et al.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RNA-seq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GDC (CPTAC-3)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OS, PurIST, DeCAF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Ellis et al. (2013)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Dijk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RNA-seq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E-MTAB-6830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OS, PurIST, DeCAF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 et al. (2020)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Moffitt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Microarray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GSE71729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OS, PurIST, DeCAF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Moffitt et al.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PACA-AU (array)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Microarray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GSE36924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OS, PurIST, DeCAF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Zhao et al.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PACA-AU (RNA-seq)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RNA-seq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EGAS00001000154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OS, PurIST, DeCAF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Zhao et al.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Microarray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E-MTAB-6134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OS, PurIST, DeCAF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Puleo et al. (2018)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Validation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Start w:id="36" w:name="survival-analysis"/>
    <w:p>
      <w:pPr>
        <w:pStyle w:val="Heading1"/>
      </w:pPr>
      <w:r>
        <w:t xml:space="preserve">Survival Analysis</w:t>
      </w:r>
    </w:p>
    <w:p>
      <w:pPr>
        <w:pStyle w:val="FirstParagraph"/>
      </w:pPr>
      <w:r>
        <w:t xml:space="preserve">Survival analyses used overall survival time with event indicators as</w:t>
      </w:r>
      <w:r>
        <w:t xml:space="preserve"> </w:t>
      </w:r>
      <w:r>
        <w:t xml:space="preserve">provided by each cohort. For fitted DeSurv models, sample-level program</w:t>
      </w:r>
      <w:r>
        <w:t xml:space="preserve"> </w:t>
      </w:r>
      <w:r>
        <w:t xml:space="preserve">scores were computed as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X</m:t>
        </m:r>
      </m:oMath>
      <w:r>
        <w:t xml:space="preserve"> </w:t>
      </w:r>
      <w:r>
        <w:t xml:space="preserve">and standardized using</w:t>
      </w:r>
      <w:r>
        <w:t xml:space="preserve"> </w:t>
      </w:r>
      <w:r>
        <w:t xml:space="preserve">the training mean and standard deviation before constructing the linear</w:t>
      </w:r>
      <w:r>
        <w:t xml:space="preserve"> </w:t>
      </w:r>
      <w:r>
        <w:t xml:space="preserve">predictor</w:t>
      </w:r>
      <w:r>
        <w:t xml:space="preserve"> </w:t>
      </w:r>
      <m:oMath>
        <m:acc>
          <m:accPr>
            <m:chr m:val="̂"/>
          </m:accPr>
          <m:e>
            <m:r>
              <m:t>η</m:t>
            </m:r>
          </m:e>
        </m:acc>
        <m:r>
          <m:rPr>
            <m:sty m:val="p"/>
          </m:rPr>
          <m:t>=</m:t>
        </m:r>
        <m:r>
          <m:t>Z</m:t>
        </m:r>
        <m:acc>
          <m:accPr>
            <m:chr m:val="̂"/>
          </m:accPr>
          <m:e>
            <m:r>
              <m:t>β</m:t>
            </m:r>
          </m:e>
        </m:acc>
      </m:oMath>
      <w:r>
        <w:t xml:space="preserve">. Prognostic performance was</w:t>
      </w:r>
      <w:r>
        <w:t xml:space="preserve"> </w:t>
      </w:r>
      <w:r>
        <w:t xml:space="preserve">summarized using the concordance index as defined above. For</w:t>
      </w:r>
      <w:r>
        <w:t xml:space="preserve"> </w:t>
      </w:r>
      <w:r>
        <w:t xml:space="preserve">visualization and group-level testing, we generated Kaplan–Meier curves</w:t>
      </w:r>
      <w:r>
        <w:t xml:space="preserve"> </w:t>
      </w:r>
      <w:r>
        <w:t xml:space="preserve">and log-rank tests for risk groups defined by median splits of</w:t>
      </w:r>
      <w:r>
        <w:t xml:space="preserve"> </w:t>
      </w:r>
      <m:oMath>
        <m:acc>
          <m:accPr>
            <m:chr m:val="̂"/>
          </m:accPr>
          <m:e>
            <m:r>
              <m:t>η</m:t>
            </m:r>
          </m:e>
        </m:acc>
      </m:oMath>
      <w:r>
        <w:t xml:space="preserve"> </w:t>
      </w:r>
      <w:r>
        <w:t xml:space="preserve">within each dataset to avoid cross-cohort scaling</w:t>
      </w:r>
      <w:r>
        <w:t xml:space="preserve"> </w:t>
      </w:r>
      <w:r>
        <w:t xml:space="preserve">differences. When multiple datasets were pooled, Cox models were</w:t>
      </w:r>
      <w:r>
        <w:t xml:space="preserve"> </w:t>
      </w:r>
      <w:r>
        <w:t xml:space="preserve">stratified by dataset to allow cohort-specific baseline hazards. All</w:t>
      </w:r>
      <w:r>
        <w:t xml:space="preserve"> </w:t>
      </w:r>
      <w:r>
        <w:t xml:space="preserve">p-values reported for survival differences between groups correspond to</w:t>
      </w:r>
      <w:r>
        <w:t xml:space="preserve"> </w:t>
      </w:r>
      <w:r>
        <w:t xml:space="preserve">two-sided log-rank tests.</w:t>
      </w:r>
    </w:p>
    <w:bookmarkEnd w:id="36"/>
    <w:bookmarkStart w:id="37" w:name="gene-program-correlation-analysis"/>
    <w:p>
      <w:pPr>
        <w:pStyle w:val="Heading1"/>
      </w:pPr>
      <w:r>
        <w:t xml:space="preserve">Gene Program Correlation Analysis</w:t>
      </w:r>
    </w:p>
    <w:p>
      <w:pPr>
        <w:pStyle w:val="FirstParagraph"/>
      </w:pPr>
      <w:r>
        <w:t xml:space="preserve">To assess the biological identity of learned factors, we evaluated the</w:t>
      </w:r>
      <w:r>
        <w:t xml:space="preserve"> </w:t>
      </w:r>
      <w:r>
        <w:t xml:space="preserve">correspondence between factor-specific gene rankings and established</w:t>
      </w:r>
      <w:r>
        <w:t xml:space="preserve"> </w:t>
      </w:r>
      <w:r>
        <w:t xml:space="preserve">PDAC gene programs. For each factor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gene program</w:t>
      </w:r>
      <w:r>
        <w:t xml:space="preserve"> </w:t>
      </w:r>
      <w:r>
        <w:t xml:space="preserve">matrix</w:t>
      </w:r>
      <w:r>
        <w:t xml:space="preserve"> </w:t>
      </w:r>
      <m:oMath>
        <m:r>
          <m:t>W</m:t>
        </m:r>
      </m:oMath>
      <w:r>
        <w:t xml:space="preserve">, we identified the top 50 genes by factor specificity</w:t>
      </w:r>
      <w:r>
        <w:t xml:space="preserve"> </w:t>
      </w:r>
      <w:r>
        <w:t xml:space="preserve">score. Each column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first scaled by its column maximum to</w:t>
      </w:r>
      <w:r>
        <w:t xml:space="preserve"> </w:t>
      </w:r>
      <w:r>
        <w:t xml:space="preserve">produce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placing all factors on a common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scale. The</w:t>
      </w:r>
      <w:r>
        <w:t xml:space="preserve"> </w:t>
      </w:r>
      <w:r>
        <w:t xml:space="preserve">specificity score for gene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factor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was then defined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j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≠</m:t>
              </m:r>
              <m:r>
                <m:t>j</m:t>
              </m:r>
            </m:lim>
          </m:limLow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′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Genes</w:t>
      </w:r>
      <w:r>
        <w:t xml:space="preserve"> </w:t>
      </w:r>
      <w:r>
        <w:t xml:space="preserve">were ranked in descending order of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and the top 50 per factor</w:t>
      </w:r>
      <w:r>
        <w:t xml:space="preserve"> </w:t>
      </w:r>
      <w:r>
        <w:t xml:space="preserve">were retained. The union of these gene sets across all factors was then</w:t>
      </w:r>
      <w:r>
        <w:t xml:space="preserve"> </w:t>
      </w:r>
      <w:r>
        <w:t xml:space="preserve">intersected with the genes present in any reference program to form the</w:t>
      </w:r>
      <w:r>
        <w:t xml:space="preserve"> </w:t>
      </w:r>
      <w:r>
        <w:t xml:space="preserve">set of genes used in the correlation analysis.</w:t>
      </w:r>
    </w:p>
    <w:p>
      <w:pPr>
        <w:pStyle w:val="BodyText"/>
      </w:pPr>
      <w:r>
        <w:t xml:space="preserve">For each factor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each reference gene program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, we</w:t>
      </w:r>
      <w:r>
        <w:t xml:space="preserve"> </w:t>
      </w:r>
      <w:r>
        <w:t xml:space="preserve">computed the Spearman rank correlation between the continuous factor</w:t>
      </w:r>
      <w:r>
        <w:t xml:space="preserve"> </w:t>
      </w:r>
      <w:r>
        <w:t xml:space="preserve">loadings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⋅</m:t>
            </m:r>
            <m:r>
              <m:t>j</m:t>
            </m:r>
          </m:sub>
        </m:sSub>
      </m:oMath>
      <w:r>
        <w:t xml:space="preserve"> </w:t>
      </w:r>
      <w:r>
        <w:t xml:space="preserve">(restricted to the intersection gene set) and a</w:t>
      </w:r>
      <w:r>
        <w:t xml:space="preserve"> </w:t>
      </w:r>
      <w:r>
        <w:t xml:space="preserve">binary indicator vector</w:t>
      </w:r>
      <w:r>
        <w:t xml:space="preserve"> </w:t>
      </w:r>
      <m:oMath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gene</m:t>
            </m:r>
            <m:r>
              <m:rPr>
                <m:sty m:val="p"/>
              </m:rPr>
              <m:t>∈</m:t>
            </m:r>
            <m:sSub>
              <m:e>
                <m:r>
                  <m:t>G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 P-values</w:t>
      </w:r>
      <w:r>
        <w:t xml:space="preserve"> </w:t>
      </w:r>
      <w:r>
        <w:t xml:space="preserve">were derived from the asymptotic approximation to the Spearman test</w:t>
      </w:r>
      <w:r>
        <w:t xml:space="preserve"> </w:t>
      </w:r>
      <w:r>
        <w:t xml:space="preserve">statistic and adjusted for multiple comparisons using the</w:t>
      </w:r>
      <w:r>
        <w:t xml:space="preserve"> </w:t>
      </w:r>
      <w:r>
        <w:t xml:space="preserve">Benjamini–Hochberg procedure applied within each factor column</w:t>
      </w:r>
      <w:r>
        <w:t xml:space="preserve"> </w:t>
      </w:r>
      <w:r>
        <w:t xml:space="preserve">independently. Gene programs were included in the visualization only if</w:t>
      </w:r>
      <w:r>
        <w:t xml:space="preserve"> </w:t>
      </w:r>
      <w:r>
        <w:t xml:space="preserve">at least one factor yielded a Spearman correlation exceeding 0.2.</w:t>
      </w:r>
      <w:r>
        <w:t xml:space="preserve"> </w:t>
      </w:r>
      <w:r>
        <w:t xml:space="preserve">Asterisks (</w:t>
      </w:r>
      <m:oMath>
        <m:r>
          <m:rPr>
            <m:sty m:val="p"/>
          </m:rPr>
          <m:t>*</m:t>
        </m:r>
      </m:oMath>
      <w:r>
        <w:t xml:space="preserve">) indicate adjusted p-value</w:t>
      </w:r>
      <w:r>
        <w:t xml:space="preserve"> </w:t>
      </w:r>
      <m:oMath>
        <m:r>
          <m:rPr>
            <m:sty m:val="p"/>
          </m:rPr>
          <m:t>&lt;</m:t>
        </m:r>
        <m:r>
          <m:t>0.1</m:t>
        </m:r>
      </m:oMath>
      <w:r>
        <w:t xml:space="preserve">.</w:t>
      </w:r>
    </w:p>
    <w:p>
      <w:pPr>
        <w:pStyle w:val="BodyText"/>
      </w:pPr>
      <w:r>
        <w:t xml:space="preserve">Reference gene programs included classical and basal-like tumor cell</w:t>
      </w:r>
      <w:r>
        <w:t xml:space="preserve"> </w:t>
      </w:r>
      <w:r>
        <w:t xml:space="preserve">signatures from Moffitt et al. (Moffitt et al. 2015); iCAF and myCAF</w:t>
      </w:r>
      <w:r>
        <w:t xml:space="preserve"> </w:t>
      </w:r>
      <w:r>
        <w:t xml:space="preserve">cancer-associated fibroblast signatures from Elyada et al.</w:t>
      </w:r>
      <w:r>
        <w:br/>
      </w:r>
      <w:r>
        <w:t xml:space="preserve">(Elyada et al. 2019); activated (proCAF) and resting (restCAF)</w:t>
      </w:r>
      <w:r>
        <w:t xml:space="preserve"> </w:t>
      </w:r>
      <w:r>
        <w:t xml:space="preserve">fibroblast programs from the deCAF study (Peng et al. 2026); SCISSORS</w:t>
      </w:r>
      <w:r>
        <w:t xml:space="preserve"> </w:t>
      </w:r>
      <w:r>
        <w:t xml:space="preserve">PDAC subtypes (Leary et al. 2023); tumor, stromal, and immune</w:t>
      </w:r>
      <w:r>
        <w:t xml:space="preserve"> </w:t>
      </w:r>
      <w:r>
        <w:t xml:space="preserve">compartment signatures from DECODER (Peng et al. 2019); and classical</w:t>
      </w:r>
      <w:r>
        <w:t xml:space="preserve"> </w:t>
      </w:r>
      <w:r>
        <w:t xml:space="preserve">and basal-like subtype classifiers from PurIST (Rashid et al. 2020).</w:t>
      </w:r>
      <w:r>
        <w:t xml:space="preserve"> </w:t>
      </w:r>
      <w:r>
        <w:t xml:space="preserve">Programs from Bailey et al. (Bailey, Chang, et al. 2016), periductal</w:t>
      </w:r>
      <w:r>
        <w:t xml:space="preserve"> </w:t>
      </w:r>
      <w:r>
        <w:t xml:space="preserve">subtypes, and MSI subtypes were excluded from visualization due to</w:t>
      </w:r>
      <w:r>
        <w:t xml:space="preserve"> </w:t>
      </w:r>
      <w:r>
        <w:t xml:space="preserve">redundancy with other included programs or low overall correlation</w:t>
      </w:r>
      <w:r>
        <w:t xml:space="preserve"> </w:t>
      </w:r>
      <w:r>
        <w:t xml:space="preserve">across all factors.</w:t>
      </w:r>
    </w:p>
    <w:bookmarkEnd w:id="37"/>
    <w:bookmarkStart w:id="38" w:name="Xadab082552594cc50866730f2308e9579866222"/>
    <w:p>
      <w:pPr>
        <w:pStyle w:val="Heading1"/>
      </w:pPr>
      <w:r>
        <w:t xml:space="preserve">Variance and Survival Contribution per Factor</w:t>
      </w:r>
    </w:p>
    <w:p>
      <w:pPr>
        <w:pStyle w:val="FirstParagraph"/>
      </w:pPr>
      <w:r>
        <w:t xml:space="preserve">For each factor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, we quantified two quantities</w:t>
      </w:r>
      <w:r>
        <w:t xml:space="preserve"> </w:t>
      </w:r>
      <w:r>
        <w:t xml:space="preserve">to assess the alignment between expression variance and prognostic</w:t>
      </w:r>
      <w:r>
        <w:t xml:space="preserve"> </w:t>
      </w:r>
      <w:r>
        <w:t xml:space="preserve">relevance. The conditional variance explained by factor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was</w:t>
      </w:r>
      <w:r>
        <w:t xml:space="preserve"> </w:t>
      </w:r>
      <w:r>
        <w:t xml:space="preserve">quantified as the semi-partial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full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full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W</m:t>
        </m:r>
        <m:r>
          <m:t>H</m:t>
        </m:r>
        <m:sSubSup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residual</w:t>
      </w:r>
      <w:r>
        <w:t xml:space="preserve"> </w:t>
      </w:r>
      <w:r>
        <w:t xml:space="preserve">sum of squares from the full</w:t>
      </w:r>
      <w:r>
        <w:t xml:space="preserve"> </w:t>
      </w:r>
      <m:oMath>
        <m:r>
          <m:t>k</m:t>
        </m:r>
      </m:oMath>
      <w:r>
        <w:t xml:space="preserve">-factor reconstruction and</w:t>
      </w:r>
      <w:r>
        <w:t xml:space="preserve"> </w:t>
      </w:r>
      <m:oMath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−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rPr>
                <m:sty m:val="p"/>
              </m:rPr>
              <m:t>−</m:t>
            </m:r>
            <m:r>
              <m:t>j</m:t>
            </m:r>
          </m:sub>
        </m:sSub>
        <m:sSub>
          <m:e>
            <m:r>
              <m:t>H</m:t>
            </m:r>
          </m:e>
          <m:sub>
            <m:r>
              <m:rPr>
                <m:sty m:val="p"/>
              </m:rPr>
              <m:t>−</m:t>
            </m:r>
            <m:r>
              <m:t>j</m:t>
            </m:r>
          </m:sub>
        </m:sSub>
        <m:sSubSup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residual from</w:t>
      </w:r>
      <w:r>
        <w:t xml:space="preserve"> </w:t>
      </w: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-factor reconstruction omitting factor</w:t>
      </w:r>
      <w:r>
        <w:t xml:space="preserve"> </w:t>
      </w:r>
      <m:oMath>
        <m:r>
          <m:t>j</m:t>
        </m:r>
      </m:oMath>
      <w:r>
        <w:t xml:space="preserve">. This measures</w:t>
      </w:r>
      <w:r>
        <w:t xml:space="preserve"> </w:t>
      </w:r>
      <w:r>
        <w:t xml:space="preserve">the incremental fraction of total variance accounted for by factor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given all other factors.</w:t>
      </w:r>
    </w:p>
    <w:p>
      <w:pPr>
        <w:pStyle w:val="BodyText"/>
      </w:pPr>
      <w:r>
        <w:t xml:space="preserve">The survival contribution of factor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was quantified as the Type III</w:t>
      </w:r>
      <w:r>
        <w:t xml:space="preserve"> </w:t>
      </w:r>
      <w:r>
        <w:t xml:space="preserve">partial likelihood increment: the reduction in Cox partial</w:t>
      </w:r>
      <w:r>
        <w:t xml:space="preserve"> </w:t>
      </w:r>
      <w:r>
        <w:t xml:space="preserve">log-likelihood when factor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omitted from the full</w:t>
      </w:r>
      <w:r>
        <w:t xml:space="preserve"> </w:t>
      </w:r>
      <m:oMath>
        <m:r>
          <m:t>k</m:t>
        </m:r>
      </m:oMath>
      <w:r>
        <w:t xml:space="preserve">-factor</w:t>
      </w:r>
      <w:r>
        <w:t xml:space="preserve"> </w:t>
      </w:r>
      <w:r>
        <w:t xml:space="preserve">model,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denotes the Cox partial log-likelihood evaluated at the maximum partial</w:t>
      </w:r>
      <w:r>
        <w:t xml:space="preserve"> </w:t>
      </w:r>
      <w:r>
        <w:t xml:space="preserve">likelihood estimates. Larger</w:t>
      </w:r>
      <w:r>
        <w:t xml:space="preserve"> </w:t>
      </w:r>
      <m:oMath>
        <m:r>
          <m:t>Δ</m:t>
        </m:r>
        <m:sSub>
          <m:e>
            <m:r>
              <m:rPr>
                <m:sty m:val="p"/>
              </m:rPr>
              <m:t>ℓ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indicates a greater</w:t>
      </w:r>
      <w:r>
        <w:t xml:space="preserve"> </w:t>
      </w:r>
      <w:r>
        <w:t xml:space="preserve">marginal contribution of factor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to survival prediction given all</w:t>
      </w:r>
      <w:r>
        <w:t xml:space="preserve"> </w:t>
      </w:r>
      <w:r>
        <w:t xml:space="preserve">other factors. These two quantities are plotted against each other in SI</w:t>
      </w:r>
      <w:r>
        <w:t xml:space="preserve"> </w:t>
      </w:r>
      <w:r>
        <w:t xml:space="preserve">Appendix, Fig. S7.</w:t>
      </w:r>
    </w:p>
    <w:bookmarkEnd w:id="38"/>
    <w:bookmarkStart w:id="39" w:name="factor-correspondence-analysis"/>
    <w:p>
      <w:pPr>
        <w:pStyle w:val="Heading1"/>
      </w:pPr>
      <w:r>
        <w:t xml:space="preserve">Factor Correspondence Analysis</w:t>
      </w:r>
    </w:p>
    <w:p>
      <w:pPr>
        <w:pStyle w:val="FirstParagraph"/>
      </w:pPr>
      <w:r>
        <w:t xml:space="preserve">To assess which biological programs are preserved, altered, or</w:t>
      </w:r>
      <w:r>
        <w:t xml:space="preserve"> </w:t>
      </w:r>
      <w:r>
        <w:t xml:space="preserve">suppressed under survival supervision, we quantified the pairwise</w:t>
      </w:r>
      <w:r>
        <w:t xml:space="preserve"> </w:t>
      </w:r>
      <w:r>
        <w:t xml:space="preserve">correspondence between NMF and DeSurv factor loadings. For each pair of</w:t>
      </w:r>
      <w:r>
        <w:t xml:space="preserve"> </w:t>
      </w:r>
      <w:r>
        <w:t xml:space="preserve">factors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j</m:t>
                </m:r>
              </m:e>
              <m:sub>
                <m:r>
                  <m:rPr>
                    <m:nor/>
                    <m:sty m:val="p"/>
                  </m:rPr>
                  <m:t>NMF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j</m:t>
                </m:r>
              </m:e>
              <m:sub>
                <m:r>
                  <m:rPr>
                    <m:nor/>
                    <m:sty m:val="p"/>
                  </m:rPr>
                  <m:t>DeSurv</m:t>
                </m:r>
              </m:sub>
            </m:sSub>
          </m:e>
        </m:d>
      </m:oMath>
      <w:r>
        <w:t xml:space="preserve">, we computed the</w:t>
      </w:r>
      <w:r>
        <w:t xml:space="preserve"> </w:t>
      </w:r>
      <w:r>
        <w:t xml:space="preserve">Spearman rank correlation between the corresponding columns of the NMF</w:t>
      </w:r>
      <w:r>
        <w:t xml:space="preserve"> </w:t>
      </w:r>
      <w:r>
        <w:t xml:space="preserve">gene program matrix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NMF</m:t>
            </m:r>
          </m:sub>
        </m:sSub>
      </m:oMath>
      <w:r>
        <w:t xml:space="preserve"> </w:t>
      </w:r>
      <w:r>
        <w:t xml:space="preserve">and the DeSurv gene program</w:t>
      </w:r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DeSurv</m:t>
            </m:r>
          </m:sub>
        </m:sSub>
      </m:oMath>
      <w:r>
        <w:t xml:space="preserve">, restricted to genes present in both</w:t>
      </w:r>
      <w:r>
        <w:t xml:space="preserve"> </w:t>
      </w:r>
      <w:r>
        <w:t xml:space="preserve">models. Spearman correlation was used to capture monotone correspondence</w:t>
      </w:r>
      <w:r>
        <w:t xml:space="preserve"> </w:t>
      </w:r>
      <w:r>
        <w:t xml:space="preserve">in gene loading ranks while remaining robust to scale differences</w:t>
      </w:r>
      <w:r>
        <w:t xml:space="preserve"> </w:t>
      </w:r>
      <w:r>
        <w:t xml:space="preserve">between the two methods. Results are displayed as a heatmap with NMF</w:t>
      </w:r>
      <w:r>
        <w:t xml:space="preserve"> </w:t>
      </w:r>
      <w:r>
        <w:t xml:space="preserve">factors as rows and DeSurv factors as columns (main text, Fig. 4C).</w:t>
      </w:r>
    </w:p>
    <w:bookmarkEnd w:id="39"/>
    <w:bookmarkStart w:id="44" w:name="references"/>
    <w:p>
      <w:pPr>
        <w:pStyle w:val="Heading1"/>
      </w:pPr>
      <w:r>
        <w:t xml:space="preserve">References</w:t>
      </w:r>
    </w:p>
    <w:p>
      <w:pPr>
        <w:pStyle w:val="FirstParagraph"/>
      </w:pPr>
      <w:bookmarkStart w:id="40" w:name="refs"/>
      <w:r>
        <w:t xml:space="preserve">[refs]</w:t>
      </w:r>
      <w:bookmarkEnd w:id="40"/>
    </w:p>
    <w:p>
      <w:pPr>
        <w:pStyle w:val="BodyText"/>
      </w:pPr>
      <w:r>
        <w:t xml:space="preserve"> </w:t>
      </w:r>
      <w:r>
        <w:t xml:space="preserve"> </w:t>
      </w:r>
      <w:r>
        <w:t xml:space="preserve">Bailey, Peter, David K Chang, et al. 2016.</w:t>
      </w:r>
      <w:r>
        <w:t xml:space="preserve"> </w:t>
      </w:r>
      <w:r>
        <w:t xml:space="preserve">“</w:t>
      </w:r>
      <w:r>
        <w:t xml:space="preserve">Genomic Analyses Identify</w:t>
      </w:r>
      <w:r>
        <w:t xml:space="preserve"> </w:t>
      </w:r>
      <w:r>
        <w:t xml:space="preserve">Molecular Subtypes of Pancreatic Cancer.</w:t>
      </w:r>
      <w:r>
        <w:t xml:space="preserve">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531 (7592):</w:t>
      </w:r>
      <w:r>
        <w:t xml:space="preserve"> </w:t>
      </w:r>
      <w:r>
        <w:t xml:space="preserve">47–52.</w:t>
      </w:r>
      <w:r>
        <w:t xml:space="preserve"> </w:t>
      </w:r>
      <w:hyperlink r:id="rId41">
        <w:r>
          <w:rPr>
            <w:rStyle w:val="Hyperlink"/>
          </w:rPr>
          <w:t xml:space="preserve">https://doi.org/10.1038/nature16965</w:t>
        </w:r>
      </w:hyperlink>
      <w:r>
        <w:t xml:space="preserve">.</w:t>
      </w:r>
    </w:p>
    <w:p>
      <w:pPr>
        <w:pStyle w:val="BodyText"/>
      </w:pPr>
      <w:r>
        <w:t xml:space="preserve">Blei, David M, and Jon D McAuliffe. 2007.</w:t>
      </w:r>
      <w:r>
        <w:t xml:space="preserve"> </w:t>
      </w:r>
      <w:r>
        <w:t xml:space="preserve">“</w:t>
      </w:r>
      <w:r>
        <w:t xml:space="preserve">Supervised Topic Models.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. Vol. 20.</w:t>
      </w:r>
    </w:p>
    <w:p>
      <w:pPr>
        <w:pStyle w:val="BodyText"/>
      </w:pPr>
      <w:r>
        <w:t xml:space="preserve">Brunet, Jean-Philippe, Pablo Tamayo, Todd R Golub, and Jill P Mesirov.</w:t>
      </w:r>
      <w:r>
        <w:t xml:space="preserve"> </w:t>
      </w:r>
      <w:r>
        <w:t xml:space="preserve">2004.</w:t>
      </w:r>
      <w:r>
        <w:t xml:space="preserve"> </w:t>
      </w:r>
      <w:r>
        <w:t xml:space="preserve">“</w:t>
      </w:r>
      <w:r>
        <w:t xml:space="preserve">Metagenes and Molecular Pattern Discovery Using Matrix</w:t>
      </w:r>
      <w:r>
        <w:t xml:space="preserve"> </w:t>
      </w:r>
      <w:r>
        <w:t xml:space="preserve">Factorization.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National Academy of Sciences</w:t>
      </w:r>
      <w:r>
        <w:t xml:space="preserve"> </w:t>
      </w:r>
      <w:r>
        <w:t xml:space="preserve">101 (12): 4164–69.</w:t>
      </w:r>
    </w:p>
    <w:p>
      <w:pPr>
        <w:pStyle w:val="BodyText"/>
      </w:pPr>
      <w:r>
        <w:t xml:space="preserve">Cai, Deng, Xiaofei He, and Jiawei Han. 2011.</w:t>
      </w:r>
      <w:r>
        <w:t xml:space="preserve"> </w:t>
      </w:r>
      <w:r>
        <w:t xml:space="preserve">“</w:t>
      </w:r>
      <w:r>
        <w:t xml:space="preserve">Graph Regularized</w:t>
      </w:r>
      <w:r>
        <w:t xml:space="preserve"> </w:t>
      </w:r>
      <w:r>
        <w:t xml:space="preserve">Nonnegative Matrix Factorization for Data Representation.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t xml:space="preserve">33:1548–60. 8.</w:t>
      </w:r>
    </w:p>
    <w:p>
      <w:pPr>
        <w:pStyle w:val="BodyText"/>
      </w:pPr>
      <w:r>
        <w:t xml:space="preserve">Dijk, Frederike, Veronique L Veenstra, Eline C Soer, Mark PG Dings, Lan</w:t>
      </w:r>
      <w:r>
        <w:t xml:space="preserve"> </w:t>
      </w:r>
      <w:r>
        <w:t xml:space="preserve">Zhao, Johannes B Halfwerk, Gerrit K Hooijer, et al. 2020.</w:t>
      </w:r>
      <w:r>
        <w:t xml:space="preserve"> </w:t>
      </w:r>
      <w:r>
        <w:t xml:space="preserve">“</w:t>
      </w:r>
      <w:r>
        <w:t xml:space="preserve">Unsupervised Class Discovery in Pancreatic Ductal Adenocarcinoma</w:t>
      </w:r>
      <w:r>
        <w:t xml:space="preserve"> </w:t>
      </w:r>
      <w:r>
        <w:t xml:space="preserve">Reveals Cell-Intrinsic Mesenchymal Features and High Concordance Between</w:t>
      </w:r>
      <w:r>
        <w:t xml:space="preserve"> </w:t>
      </w:r>
      <w:r>
        <w:t xml:space="preserve">Existing Classification Systems.</w:t>
      </w:r>
      <w:r>
        <w:t xml:space="preserve">”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10 (1):</w:t>
      </w:r>
      <w:r>
        <w:t xml:space="preserve"> </w:t>
      </w:r>
      <w:r>
        <w:t xml:space="preserve">337.</w:t>
      </w:r>
    </w:p>
    <w:p>
      <w:pPr>
        <w:pStyle w:val="BodyText"/>
      </w:pPr>
      <w:r>
        <w:t xml:space="preserve">Donoho, David, and Victoria Stodden. 2004.</w:t>
      </w:r>
      <w:r>
        <w:t xml:space="preserve"> </w:t>
      </w:r>
      <w:r>
        <w:t xml:space="preserve">“</w:t>
      </w:r>
      <w:r>
        <w:t xml:space="preserve">When Does Non-Negative</w:t>
      </w:r>
      <w:r>
        <w:t xml:space="preserve"> </w:t>
      </w:r>
      <w:r>
        <w:t xml:space="preserve">Matrix Factorization Give a Correct Decomposition into Parts?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. Vol. 16.</w:t>
      </w:r>
    </w:p>
    <w:p>
      <w:pPr>
        <w:pStyle w:val="BodyText"/>
      </w:pPr>
      <w:r>
        <w:t xml:space="preserve">Ellis, MJ, M Gillette, SA Carr, AG Paulovich, RD Smith, KK Rodland, RR</w:t>
      </w:r>
      <w:r>
        <w:t xml:space="preserve"> </w:t>
      </w:r>
      <w:r>
        <w:t xml:space="preserve">Townsend, et al. 2013.</w:t>
      </w:r>
      <w:r>
        <w:t xml:space="preserve"> </w:t>
      </w:r>
      <w:r>
        <w:t xml:space="preserve">“</w:t>
      </w:r>
      <w:r>
        <w:t xml:space="preserve">Clinical Proteomic Tumor Analysis Consortium</w:t>
      </w:r>
      <w:r>
        <w:t xml:space="preserve"> </w:t>
      </w:r>
      <w:r>
        <w:t xml:space="preserve">(CPTAC): Connecting Genomic Alterations to Cancer Biology with</w:t>
      </w:r>
      <w:r>
        <w:t xml:space="preserve"> </w:t>
      </w:r>
      <w:r>
        <w:t xml:space="preserve">Proteomics: The NCI Clinical Proteomic Tumor Analysis Consortium.</w:t>
      </w:r>
      <w:r>
        <w:t xml:space="preserve">”</w:t>
      </w:r>
      <w:r>
        <w:t xml:space="preserve"> </w:t>
      </w:r>
      <w:r>
        <w:rPr>
          <w:iCs/>
          <w:i/>
        </w:rPr>
        <w:t xml:space="preserve">Cancer Discov</w:t>
      </w:r>
      <w:r>
        <w:t xml:space="preserve"> </w:t>
      </w:r>
      <w:r>
        <w:t xml:space="preserve">3: 1108–12.</w:t>
      </w:r>
    </w:p>
    <w:p>
      <w:pPr>
        <w:pStyle w:val="BodyText"/>
      </w:pPr>
      <w:r>
        <w:t xml:space="preserve">Elyada, Ela, Mahdu Bolisetty, Patrick Laise, William F Flynn, Edouard T</w:t>
      </w:r>
      <w:r>
        <w:t xml:space="preserve"> </w:t>
      </w:r>
      <w:r>
        <w:t xml:space="preserve">Courtois, Richard A Burkhart, J Jack Teinor, et al. 2019.</w:t>
      </w:r>
      <w:r>
        <w:t xml:space="preserve"> </w:t>
      </w:r>
      <w:r>
        <w:t xml:space="preserve">“</w:t>
      </w:r>
      <w:r>
        <w:t xml:space="preserve">Cross-Species Single-Cell Analysis of Pancreatic Ductal</w:t>
      </w:r>
      <w:r>
        <w:t xml:space="preserve"> </w:t>
      </w:r>
      <w:r>
        <w:t xml:space="preserve">Adenocarcinoma Reveals Antigen-Presenting Cancer-Associated</w:t>
      </w:r>
      <w:r>
        <w:t xml:space="preserve"> </w:t>
      </w:r>
      <w:r>
        <w:t xml:space="preserve">Fibroblasts.</w:t>
      </w:r>
      <w:r>
        <w:t xml:space="preserve">”</w:t>
      </w:r>
      <w:r>
        <w:t xml:space="preserve"> </w:t>
      </w:r>
      <w:r>
        <w:rPr>
          <w:iCs/>
          <w:i/>
        </w:rPr>
        <w:t xml:space="preserve">Cancer Discovery</w:t>
      </w:r>
      <w:r>
        <w:t xml:space="preserve"> </w:t>
      </w:r>
      <w:r>
        <w:t xml:space="preserve">9 (8): 1102–23.</w:t>
      </w:r>
    </w:p>
    <w:p>
      <w:pPr>
        <w:pStyle w:val="BodyText"/>
      </w:pPr>
      <w:r>
        <w:t xml:space="preserve">Gillis, Nicolas. 2014.</w:t>
      </w:r>
      <w:r>
        <w:t xml:space="preserve"> </w:t>
      </w:r>
      <w:r>
        <w:t xml:space="preserve">“</w:t>
      </w:r>
      <w:r>
        <w:t xml:space="preserve">The Why and How of Nonnegative Matrix</w:t>
      </w:r>
      <w:r>
        <w:t xml:space="preserve"> </w:t>
      </w:r>
      <w:r>
        <w:t xml:space="preserve">Factorization.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Regularization, Optimization, Kernels, and</w:t>
      </w:r>
      <w:r>
        <w:rPr>
          <w:iCs/>
          <w:i/>
        </w:rPr>
        <w:t xml:space="preserve"> </w:t>
      </w:r>
      <w:r>
        <w:rPr>
          <w:iCs/>
          <w:i/>
        </w:rPr>
        <w:t xml:space="preserve">Support Vector Machines</w:t>
      </w:r>
      <w:r>
        <w:t xml:space="preserve">, 257–91. Chapman; Hall/CRC.</w:t>
      </w:r>
    </w:p>
    <w:p>
      <w:pPr>
        <w:pStyle w:val="BodyText"/>
      </w:pPr>
      <w:r>
        <w:t xml:space="preserve">Gillis, Nicolas, and François Glineur. 2012.</w:t>
      </w:r>
      <w:r>
        <w:t xml:space="preserve"> </w:t>
      </w:r>
      <w:r>
        <w:t xml:space="preserve">“</w:t>
      </w:r>
      <w:r>
        <w:t xml:space="preserve">Accelerated</w:t>
      </w:r>
      <w:r>
        <w:t xml:space="preserve"> </w:t>
      </w:r>
      <w:r>
        <w:t xml:space="preserve">Multiplicative Updates and Hierarchical ALS Algorithms for Nonnegative</w:t>
      </w:r>
      <w:r>
        <w:t xml:space="preserve"> </w:t>
      </w:r>
      <w:r>
        <w:t xml:space="preserve">Matrix Factorization.</w:t>
      </w:r>
      <w:r>
        <w:t xml:space="preserve">”</w:t>
      </w:r>
      <w:r>
        <w:t xml:space="preserve"> </w:t>
      </w:r>
      <w:r>
        <w:rPr>
          <w:iCs/>
          <w:i/>
        </w:rPr>
        <w:t xml:space="preserve">Neural Computation</w:t>
      </w:r>
      <w:r>
        <w:t xml:space="preserve"> </w:t>
      </w:r>
      <w:r>
        <w:t xml:space="preserve">24 (4): 1085–105.</w:t>
      </w:r>
    </w:p>
    <w:p>
      <w:pPr>
        <w:pStyle w:val="BodyText"/>
      </w:pPr>
      <w:r>
        <w:t xml:space="preserve">Grippo, Luigi, and Marco Sciandrone. 2000.</w:t>
      </w:r>
      <w:r>
        <w:t xml:space="preserve"> </w:t>
      </w:r>
      <w:r>
        <w:t xml:space="preserve">“</w:t>
      </w:r>
      <w:r>
        <w:t xml:space="preserve">On the Convergence of the</w:t>
      </w:r>
      <w:r>
        <w:t xml:space="preserve"> </w:t>
      </w:r>
      <w:r>
        <w:t xml:space="preserve">Block Nonlinear Gauss–Seidel Method Under Convex Constraints.</w:t>
      </w:r>
      <w:r>
        <w:t xml:space="preserve">”</w:t>
      </w:r>
      <w:r>
        <w:t xml:space="preserve"> </w:t>
      </w:r>
      <w:r>
        <w:rPr>
          <w:iCs/>
          <w:i/>
        </w:rPr>
        <w:t xml:space="preserve">Operations Research Letters</w:t>
      </w:r>
      <w:r>
        <w:t xml:space="preserve"> </w:t>
      </w:r>
      <w:r>
        <w:t xml:space="preserve">26 (3): 127–36.</w:t>
      </w:r>
    </w:p>
    <w:p>
      <w:pPr>
        <w:pStyle w:val="BodyText"/>
      </w:pPr>
      <w:r>
        <w:t xml:space="preserve">Kim, Hoyer, and Haesun Park. 2007.</w:t>
      </w:r>
      <w:r>
        <w:t xml:space="preserve"> </w:t>
      </w:r>
      <w:r>
        <w:t xml:space="preserve">“</w:t>
      </w:r>
      <w:r>
        <w:t xml:space="preserve">Sparse Non-Negative Matrix</w:t>
      </w:r>
      <w:r>
        <w:t xml:space="preserve"> </w:t>
      </w:r>
      <w:r>
        <w:t xml:space="preserve">Factorization for Clustering.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Scientific Computing</w:t>
      </w:r>
      <w:r>
        <w:t xml:space="preserve"> </w:t>
      </w:r>
      <w:r>
        <w:t xml:space="preserve">36: 205–22.</w:t>
      </w:r>
    </w:p>
    <w:p>
      <w:pPr>
        <w:pStyle w:val="BodyText"/>
      </w:pPr>
      <w:r>
        <w:t xml:space="preserve">Laurberg, Hans, Mads Græsbøll Christensen, Mark D Plumbley, Lars Kai</w:t>
      </w:r>
      <w:r>
        <w:t xml:space="preserve"> </w:t>
      </w:r>
      <w:r>
        <w:t xml:space="preserve">Hansen, and Søren Holdt Jensen. 2008.</w:t>
      </w:r>
      <w:r>
        <w:t xml:space="preserve"> </w:t>
      </w:r>
      <w:r>
        <w:t xml:space="preserve">“</w:t>
      </w:r>
      <w:r>
        <w:t xml:space="preserve">Theorems on the Uniqueness of</w:t>
      </w:r>
      <w:r>
        <w:t xml:space="preserve"> </w:t>
      </w:r>
      <w:r>
        <w:t xml:space="preserve">Nonnegative Matrix Factorization.</w:t>
      </w:r>
      <w:r>
        <w:t xml:space="preserve">”</w:t>
      </w:r>
      <w:r>
        <w:t xml:space="preserve"> </w:t>
      </w:r>
      <w:r>
        <w:rPr>
          <w:iCs/>
          <w:i/>
        </w:rPr>
        <w:t xml:space="preserve">Neurocomputing</w:t>
      </w:r>
      <w:r>
        <w:t xml:space="preserve"> </w:t>
      </w:r>
      <w:r>
        <w:t xml:space="preserve">71 (1-3):</w:t>
      </w:r>
      <w:r>
        <w:t xml:space="preserve"> </w:t>
      </w:r>
      <w:r>
        <w:t xml:space="preserve">606–16.</w:t>
      </w:r>
    </w:p>
    <w:p>
      <w:pPr>
        <w:pStyle w:val="BodyText"/>
      </w:pPr>
      <w:r>
        <w:t xml:space="preserve">Leary, Jack R, Yi Xu, Ashley B Morrison, Chong Jin, Emily C Shen, Peyton</w:t>
      </w:r>
      <w:r>
        <w:t xml:space="preserve"> </w:t>
      </w:r>
      <w:r>
        <w:t xml:space="preserve">C Kuhlers, Ye Su, Naim U Rashid, Jen Jen Yeh, and Xianlu Laura Peng.</w:t>
      </w:r>
      <w:r>
        <w:t xml:space="preserve"> </w:t>
      </w:r>
      <w:r>
        <w:t xml:space="preserve">2023.</w:t>
      </w:r>
      <w:r>
        <w:t xml:space="preserve"> </w:t>
      </w:r>
      <w:r>
        <w:t xml:space="preserve">“</w:t>
      </w:r>
      <w:r>
        <w:t xml:space="preserve">S Ub-c Luster i Dentification Through s Emi-s Upervised o</w:t>
      </w:r>
      <w:r>
        <w:t xml:space="preserve"> </w:t>
      </w:r>
      <w:r>
        <w:t xml:space="preserve">Ptimization of r Are-Cell s Ilhouettes (SCISSORS) in Single-Cell</w:t>
      </w:r>
      <w:r>
        <w:t xml:space="preserve"> </w:t>
      </w:r>
      <w:r>
        <w:t xml:space="preserve">RNA-Sequencing.</w:t>
      </w:r>
      <w:r>
        <w:t xml:space="preserve">”</w:t>
      </w:r>
      <w:r>
        <w:t xml:space="preserve"> </w:t>
      </w:r>
      <w:r>
        <w:rPr>
          <w:iCs/>
          <w:i/>
        </w:rPr>
        <w:t xml:space="preserve">Bioinformatics</w:t>
      </w:r>
      <w:r>
        <w:t xml:space="preserve"> </w:t>
      </w:r>
      <w:r>
        <w:t xml:space="preserve">39 (8): btad449.</w:t>
      </w:r>
    </w:p>
    <w:p>
      <w:pPr>
        <w:pStyle w:val="BodyText"/>
      </w:pPr>
      <w:r>
        <w:t xml:space="preserve">Lee, Daniel D., and H. Sebastian Seung. 2001.</w:t>
      </w:r>
      <w:r>
        <w:t xml:space="preserve"> </w:t>
      </w:r>
      <w:r>
        <w:t xml:space="preserve">“</w:t>
      </w:r>
      <w:r>
        <w:t xml:space="preserve">Algorithms for</w:t>
      </w:r>
      <w:r>
        <w:t xml:space="preserve"> </w:t>
      </w:r>
      <w:r>
        <w:t xml:space="preserve">Non-Negative Matrix Factorization.</w:t>
      </w:r>
      <w:r>
        <w:t xml:space="preserve">”</w:t>
      </w:r>
      <w:r>
        <w:t xml:space="preserve"> </w:t>
      </w:r>
      <w:r>
        <w:rPr>
          <w:iCs/>
          <w:i/>
        </w:rPr>
        <w:t xml:space="preserve">Advances in Neural</w:t>
      </w:r>
      <w:r>
        <w:rPr>
          <w:iCs/>
          <w:i/>
        </w:rPr>
        <w:t xml:space="preserve"> </w:t>
      </w:r>
      <w:r>
        <w:rPr>
          <w:iCs/>
          <w:i/>
        </w:rPr>
        <w:t xml:space="preserve">Information Processing Systems</w:t>
      </w:r>
      <w:r>
        <w:t xml:space="preserve"> </w:t>
      </w:r>
      <w:r>
        <w:t xml:space="preserve">13 (556-562): 35.</w:t>
      </w:r>
    </w:p>
    <w:p>
      <w:pPr>
        <w:pStyle w:val="BodyText"/>
      </w:pPr>
      <w:r>
        <w:t xml:space="preserve">Lin, Chih-Jen. 2007.</w:t>
      </w:r>
      <w:r>
        <w:t xml:space="preserve"> </w:t>
      </w:r>
      <w:r>
        <w:t xml:space="preserve">“</w:t>
      </w:r>
      <w:r>
        <w:t xml:space="preserve">On the Convergence of Multiplicative Update</w:t>
      </w:r>
      <w:r>
        <w:t xml:space="preserve"> </w:t>
      </w:r>
      <w:r>
        <w:t xml:space="preserve">Algorithms for Nonnegative Matrix Factorization.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Transactions on Neural Networks</w:t>
      </w:r>
      <w:r>
        <w:t xml:space="preserve"> </w:t>
      </w:r>
      <w:r>
        <w:t xml:space="preserve">18 (6): 1589–96.</w:t>
      </w:r>
    </w:p>
    <w:p>
      <w:pPr>
        <w:pStyle w:val="BodyText"/>
      </w:pPr>
      <w:r>
        <w:t xml:space="preserve">Moffitt, Richard A, Raoud Marayati, Elizabeth L Flate, Keith E Volmar, S</w:t>
      </w:r>
      <w:r>
        <w:t xml:space="preserve"> </w:t>
      </w:r>
      <w:r>
        <w:t xml:space="preserve">Gabriela Herrera Loeza, Katherine A Hoadley, Naim U Rashid, et al. 2015.</w:t>
      </w:r>
      <w:r>
        <w:t xml:space="preserve"> </w:t>
      </w:r>
      <w:r>
        <w:t xml:space="preserve">“</w:t>
      </w:r>
      <w:r>
        <w:t xml:space="preserve">Virtual Microdissection Identifies Distinct Tumor-and Stroma-Specific</w:t>
      </w:r>
      <w:r>
        <w:t xml:space="preserve"> </w:t>
      </w:r>
      <w:r>
        <w:t xml:space="preserve">Subtypes of Pancreatic Ductal Adenocarcinoma.</w:t>
      </w:r>
      <w:r>
        <w:t xml:space="preserve">”</w:t>
      </w:r>
      <w:r>
        <w:t xml:space="preserve"> </w:t>
      </w:r>
      <w:r>
        <w:rPr>
          <w:iCs/>
          <w:i/>
        </w:rPr>
        <w:t xml:space="preserve">Nature Genetics</w:t>
      </w:r>
      <w:r>
        <w:t xml:space="preserve"> </w:t>
      </w:r>
      <w:r>
        <w:t xml:space="preserve">47 (10): 1168–78.</w:t>
      </w:r>
    </w:p>
    <w:p>
      <w:pPr>
        <w:pStyle w:val="BodyText"/>
      </w:pPr>
      <w:r>
        <w:t xml:space="preserve">Pascual-Montano, Alberto, Jose M. Carazo, Kenfei Kochi, Daniel Lehmann,</w:t>
      </w:r>
      <w:r>
        <w:t xml:space="preserve"> </w:t>
      </w:r>
      <w:r>
        <w:t xml:space="preserve">and Roberto D. Pascual-Marqui. 2006.</w:t>
      </w:r>
      <w:r>
        <w:t xml:space="preserve"> </w:t>
      </w:r>
      <w:r>
        <w:t xml:space="preserve">“</w:t>
      </w:r>
      <w:r>
        <w:t xml:space="preserve">Nonsmooth Nonnegative Matrix</w:t>
      </w:r>
      <w:r>
        <w:t xml:space="preserve"> </w:t>
      </w:r>
      <w:r>
        <w:t xml:space="preserve">Factorization.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Pattern Analysis and</w:t>
      </w:r>
      <w:r>
        <w:rPr>
          <w:iCs/>
          <w:i/>
        </w:rPr>
        <w:t xml:space="preserve"> </w:t>
      </w:r>
      <w:r>
        <w:rPr>
          <w:iCs/>
          <w:i/>
        </w:rPr>
        <w:t xml:space="preserve">Machine Intelligence</w:t>
      </w:r>
      <w:r>
        <w:t xml:space="preserve"> </w:t>
      </w:r>
      <w:r>
        <w:t xml:space="preserve">28 (3): 403–15.</w:t>
      </w:r>
      <w:r>
        <w:t xml:space="preserve"> </w:t>
      </w:r>
      <w:hyperlink r:id="rId42">
        <w:r>
          <w:rPr>
            <w:rStyle w:val="Hyperlink"/>
          </w:rPr>
          <w:t xml:space="preserve">https://doi.org/10.1109/TPAMI.2006.60</w:t>
        </w:r>
      </w:hyperlink>
      <w:r>
        <w:t xml:space="preserve">.</w:t>
      </w:r>
    </w:p>
    <w:p>
      <w:pPr>
        <w:pStyle w:val="BodyText"/>
      </w:pPr>
      <w:r>
        <w:t xml:space="preserve">Peng, Xianlu Laura, Ian C McCabe, Elena V Kharitonova, Yi Xu, Ryan T</w:t>
      </w:r>
      <w:r>
        <w:t xml:space="preserve"> </w:t>
      </w:r>
      <w:r>
        <w:t xml:space="preserve">Zhao, Changfei Luan, Joseph F Kearney, et al. 2026.</w:t>
      </w:r>
      <w:r>
        <w:t xml:space="preserve"> </w:t>
      </w:r>
      <w:r>
        <w:t xml:space="preserve">“</w:t>
      </w:r>
      <w:r>
        <w:t xml:space="preserve">DeCAF Defines</w:t>
      </w:r>
      <w:r>
        <w:t xml:space="preserve"> </w:t>
      </w:r>
      <w:r>
        <w:t xml:space="preserve">Clinical Fibroblast Subtypes and Multidimensional Tumor-Stroma Crosstalk</w:t>
      </w:r>
      <w:r>
        <w:t xml:space="preserve"> </w:t>
      </w:r>
      <w:r>
        <w:t xml:space="preserve">Shaping Prognosis and Immunotherapy Response.</w:t>
      </w:r>
      <w:r>
        <w:t xml:space="preserve">”</w:t>
      </w:r>
      <w:r>
        <w:t xml:space="preserve"> </w:t>
      </w:r>
      <w:r>
        <w:rPr>
          <w:iCs/>
          <w:i/>
        </w:rPr>
        <w:t xml:space="preserve">Cell Reports</w:t>
      </w:r>
      <w:r>
        <w:rPr>
          <w:iCs/>
          <w:i/>
        </w:rPr>
        <w:t xml:space="preserve"> </w:t>
      </w:r>
      <w:r>
        <w:rPr>
          <w:iCs/>
          <w:i/>
        </w:rPr>
        <w:t xml:space="preserve">Medicine</w:t>
      </w:r>
      <w:r>
        <w:t xml:space="preserve"> </w:t>
      </w:r>
      <w:r>
        <w:t xml:space="preserve">7 (2): 102611.</w:t>
      </w:r>
      <w:r>
        <w:t xml:space="preserve"> </w:t>
      </w:r>
      <w:hyperlink r:id="rId43">
        <w:r>
          <w:rPr>
            <w:rStyle w:val="Hyperlink"/>
          </w:rPr>
          <w:t xml:space="preserve">https://doi.org/10.1016/j.xcrm.2026.102611</w:t>
        </w:r>
      </w:hyperlink>
      <w:r>
        <w:t xml:space="preserve">.</w:t>
      </w:r>
    </w:p>
    <w:p>
      <w:pPr>
        <w:pStyle w:val="BodyText"/>
      </w:pPr>
      <w:r>
        <w:t xml:space="preserve">Peng, Xianlu Laura, Richard A Moffitt, Robert J Torphy, Keith E Volmar,</w:t>
      </w:r>
      <w:r>
        <w:t xml:space="preserve"> </w:t>
      </w:r>
      <w:r>
        <w:t xml:space="preserve">and Jen Jen Yeh. 2019.</w:t>
      </w:r>
      <w:r>
        <w:t xml:space="preserve"> </w:t>
      </w:r>
      <w:r>
        <w:t xml:space="preserve">“</w:t>
      </w:r>
      <w:r>
        <w:t xml:space="preserve">De Novo Compartment Deconvolution and Weight</w:t>
      </w:r>
      <w:r>
        <w:t xml:space="preserve"> </w:t>
      </w:r>
      <w:r>
        <w:t xml:space="preserve">Estimation of Tumor Samples Using DECODER.</w:t>
      </w:r>
      <w:r>
        <w:t xml:space="preserve">”</w:t>
      </w:r>
      <w:r>
        <w:t xml:space="preserve"> </w:t>
      </w:r>
      <w:r>
        <w:rPr>
          <w:iCs/>
          <w:i/>
        </w:rPr>
        <w:t xml:space="preserve">Nature</w:t>
      </w:r>
      <w:r>
        <w:rPr>
          <w:iCs/>
          <w:i/>
        </w:rPr>
        <w:t xml:space="preserve"> </w:t>
      </w:r>
      <w:r>
        <w:rPr>
          <w:iCs/>
          <w:i/>
        </w:rPr>
        <w:t xml:space="preserve">Communications</w:t>
      </w:r>
      <w:r>
        <w:t xml:space="preserve"> </w:t>
      </w:r>
      <w:r>
        <w:t xml:space="preserve">10 (1): 4729.</w:t>
      </w:r>
    </w:p>
    <w:p>
      <w:pPr>
        <w:pStyle w:val="BodyText"/>
      </w:pPr>
      <w:r>
        <w:t xml:space="preserve">Puleo, Francesco, Rémy Nicolle, Yuna Blum, Jérôme Cros, Laetitia Marisa,</w:t>
      </w:r>
      <w:r>
        <w:t xml:space="preserve"> </w:t>
      </w:r>
      <w:r>
        <w:t xml:space="preserve">Pieter Demetter, Eric Quertinmont, et al. 2018.</w:t>
      </w:r>
      <w:r>
        <w:t xml:space="preserve"> </w:t>
      </w:r>
      <w:r>
        <w:t xml:space="preserve">“</w:t>
      </w:r>
      <w:r>
        <w:t xml:space="preserve">Stratification of</w:t>
      </w:r>
      <w:r>
        <w:t xml:space="preserve"> </w:t>
      </w:r>
      <w:r>
        <w:t xml:space="preserve">Pancreatic Ductal Adenocarcinomas Based on Tumor and Microenvironment</w:t>
      </w:r>
      <w:r>
        <w:t xml:space="preserve"> </w:t>
      </w:r>
      <w:r>
        <w:t xml:space="preserve">Features.</w:t>
      </w:r>
      <w:r>
        <w:t xml:space="preserve">”</w:t>
      </w:r>
      <w:r>
        <w:t xml:space="preserve"> </w:t>
      </w:r>
      <w:r>
        <w:rPr>
          <w:iCs/>
          <w:i/>
        </w:rPr>
        <w:t xml:space="preserve">Gastroenterology</w:t>
      </w:r>
      <w:r>
        <w:t xml:space="preserve"> </w:t>
      </w:r>
      <w:r>
        <w:t xml:space="preserve">155 (6): 1999–2013.</w:t>
      </w:r>
    </w:p>
    <w:p>
      <w:pPr>
        <w:pStyle w:val="BodyText"/>
      </w:pPr>
      <w:r>
        <w:t xml:space="preserve">Raphael, Benjamin J, Ralph H Hruban, Andrew J Aguirre, Richard A</w:t>
      </w:r>
      <w:r>
        <w:t xml:space="preserve"> </w:t>
      </w:r>
      <w:r>
        <w:t xml:space="preserve">Moffitt, Jen Jen Yeh, Chip Stewart, A Gordon Robertson, et al. 2017.</w:t>
      </w:r>
      <w:r>
        <w:t xml:space="preserve"> </w:t>
      </w:r>
      <w:r>
        <w:t xml:space="preserve">“</w:t>
      </w:r>
      <w:r>
        <w:t xml:space="preserve">Integrated Genomic Characterization of Pancreatic Ductal</w:t>
      </w:r>
      <w:r>
        <w:t xml:space="preserve"> </w:t>
      </w:r>
      <w:r>
        <w:t xml:space="preserve">Adenocarcinoma.</w:t>
      </w:r>
      <w:r>
        <w:t xml:space="preserve">”</w:t>
      </w:r>
      <w:r>
        <w:t xml:space="preserve"> </w:t>
      </w:r>
      <w:r>
        <w:rPr>
          <w:iCs/>
          <w:i/>
        </w:rPr>
        <w:t xml:space="preserve">Cancer Cell</w:t>
      </w:r>
      <w:r>
        <w:t xml:space="preserve"> </w:t>
      </w:r>
      <w:r>
        <w:t xml:space="preserve">32 (2): 185–203.</w:t>
      </w:r>
    </w:p>
    <w:p>
      <w:pPr>
        <w:pStyle w:val="BodyText"/>
      </w:pPr>
      <w:r>
        <w:t xml:space="preserve">Rashid, Naim U, Xianlu L Peng, Chong Jin, Richard A Moffitt, Keith E</w:t>
      </w:r>
      <w:r>
        <w:t xml:space="preserve"> </w:t>
      </w:r>
      <w:r>
        <w:t xml:space="preserve">Volmar, Brian A Belt, Roheena Z Panni, et al. 2020.</w:t>
      </w:r>
      <w:r>
        <w:t xml:space="preserve"> </w:t>
      </w:r>
      <w:r>
        <w:t xml:space="preserve">“</w:t>
      </w:r>
      <w:r>
        <w:t xml:space="preserve">Purity</w:t>
      </w:r>
      <w:r>
        <w:t xml:space="preserve"> </w:t>
      </w:r>
      <w:r>
        <w:t xml:space="preserve">Independent Subtyping of Tumors (PurIST), a Clinically Robust,</w:t>
      </w:r>
      <w:r>
        <w:t xml:space="preserve"> </w:t>
      </w:r>
      <w:r>
        <w:t xml:space="preserve">Single-Sample Classifier for Tumor Subtyping in Pancreatic Cancer.</w:t>
      </w:r>
      <w:r>
        <w:t xml:space="preserve">”</w:t>
      </w:r>
      <w:r>
        <w:t xml:space="preserve"> </w:t>
      </w:r>
      <w:r>
        <w:rPr>
          <w:iCs/>
          <w:i/>
        </w:rPr>
        <w:t xml:space="preserve">Clinical Cancer Research</w:t>
      </w:r>
      <w:r>
        <w:t xml:space="preserve"> </w:t>
      </w:r>
      <w:r>
        <w:t xml:space="preserve">26 (1): 82–92.</w:t>
      </w:r>
    </w:p>
    <w:p>
      <w:pPr>
        <w:pStyle w:val="BodyText"/>
      </w:pPr>
      <w:r>
        <w:t xml:space="preserve">Simon, Noah, Jerome H Friedman, Trevor Hastie, and Rob Tibshirani. 2011.</w:t>
      </w:r>
      <w:r>
        <w:t xml:space="preserve"> </w:t>
      </w:r>
      <w:r>
        <w:t xml:space="preserve">“</w:t>
      </w:r>
      <w:r>
        <w:t xml:space="preserve">Regularization Paths for Cox’s Proportional Hazards Model via</w:t>
      </w:r>
      <w:r>
        <w:t xml:space="preserve"> </w:t>
      </w:r>
      <w:r>
        <w:t xml:space="preserve">Coordinate Descent.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Statistical Software</w:t>
      </w:r>
      <w:r>
        <w:t xml:space="preserve"> </w:t>
      </w:r>
      <w:r>
        <w:t xml:space="preserve">39: 1–13.</w:t>
      </w:r>
    </w:p>
    <w:p>
      <w:pPr>
        <w:pStyle w:val="BodyText"/>
      </w:pPr>
      <w:r>
        <w:t xml:space="preserve">Tseng, Paul. 2001.</w:t>
      </w:r>
      <w:r>
        <w:t xml:space="preserve"> </w:t>
      </w:r>
      <w:r>
        <w:t xml:space="preserve">“</w:t>
      </w:r>
      <w:r>
        <w:t xml:space="preserve">Convergence of a Block Coordinate Descent Method</w:t>
      </w:r>
      <w:r>
        <w:t xml:space="preserve"> </w:t>
      </w:r>
      <w:r>
        <w:t xml:space="preserve">for Nondifferentiable Minimization.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Optimization</w:t>
      </w:r>
      <w:r>
        <w:rPr>
          <w:iCs/>
          <w:i/>
        </w:rPr>
        <w:t xml:space="preserve"> </w:t>
      </w:r>
      <w:r>
        <w:rPr>
          <w:iCs/>
          <w:i/>
        </w:rPr>
        <w:t xml:space="preserve">Theory and Applications</w:t>
      </w:r>
      <w:r>
        <w:t xml:space="preserve"> </w:t>
      </w:r>
      <w:r>
        <w:t xml:space="preserve">109 (3): 475–94.</w:t>
      </w:r>
    </w:p>
    <w:p>
      <w:pPr>
        <w:pStyle w:val="BodyText"/>
      </w:pPr>
      <w:r>
        <w:t xml:space="preserve">Wang, Kai, Peng Yang, Ying Yang, and Li Sun. 2014.</w:t>
      </w:r>
      <w:r>
        <w:t xml:space="preserve"> </w:t>
      </w:r>
      <w:r>
        <w:t xml:space="preserve">“</w:t>
      </w:r>
      <w:r>
        <w:t xml:space="preserve">A Novel Supervised</w:t>
      </w:r>
      <w:r>
        <w:t xml:space="preserve"> </w:t>
      </w:r>
      <w:r>
        <w:t xml:space="preserve">Nonnegative Matrix Factorization Algorithm for Gene Expression</w:t>
      </w:r>
      <w:r>
        <w:t xml:space="preserve"> </w:t>
      </w:r>
      <w:r>
        <w:t xml:space="preserve">Classification.</w:t>
      </w:r>
      <w:r>
        <w:t xml:space="preserve">”</w:t>
      </w:r>
      <w:r>
        <w:t xml:space="preserve"> </w:t>
      </w:r>
      <w:r>
        <w:rPr>
          <w:iCs/>
          <w:i/>
        </w:rPr>
        <w:t xml:space="preserve">Computational Biology and Chemistry</w:t>
      </w:r>
      <w:r>
        <w:t xml:space="preserve"> </w:t>
      </w:r>
      <w:r>
        <w:t xml:space="preserve">53:</w:t>
      </w:r>
      <w:r>
        <w:t xml:space="preserve"> </w:t>
      </w:r>
      <w:r>
        <w:t xml:space="preserve">189–97.</w:t>
      </w:r>
    </w:p>
    <w:p>
      <w:pPr>
        <w:pStyle w:val="BodyText"/>
      </w:pPr>
      <w:r>
        <w:t xml:space="preserve">Zhao, Lan, Hongya Zhao, and Hong Yan. 2018.</w:t>
      </w:r>
      <w:r>
        <w:t xml:space="preserve"> </w:t>
      </w:r>
      <w:r>
        <w:t xml:space="preserve">“</w:t>
      </w:r>
      <w:r>
        <w:t xml:space="preserve">Gene Expression Profiling</w:t>
      </w:r>
      <w:r>
        <w:t xml:space="preserve"> </w:t>
      </w:r>
      <w:r>
        <w:t xml:space="preserve">of 1200 Pancreatic Ductal Adenocarcinoma Reveals Novel Subtypes.</w:t>
      </w:r>
      <w:r>
        <w:t xml:space="preserve">”</w:t>
      </w:r>
      <w:r>
        <w:t xml:space="preserve"> </w:t>
      </w:r>
      <w:r>
        <w:rPr>
          <w:iCs/>
          <w:i/>
        </w:rPr>
        <w:t xml:space="preserve">BMC Cancer</w:t>
      </w:r>
      <w:r>
        <w:t xml:space="preserve"> </w:t>
      </w:r>
      <w:r>
        <w:t xml:space="preserve">18 (1): 603.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https://doi.org/10.1016/j.xcrm.2026.102611" TargetMode="External" /><Relationship Type="http://schemas.openxmlformats.org/officeDocument/2006/relationships/hyperlink" Id="rId41" Target="https://doi.org/10.1038/nature16965" TargetMode="External" /><Relationship Type="http://schemas.openxmlformats.org/officeDocument/2006/relationships/hyperlink" Id="rId42" Target="https://doi.org/10.1109/TPAMI.2006.6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16/j.xcrm.2026.102611" TargetMode="External" /><Relationship Type="http://schemas.openxmlformats.org/officeDocument/2006/relationships/hyperlink" Id="rId41" Target="https://doi.org/10.1038/nature16965" TargetMode="External" /><Relationship Type="http://schemas.openxmlformats.org/officeDocument/2006/relationships/hyperlink" Id="rId42" Target="https://doi.org/10.1109/TPAMI.2006.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Methods</dc:title>
  <dc:creator>Amber M. Young</dc:creator>
  <cp:keywords/>
  <dcterms:created xsi:type="dcterms:W3CDTF">2026-03-11T21:19:33Z</dcterms:created>
  <dcterms:modified xsi:type="dcterms:W3CDTF">2026-03-11T21:19:33Z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