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1F6FB2"/>
          <w:sz w:val="26"/>
          <w:szCs w:val="26"/>
        </w:rPr>
        <w:t xml:space="preserve">ANALYSE CONCURRENTIELLE</w:t>
      </w:r>
    </w:p>
    <w:p>
      <w:pPr>
        <w:pStyle w:val="Title"/>
        <w:spacing w:after="80"/>
      </w:pPr>
      <w:r>
        <w:t xml:space="preserve">DP (Document Préalable) face à Vesta</w:t>
      </w:r>
    </w:p>
    <w:p>
      <w:pPr>
        <w:spacing w:after="40"/>
      </w:pPr>
      <w:r>
        <w:rPr>
          <w:i/>
          <w:iCs/>
          <w:color w:val="555555"/>
          <w:sz w:val="24"/>
          <w:szCs w:val="24"/>
        </w:rPr>
        <w:t xml:space="preserve">Comment DP peut se différencier et rivaliser sur le marché français de l’automatisation des démarches d’urbanisme</w:t>
      </w:r>
    </w:p>
    <w:p>
      <w:pPr>
        <w:pBdr>
          <w:top w:val="single" w:color="1F6FB2" w:sz="6" w:space="6"/>
        </w:pBdr>
        <w:spacing w:before="400"/>
      </w:pPr>
      <w:r>
        <w:rPr>
          <w:b/>
          <w:bCs/>
          <w:color w:val="0B2E4F"/>
          <w:sz w:val="22"/>
          <w:szCs w:val="22"/>
        </w:rPr>
        <w:t xml:space="preserve">Brief complet — Produit &amp; Go-to-Market</w:t>
      </w:r>
    </w:p>
    <w:p>
      <w:pPr>
        <w:spacing w:after="120" w:line="276"/>
        <w:jc w:val="left"/>
      </w:pPr>
      <w:r>
        <w:rPr>
          <w:b w:val="false"/>
          <w:bCs w:val="false"/>
          <w:i w:val="false"/>
          <w:iCs w:val="false"/>
          <w:color w:val="555555"/>
        </w:rPr>
        <w:t xml:space="preserve">Date : 10 juillet 2026</w:t>
      </w:r>
    </w:p>
    <w:p>
      <w:pPr>
        <w:spacing w:after="120" w:line="276"/>
        <w:jc w:val="left"/>
      </w:pPr>
      <w:r>
        <w:rPr>
          <w:b w:val="false"/>
          <w:bCs w:val="false"/>
          <w:i w:val="false"/>
          <w:iCs w:val="false"/>
          <w:color w:val="555555"/>
        </w:rPr>
        <w:t xml:space="preserve">Objet : évaluation de vesta.eco comme concurrent, et pistes de différenciation pour DP</w:t>
      </w:r>
    </w:p>
    <w:p>
      <w:r>
        <w:br w:type="page"/>
      </w:r>
    </w:p>
    <w:p>
      <w:pPr>
        <w:pStyle w:val="Heading1"/>
      </w:pPr>
      <w:r>
        <w:t xml:space="preserve">1. Résumé exécutif</w:t>
      </w:r>
    </w:p>
    <w:p>
      <w:pPr>
        <w:spacing w:after="120" w:line="276"/>
        <w:jc w:val="left"/>
      </w:pPr>
      <w:r>
        <w:rPr>
          <w:b w:val="false"/>
          <w:bCs w:val="false"/>
          <w:i w:val="false"/>
          <w:iCs w:val="false"/>
        </w:rPr>
        <w:t xml:space="preserve">Vesta (vesta.eco) est une plateforme logicielle tout-en-un destinée aux installateurs d’énergies renouvelables (photovoltaïque, pompe à chaleur, batterie, climatisation, borne de recharge). Elle couvre l’ensemble du cycle de vente : récupération de la consommation réelle via Enedis, modélisation 3D du bâtiment par IA, calcul du productible, génération de devis et de propositions commerciales personnalisées, signature électronique et génération des documents administratifs (déclaration préalable en mairie, raccordement Enedis, Consuel).</w:t>
      </w:r>
    </w:p>
    <w:p>
      <w:pPr>
        <w:spacing w:after="120" w:line="276"/>
        <w:jc w:val="left"/>
      </w:pPr>
      <w:r>
        <w:rPr>
          <w:b w:val="false"/>
          <w:bCs w:val="false"/>
          <w:i w:val="false"/>
          <w:iCs w:val="false"/>
        </w:rPr>
        <w:t xml:space="preserve">DP, votre projet, est une application d’IA dédiée : elle simplifie et automatise la création de la déclaration préalable de travaux pour un public large (particuliers, artisans, architectes et agences). En quelques minutes, l’IA analyse les informations, effectue les recherches nécessaires et génère un dossier complet et conforme, prêt à être envoyé à la mairie.</w:t>
      </w:r>
    </w:p>
    <w:p>
      <w:pPr>
        <w:spacing w:after="120" w:line="276"/>
        <w:jc w:val="left"/>
      </w:pPr>
      <w:r>
        <w:rPr>
          <w:b/>
          <w:bCs/>
          <w:i w:val="false"/>
          <w:iCs w:val="false"/>
        </w:rPr>
        <w:t xml:space="preserve">Conclusion centrale : Vesta n’est pas un concurrent frontal de DP. C’est un concurrent adjacent et partiel. Pour Vesta, la déclaration préalable n’est qu’une brique parmi d’autres, réservée aux installateurs PV, intégrée à une suite vendue en mode démo/B2B. DP, à l’inverse, est un produit horizontal, focalisé, potentiellement en libre-service, ouvert à tous les types de travaux et à un marché bien plus large.</w:t>
      </w:r>
    </w:p>
    <w:p>
      <w:pPr>
        <w:pStyle w:val="Heading2"/>
      </w:pPr>
      <w:r>
        <w:t xml:space="preserve">Les 3 messages à retenir</w:t>
      </w:r>
    </w:p>
    <w:p>
      <w:pPr>
        <w:pStyle w:val="ListParagraph"/>
        <w:numPr>
          <w:ilvl w:val="0"/>
          <w:numId w:val="2"/>
        </w:numPr>
        <w:spacing w:after="60" w:line="268"/>
      </w:pPr>
      <w:r>
        <w:rPr>
          <w:b/>
          <w:bCs/>
        </w:rPr>
        <w:t xml:space="preserve">Ne pas affronter Vesta sur son terrain. </w:t>
      </w:r>
      <w:r>
        <w:t xml:space="preserve">Rivaliser sur l’ensemble de la suite installateur PV serait coûteux et perdant d’avance. La bataille de DP se joue sur la profondeur et l’accessibilité de la déclaration préalable, pas sur le CRM solaire.</w:t>
      </w:r>
    </w:p>
    <w:p>
      <w:pPr>
        <w:pStyle w:val="ListParagraph"/>
        <w:numPr>
          <w:ilvl w:val="0"/>
          <w:numId w:val="2"/>
        </w:numPr>
        <w:spacing w:after="60" w:line="268"/>
      </w:pPr>
      <w:r>
        <w:rPr>
          <w:b/>
          <w:bCs/>
        </w:rPr>
        <w:t xml:space="preserve">L’avantage de DP est l’horizontalité. </w:t>
      </w:r>
      <w:r>
        <w:t xml:space="preserve">Vesta ne traite la DP que pour le PV (CERFA 13703). DP peut couvrir tous les projets (clôture, abri, extension, ravalement, piscine, panneaux, etc.) et tous les CERFA, pour particuliers comme pros.</w:t>
      </w:r>
    </w:p>
    <w:p>
      <w:pPr>
        <w:pStyle w:val="ListParagraph"/>
        <w:numPr>
          <w:ilvl w:val="0"/>
          <w:numId w:val="2"/>
        </w:numPr>
        <w:spacing w:after="60" w:line="268"/>
      </w:pPr>
      <w:r>
        <w:rPr>
          <w:b/>
          <w:bCs/>
        </w:rPr>
        <w:t xml:space="preserve">Les vrais concurrents de DP sont Urbassist, Algar, Likio, Kawadessin. </w:t>
      </w:r>
      <w:r>
        <w:t xml:space="preserve">Vesta est à surveiller comme menace de débordement, mais le combat quotidien se joue face aux spécialistes de l’urbanisme en ligne.</w:t>
      </w:r>
    </w:p>
    <w:p>
      <w:pPr>
        <w:pStyle w:val="Heading1"/>
      </w:pPr>
      <w:r>
        <w:t xml:space="preserve">2. Portrait de Vesta</w:t>
      </w:r>
    </w:p>
    <w:p>
      <w:pPr>
        <w:spacing w:after="120" w:line="276"/>
        <w:jc w:val="left"/>
      </w:pPr>
      <w:r>
        <w:rPr>
          <w:b w:val="false"/>
          <w:bCs w:val="false"/>
          <w:i w:val="false"/>
          <w:iCs w:val="false"/>
        </w:rPr>
        <w:t xml:space="preserve">Positionnement affiché : « la plateforme de référence pour la rénovation énergétique ». Vesta s’adresse aux professionnels installateurs et vise à mettre « la puissance d’un bureau d’étude dans les mains des commerciaux ».</w:t>
      </w:r>
    </w:p>
    <w:p>
      <w:pPr>
        <w:pStyle w:val="Heading2"/>
      </w:pPr>
      <w:r>
        <w:t xml:space="preserve">Fonctionnalités clés</w:t>
      </w:r>
    </w:p>
    <w:p>
      <w:pPr>
        <w:pStyle w:val="ListParagraph"/>
        <w:numPr>
          <w:ilvl w:val="0"/>
          <w:numId w:val="2"/>
        </w:numPr>
        <w:spacing w:after="60" w:line="268"/>
      </w:pPr>
      <w:r>
        <w:t xml:space="preserve">Récupération de la consommation réelle du client via Enedis, avec analyse du profil de consommation.</w:t>
      </w:r>
    </w:p>
    <w:p>
      <w:pPr>
        <w:pStyle w:val="ListParagraph"/>
        <w:numPr>
          <w:ilvl w:val="0"/>
          <w:numId w:val="2"/>
        </w:numPr>
        <w:spacing w:after="60" w:line="268"/>
      </w:pPr>
      <w:r>
        <w:t xml:space="preserve">Modélisation 3D du bâtiment par IA (données cadastrales, LIDAR) et calepinage des panneaux.</w:t>
      </w:r>
    </w:p>
    <w:p>
      <w:pPr>
        <w:pStyle w:val="ListParagraph"/>
        <w:numPr>
          <w:ilvl w:val="0"/>
          <w:numId w:val="2"/>
        </w:numPr>
        <w:spacing w:after="60" w:line="268"/>
      </w:pPr>
      <w:r>
        <w:t xml:space="preserve">Calcul instantané du productible, du taux d’autoconsommation et de la rentabilité.</w:t>
      </w:r>
    </w:p>
    <w:p>
      <w:pPr>
        <w:pStyle w:val="ListParagraph"/>
        <w:numPr>
          <w:ilvl w:val="0"/>
          <w:numId w:val="2"/>
        </w:numPr>
        <w:spacing w:after="60" w:line="268"/>
      </w:pPr>
      <w:r>
        <w:t xml:space="preserve">Génération automatique de devis et comparaison de scénarios (solaire, batterie, PAC, borne) côte à côte.</w:t>
      </w:r>
    </w:p>
    <w:p>
      <w:pPr>
        <w:pStyle w:val="ListParagraph"/>
        <w:numPr>
          <w:ilvl w:val="0"/>
          <w:numId w:val="2"/>
        </w:numPr>
        <w:spacing w:after="60" w:line="268"/>
      </w:pPr>
      <w:r>
        <w:t xml:space="preserve">Éditeur de propositions commerciales par blocs, « façon Figma » (charte, variables client, modèles).</w:t>
      </w:r>
    </w:p>
    <w:p>
      <w:pPr>
        <w:pStyle w:val="ListParagraph"/>
        <w:numPr>
          <w:ilvl w:val="0"/>
          <w:numId w:val="2"/>
        </w:numPr>
        <w:spacing w:after="60" w:line="268"/>
      </w:pPr>
      <w:r>
        <w:t xml:space="preserve">Signature électronique intégrée et suivi client en temps réel.</w:t>
      </w:r>
    </w:p>
    <w:p>
      <w:pPr>
        <w:pStyle w:val="ListParagraph"/>
        <w:numPr>
          <w:ilvl w:val="0"/>
          <w:numId w:val="2"/>
        </w:numPr>
        <w:spacing w:after="60" w:line="268"/>
      </w:pPr>
      <w:r>
        <w:rPr>
          <w:b/>
          <w:bCs/>
        </w:rPr>
        <w:t xml:space="preserve">Démarches administratives : </w:t>
      </w:r>
      <w:r>
        <w:t xml:space="preserve">déclaration préalable en mairie (CERFA 13703*09 + 11 documents), raccordement Enedis (schéma unifilaire), Consuel (SC 144). Vesta revendique 96 % de dossiers acceptés du premier coup.</w:t>
      </w:r>
    </w:p>
    <w:p>
      <w:pPr>
        <w:pStyle w:val="ListParagraph"/>
        <w:numPr>
          <w:ilvl w:val="0"/>
          <w:numId w:val="2"/>
        </w:numPr>
        <w:spacing w:after="60" w:line="268"/>
      </w:pPr>
      <w:r>
        <w:t xml:space="preserve">Base de plus de 300 marques et 5 000 références produits pré-configurées ; intégrations API.</w:t>
      </w:r>
    </w:p>
    <w:p>
      <w:pPr>
        <w:pStyle w:val="Heading2"/>
      </w:pPr>
      <w:r>
        <w:t xml:space="preserve">Traction et preuves</w:t>
      </w:r>
    </w:p>
    <w:p>
      <w:pPr>
        <w:pStyle w:val="ListParagraph"/>
        <w:numPr>
          <w:ilvl w:val="0"/>
          <w:numId w:val="2"/>
        </w:numPr>
        <w:spacing w:after="60" w:line="268"/>
      </w:pPr>
      <w:r>
        <w:t xml:space="preserve">Plus de 4 000 projets de rénovation énergétique par mois réalisés sur la plateforme.</w:t>
      </w:r>
    </w:p>
    <w:p>
      <w:pPr>
        <w:pStyle w:val="ListParagraph"/>
        <w:numPr>
          <w:ilvl w:val="0"/>
          <w:numId w:val="2"/>
        </w:numPr>
        <w:spacing w:after="60" w:line="268"/>
      </w:pPr>
      <w:r>
        <w:t xml:space="preserve">70 GWh économisés et 2 600 tonnes de CO₂ évitées (chiffres revendiqués).</w:t>
      </w:r>
    </w:p>
    <w:p>
      <w:pPr>
        <w:pStyle w:val="ListParagraph"/>
        <w:numPr>
          <w:ilvl w:val="0"/>
          <w:numId w:val="2"/>
        </w:numPr>
        <w:spacing w:after="60" w:line="268"/>
      </w:pPr>
      <w:r>
        <w:t xml:space="preserve">Clients de référence : Hellio, Beem, Sunology, Soli, Solarock, Artyseo, Verlaine, Zilo.</w:t>
      </w:r>
    </w:p>
    <w:p>
      <w:pPr>
        <w:pStyle w:val="Heading2"/>
      </w:pPr>
      <w:r>
        <w:t xml:space="preserve">Modèle commercial</w:t>
      </w:r>
    </w:p>
    <w:p>
      <w:pPr>
        <w:spacing w:after="120" w:line="276"/>
        <w:jc w:val="left"/>
      </w:pPr>
      <w:r>
        <w:rPr>
          <w:b w:val="false"/>
          <w:bCs w:val="false"/>
          <w:i w:val="false"/>
          <w:iCs w:val="false"/>
        </w:rPr>
        <w:t xml:space="preserve">Vente B2B pilotée par la démo (« Demander une démo » / « Contacter notre équipe »), sans tarif public affiché — signe d’une approche sales-led orientée comptes installateurs plutôt que libre-service grand public.</w:t>
      </w:r>
    </w:p>
    <w:p>
      <w:pPr>
        <w:spacing w:after="120" w:before="40"/>
      </w:pPr>
      <w:r>
        <w:rPr>
          <w:i/>
          <w:iCs/>
          <w:color w:val="555555"/>
          <w:sz w:val="18"/>
          <w:szCs w:val="18"/>
        </w:rPr>
        <w:t xml:space="preserve">À noter : ne pas confondre avec « Vesta System » (pilotage énergétique, Grenoble) ni « Groupe Vesta Énergie » (Dordogne), entités distinctes sans lien avec le logiciel vesta.eco.</w:t>
      </w:r>
    </w:p>
    <w:p>
      <w:pPr>
        <w:pStyle w:val="Heading1"/>
      </w:pPr>
      <w:r>
        <w:t xml:space="preserve">3. Portrait de DP (votre projet)</w:t>
      </w:r>
    </w:p>
    <w:p>
      <w:pPr>
        <w:spacing w:after="120" w:line="276"/>
        <w:jc w:val="left"/>
      </w:pPr>
      <w:r>
        <w:rPr>
          <w:b w:val="false"/>
          <w:bCs w:val="false"/>
          <w:i w:val="false"/>
          <w:iCs w:val="false"/>
        </w:rPr>
        <w:t xml:space="preserve">DP est une solution basée sur l’intelligence artificielle qui simplifie et automatise la création des déclarations préalables de travaux. Elle accompagne l’utilisateur étape par étape (informations personnelles, description du projet, photos, plans) puis génère automatiquement un dossier complet et conforme, prêt à être envoyé à la mairie en moins de 10 minutes.</w:t>
      </w:r>
    </w:p>
    <w:p>
      <w:pPr>
        <w:pStyle w:val="Heading2"/>
      </w:pPr>
      <w:r>
        <w:t xml:space="preserve">Cible</w:t>
      </w:r>
    </w:p>
    <w:p>
      <w:pPr>
        <w:pStyle w:val="ListParagraph"/>
        <w:numPr>
          <w:ilvl w:val="0"/>
          <w:numId w:val="2"/>
        </w:numPr>
        <w:spacing w:after="60" w:line="268"/>
      </w:pPr>
      <w:r>
        <w:t xml:space="preserve">Particuliers réalisant des travaux (clôture, abri de jardin, extension, ravalement, piscine, panneaux solaires…).</w:t>
      </w:r>
    </w:p>
    <w:p>
      <w:pPr>
        <w:pStyle w:val="ListParagraph"/>
        <w:numPr>
          <w:ilvl w:val="0"/>
          <w:numId w:val="2"/>
        </w:numPr>
        <w:spacing w:after="60" w:line="268"/>
      </w:pPr>
      <w:r>
        <w:t xml:space="preserve">Artisans et petites entreprises du bâtiment.</w:t>
      </w:r>
    </w:p>
    <w:p>
      <w:pPr>
        <w:pStyle w:val="ListParagraph"/>
        <w:numPr>
          <w:ilvl w:val="0"/>
          <w:numId w:val="2"/>
        </w:numPr>
        <w:spacing w:after="60" w:line="268"/>
      </w:pPr>
      <w:r>
        <w:t xml:space="preserve">Architectes et agences gérant plusieurs dossiers.</w:t>
      </w:r>
    </w:p>
    <w:p>
      <w:pPr>
        <w:pStyle w:val="Heading2"/>
      </w:pPr>
      <w:r>
        <w:t xml:space="preserve">Proposition de valeur</w:t>
      </w:r>
    </w:p>
    <w:p>
      <w:pPr>
        <w:pStyle w:val="ListParagraph"/>
        <w:numPr>
          <w:ilvl w:val="0"/>
          <w:numId w:val="2"/>
        </w:numPr>
        <w:spacing w:after="60" w:line="268"/>
      </w:pPr>
      <w:r>
        <w:t xml:space="preserve">Passer de plusieurs heures (et d’une bonne connaissance des démarches) à moins de 10 minutes.</w:t>
      </w:r>
    </w:p>
    <w:p>
      <w:pPr>
        <w:pStyle w:val="ListParagraph"/>
        <w:numPr>
          <w:ilvl w:val="0"/>
          <w:numId w:val="2"/>
        </w:numPr>
        <w:spacing w:after="60" w:line="268"/>
      </w:pPr>
      <w:r>
        <w:t xml:space="preserve">Réduction des erreurs et de la charge administrative.</w:t>
      </w:r>
    </w:p>
    <w:p>
      <w:pPr>
        <w:pStyle w:val="ListParagraph"/>
        <w:numPr>
          <w:ilvl w:val="0"/>
          <w:numId w:val="2"/>
        </w:numPr>
        <w:spacing w:after="60" w:line="268"/>
      </w:pPr>
      <w:r>
        <w:t xml:space="preserve">Accessibilité à tous, sans expertise urbanisme préalable.</w:t>
      </w:r>
    </w:p>
    <w:p>
      <w:pPr>
        <w:pStyle w:val="Heading1"/>
      </w:pPr>
      <w:r>
        <w:t xml:space="preserve">4. Analyse du chevauchement</w:t>
      </w:r>
    </w:p>
    <w:p>
      <w:pPr>
        <w:spacing w:after="120" w:line="276"/>
        <w:jc w:val="left"/>
      </w:pPr>
      <w:r>
        <w:rPr>
          <w:b w:val="false"/>
          <w:bCs w:val="false"/>
          <w:i w:val="false"/>
          <w:iCs w:val="false"/>
        </w:rPr>
        <w:t xml:space="preserve">Le seul point de contact réel entre les deux produits est la génération de la déclaration préalable. Tout le reste de Vesta (étude PV, 3D, devis, CRM) est hors du périmètre de DP, et l’ouverture multi-travaux de DP est hors du périmètre de Vesta.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2979"/>
        <w:gridCol w:w="2979"/>
      </w:tblGrid>
      <w:tr>
        <w:trPr>
          <w:tblHeader/>
        </w:trPr>
        <w:tc>
          <w:tcPr>
            <w:tcW w:type="dxa" w:w="3069"/>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tcPr>
          <w:p>
            <w:pPr>
              <w:jc w:val="left"/>
            </w:pPr>
            <w:r>
              <w:rPr>
                <w:b/>
                <w:bCs/>
                <w:color w:val="FFFFFF"/>
                <w:sz w:val="20"/>
                <w:szCs w:val="20"/>
              </w:rPr>
              <w:t xml:space="preserve">Dimension</w:t>
            </w:r>
          </w:p>
        </w:tc>
        <w:tc>
          <w:tcPr>
            <w:tcW w:type="dxa" w:w="2979"/>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tcPr>
          <w:p>
            <w:pPr>
              <w:jc w:val="left"/>
            </w:pPr>
            <w:r>
              <w:rPr>
                <w:b/>
                <w:bCs/>
                <w:color w:val="FFFFFF"/>
                <w:sz w:val="20"/>
                <w:szCs w:val="20"/>
              </w:rPr>
              <w:t xml:space="preserve">Vesta</w:t>
            </w:r>
          </w:p>
        </w:tc>
        <w:tc>
          <w:tcPr>
            <w:tcW w:type="dxa" w:w="2979"/>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tcPr>
          <w:p>
            <w:pPr>
              <w:jc w:val="left"/>
            </w:pPr>
            <w:r>
              <w:rPr>
                <w:b/>
                <w:bCs/>
                <w:color w:val="FFFFFF"/>
                <w:sz w:val="20"/>
                <w:szCs w:val="20"/>
              </w:rPr>
              <w:t xml:space="preserve">DP</w:t>
            </w:r>
          </w:p>
        </w:tc>
      </w:tr>
      <w:tr>
        <w:tc>
          <w:tcPr>
            <w:tcW w:type="dxa" w:w="3069"/>
            <w:tcBorders>
              <w:top w:val="single" w:color="CCCCCC" w:sz="1"/>
              <w:left w:val="single" w:color="CCCCCC" w:sz="1"/>
              <w:bottom w:val="single" w:color="CCCCCC" w:sz="1"/>
              <w:right w:val="single" w:color="CCCCCC" w:sz="1"/>
            </w:tcBorders>
            <w:shd w:fill="EAF1F7" w:val="clear"/>
            <w:tcMar>
              <w:top w:type="dxa" w:w="60"/>
              <w:left w:type="dxa" w:w="110"/>
              <w:bottom w:type="dxa" w:w="60"/>
              <w:right w:type="dxa" w:w="110"/>
            </w:tcMar>
          </w:tcPr>
          <w:p>
            <w:pPr>
              <w:jc w:val="left"/>
            </w:pPr>
            <w:r>
              <w:rPr>
                <w:b/>
                <w:bCs/>
                <w:sz w:val="20"/>
                <w:szCs w:val="20"/>
              </w:rPr>
              <w:t xml:space="preserve">Nature du produit</w:t>
            </w:r>
          </w:p>
        </w:tc>
        <w:tc>
          <w:tcPr>
            <w:tcW w:type="dxa" w:w="2979"/>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Suite verticale pour installateurs EnR</w:t>
            </w:r>
          </w:p>
        </w:tc>
        <w:tc>
          <w:tcPr>
            <w:tcW w:type="dxa" w:w="2979"/>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Outil focalisé sur la déclaration préalable</w:t>
            </w:r>
          </w:p>
        </w:tc>
      </w:tr>
      <w:tr>
        <w:tc>
          <w:tcPr>
            <w:tcW w:type="dxa" w:w="3069"/>
            <w:tcBorders>
              <w:top w:val="single" w:color="CCCCCC" w:sz="1"/>
              <w:left w:val="single" w:color="CCCCCC" w:sz="1"/>
              <w:bottom w:val="single" w:color="CCCCCC" w:sz="1"/>
              <w:right w:val="single" w:color="CCCCCC" w:sz="1"/>
            </w:tcBorders>
            <w:shd w:fill="EAF1F7" w:val="clear"/>
            <w:tcMar>
              <w:top w:type="dxa" w:w="60"/>
              <w:left w:type="dxa" w:w="110"/>
              <w:bottom w:type="dxa" w:w="60"/>
              <w:right w:type="dxa" w:w="110"/>
            </w:tcMar>
          </w:tcPr>
          <w:p>
            <w:pPr>
              <w:jc w:val="left"/>
            </w:pPr>
            <w:r>
              <w:rPr>
                <w:b/>
                <w:bCs/>
                <w:sz w:val="20"/>
                <w:szCs w:val="20"/>
              </w:rPr>
              <w:t xml:space="preserve">Place de la DP</w:t>
            </w:r>
          </w:p>
        </w:tc>
        <w:tc>
          <w:tcPr>
            <w:tcW w:type="dxa" w:w="2979"/>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Une brique parmi d’autres, PV uniquement</w:t>
            </w:r>
          </w:p>
        </w:tc>
        <w:tc>
          <w:tcPr>
            <w:tcW w:type="dxa" w:w="2979"/>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Le cœur du produit</w:t>
            </w:r>
          </w:p>
        </w:tc>
      </w:tr>
      <w:tr>
        <w:tc>
          <w:tcPr>
            <w:tcW w:type="dxa" w:w="3069"/>
            <w:tcBorders>
              <w:top w:val="single" w:color="CCCCCC" w:sz="1"/>
              <w:left w:val="single" w:color="CCCCCC" w:sz="1"/>
              <w:bottom w:val="single" w:color="CCCCCC" w:sz="1"/>
              <w:right w:val="single" w:color="CCCCCC" w:sz="1"/>
            </w:tcBorders>
            <w:shd w:fill="EAF1F7" w:val="clear"/>
            <w:tcMar>
              <w:top w:type="dxa" w:w="60"/>
              <w:left w:type="dxa" w:w="110"/>
              <w:bottom w:type="dxa" w:w="60"/>
              <w:right w:type="dxa" w:w="110"/>
            </w:tcMar>
          </w:tcPr>
          <w:p>
            <w:pPr>
              <w:jc w:val="left"/>
            </w:pPr>
            <w:r>
              <w:rPr>
                <w:b/>
                <w:bCs/>
                <w:sz w:val="20"/>
                <w:szCs w:val="20"/>
              </w:rPr>
              <w:t xml:space="preserve">Types de travaux</w:t>
            </w:r>
          </w:p>
        </w:tc>
        <w:tc>
          <w:tcPr>
            <w:tcW w:type="dxa" w:w="2979"/>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Photovoltaïque (CERFA 13703)</w:t>
            </w:r>
          </w:p>
        </w:tc>
        <w:tc>
          <w:tcPr>
            <w:tcW w:type="dxa" w:w="2979"/>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Tous types de travaux, potentiellement tous CERFA</w:t>
            </w:r>
          </w:p>
        </w:tc>
      </w:tr>
      <w:tr>
        <w:tc>
          <w:tcPr>
            <w:tcW w:type="dxa" w:w="3069"/>
            <w:tcBorders>
              <w:top w:val="single" w:color="CCCCCC" w:sz="1"/>
              <w:left w:val="single" w:color="CCCCCC" w:sz="1"/>
              <w:bottom w:val="single" w:color="CCCCCC" w:sz="1"/>
              <w:right w:val="single" w:color="CCCCCC" w:sz="1"/>
            </w:tcBorders>
            <w:shd w:fill="EAF1F7" w:val="clear"/>
            <w:tcMar>
              <w:top w:type="dxa" w:w="60"/>
              <w:left w:type="dxa" w:w="110"/>
              <w:bottom w:type="dxa" w:w="60"/>
              <w:right w:type="dxa" w:w="110"/>
            </w:tcMar>
          </w:tcPr>
          <w:p>
            <w:pPr>
              <w:jc w:val="left"/>
            </w:pPr>
            <w:r>
              <w:rPr>
                <w:b/>
                <w:bCs/>
                <w:sz w:val="20"/>
                <w:szCs w:val="20"/>
              </w:rPr>
              <w:t xml:space="preserve">Public</w:t>
            </w:r>
          </w:p>
        </w:tc>
        <w:tc>
          <w:tcPr>
            <w:tcW w:type="dxa" w:w="2979"/>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Installateurs professionnels</w:t>
            </w:r>
          </w:p>
        </w:tc>
        <w:tc>
          <w:tcPr>
            <w:tcW w:type="dxa" w:w="2979"/>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Particuliers, artisans, architectes, agences</w:t>
            </w:r>
          </w:p>
        </w:tc>
      </w:tr>
      <w:tr>
        <w:tc>
          <w:tcPr>
            <w:tcW w:type="dxa" w:w="3069"/>
            <w:tcBorders>
              <w:top w:val="single" w:color="CCCCCC" w:sz="1"/>
              <w:left w:val="single" w:color="CCCCCC" w:sz="1"/>
              <w:bottom w:val="single" w:color="CCCCCC" w:sz="1"/>
              <w:right w:val="single" w:color="CCCCCC" w:sz="1"/>
            </w:tcBorders>
            <w:shd w:fill="EAF1F7" w:val="clear"/>
            <w:tcMar>
              <w:top w:type="dxa" w:w="60"/>
              <w:left w:type="dxa" w:w="110"/>
              <w:bottom w:type="dxa" w:w="60"/>
              <w:right w:type="dxa" w:w="110"/>
            </w:tcMar>
          </w:tcPr>
          <w:p>
            <w:pPr>
              <w:jc w:val="left"/>
            </w:pPr>
            <w:r>
              <w:rPr>
                <w:b/>
                <w:bCs/>
                <w:sz w:val="20"/>
                <w:szCs w:val="20"/>
              </w:rPr>
              <w:t xml:space="preserve">Mise sur le marché</w:t>
            </w:r>
          </w:p>
        </w:tc>
        <w:tc>
          <w:tcPr>
            <w:tcW w:type="dxa" w:w="2979"/>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Vente B2B pilotée par démo</w:t>
            </w:r>
          </w:p>
        </w:tc>
        <w:tc>
          <w:tcPr>
            <w:tcW w:type="dxa" w:w="2979"/>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Libre-service possible + B2B pros</w:t>
            </w:r>
          </w:p>
        </w:tc>
      </w:tr>
      <w:tr>
        <w:tc>
          <w:tcPr>
            <w:tcW w:type="dxa" w:w="3069"/>
            <w:tcBorders>
              <w:top w:val="single" w:color="CCCCCC" w:sz="1"/>
              <w:left w:val="single" w:color="CCCCCC" w:sz="1"/>
              <w:bottom w:val="single" w:color="CCCCCC" w:sz="1"/>
              <w:right w:val="single" w:color="CCCCCC" w:sz="1"/>
            </w:tcBorders>
            <w:shd w:fill="EAF1F7" w:val="clear"/>
            <w:tcMar>
              <w:top w:type="dxa" w:w="60"/>
              <w:left w:type="dxa" w:w="110"/>
              <w:bottom w:type="dxa" w:w="60"/>
              <w:right w:type="dxa" w:w="110"/>
            </w:tcMar>
          </w:tcPr>
          <w:p>
            <w:pPr>
              <w:jc w:val="left"/>
            </w:pPr>
            <w:r>
              <w:rPr>
                <w:b/>
                <w:bCs/>
                <w:sz w:val="20"/>
                <w:szCs w:val="20"/>
              </w:rPr>
              <w:t xml:space="preserve">Chevauchement</w:t>
            </w:r>
          </w:p>
        </w:tc>
        <w:tc>
          <w:tcPr>
            <w:tcW w:type="dxa" w:w="2979"/>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B8860B"/>
                <w:sz w:val="20"/>
                <w:szCs w:val="20"/>
              </w:rPr>
              <w:t xml:space="preserve">Élevé uniquement sur la DP PV</w:t>
            </w:r>
          </w:p>
        </w:tc>
        <w:tc>
          <w:tcPr>
            <w:tcW w:type="dxa" w:w="2979"/>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color w:val="1E8E5A"/>
                <w:sz w:val="20"/>
                <w:szCs w:val="20"/>
              </w:rPr>
              <w:t xml:space="preserve">Marginal sur le reste</w:t>
            </w:r>
          </w:p>
        </w:tc>
      </w:tr>
    </w:tbl>
    <w:p>
      <w:pPr>
        <w:pStyle w:val="Heading1"/>
      </w:pPr>
      <w:r>
        <w:t xml:space="preserve">5. Comparatif produit</w:t>
      </w:r>
    </w:p>
    <w:p>
      <w:pPr>
        <w:spacing w:after="120" w:line="276"/>
        <w:jc w:val="left"/>
      </w:pPr>
      <w:r>
        <w:rPr>
          <w:b w:val="false"/>
          <w:bCs w:val="false"/>
          <w:i w:val="false"/>
          <w:iCs w:val="false"/>
        </w:rPr>
        <w:t xml:space="preserve">Comparaison centrée sur ce qui compte pour DP : la chaîne de la déclaration préalable. (● couvert · ◐ partiel · — absent / hors périmètre)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52"/>
        <w:gridCol w:w="2437"/>
        <w:gridCol w:w="2437"/>
      </w:tblGrid>
      <w:tr>
        <w:trPr>
          <w:tblHeader/>
        </w:trPr>
        <w:tc>
          <w:tcPr>
            <w:tcW w:type="dxa" w:w="4152"/>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tcPr>
          <w:p>
            <w:pPr>
              <w:jc w:val="left"/>
            </w:pPr>
            <w:r>
              <w:rPr>
                <w:b/>
                <w:bCs/>
                <w:color w:val="FFFFFF"/>
                <w:sz w:val="20"/>
                <w:szCs w:val="20"/>
              </w:rPr>
              <w:t xml:space="preserve">Fonctionnalité (axe DP)</w:t>
            </w:r>
          </w:p>
        </w:tc>
        <w:tc>
          <w:tcPr>
            <w:tcW w:type="dxa" w:w="2437"/>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tcPr>
          <w:p>
            <w:pPr>
              <w:jc w:val="left"/>
            </w:pPr>
            <w:r>
              <w:rPr>
                <w:b/>
                <w:bCs/>
                <w:color w:val="FFFFFF"/>
                <w:sz w:val="20"/>
                <w:szCs w:val="20"/>
              </w:rPr>
              <w:t xml:space="preserve">Vesta</w:t>
            </w:r>
          </w:p>
        </w:tc>
        <w:tc>
          <w:tcPr>
            <w:tcW w:type="dxa" w:w="2437"/>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tcPr>
          <w:p>
            <w:pPr>
              <w:jc w:val="left"/>
            </w:pPr>
            <w:r>
              <w:rPr>
                <w:b/>
                <w:bCs/>
                <w:color w:val="FFFFFF"/>
                <w:sz w:val="20"/>
                <w:szCs w:val="20"/>
              </w:rPr>
              <w:t xml:space="preserve">DP</w:t>
            </w:r>
          </w:p>
        </w:tc>
      </w:tr>
      <w:tr>
        <w:tc>
          <w:tcPr>
            <w:tcW w:type="dxa" w:w="4152"/>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Déclaration préalable — travaux PV</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8E5A"/>
                <w:sz w:val="22"/>
                <w:szCs w:val="22"/>
              </w:rPr>
              <w:t xml:space="preserve">●</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8E5A"/>
                <w:sz w:val="22"/>
                <w:szCs w:val="22"/>
              </w:rPr>
              <w:t xml:space="preserve">●</w:t>
            </w:r>
          </w:p>
        </w:tc>
      </w:tr>
      <w:tr>
        <w:tc>
          <w:tcPr>
            <w:tcW w:type="dxa" w:w="4152"/>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Déclaration préalable — tous types de travaux</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555555"/>
                <w:sz w:val="22"/>
                <w:szCs w:val="22"/>
              </w:rPr>
              <w:t xml:space="preserve">—</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8E5A"/>
                <w:sz w:val="22"/>
                <w:szCs w:val="22"/>
              </w:rPr>
              <w:t xml:space="preserve">●</w:t>
            </w:r>
          </w:p>
        </w:tc>
      </w:tr>
      <w:tr>
        <w:tc>
          <w:tcPr>
            <w:tcW w:type="dxa" w:w="4152"/>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Génération du CERFA pré-rempli</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8E5A"/>
                <w:sz w:val="22"/>
                <w:szCs w:val="22"/>
              </w:rPr>
              <w:t xml:space="preserve">●</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8E5A"/>
                <w:sz w:val="22"/>
                <w:szCs w:val="22"/>
              </w:rPr>
              <w:t xml:space="preserve">●</w:t>
            </w:r>
          </w:p>
        </w:tc>
      </w:tr>
      <w:tr>
        <w:tc>
          <w:tcPr>
            <w:tcW w:type="dxa" w:w="4152"/>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Pièces graphiques (plan de masse, coupe, situation)</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8E5A"/>
                <w:sz w:val="22"/>
                <w:szCs w:val="22"/>
              </w:rPr>
              <w:t xml:space="preserve">●</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B8860B"/>
                <w:sz w:val="22"/>
                <w:szCs w:val="22"/>
              </w:rPr>
              <w:t xml:space="preserve">◐</w:t>
            </w:r>
          </w:p>
        </w:tc>
      </w:tr>
      <w:tr>
        <w:tc>
          <w:tcPr>
            <w:tcW w:type="dxa" w:w="4152"/>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Photomontage / insertion paysagère</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8E5A"/>
                <w:sz w:val="22"/>
                <w:szCs w:val="22"/>
              </w:rPr>
              <w:t xml:space="preserve">●</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B8860B"/>
                <w:sz w:val="22"/>
                <w:szCs w:val="22"/>
              </w:rPr>
              <w:t xml:space="preserve">◐</w:t>
            </w:r>
          </w:p>
        </w:tc>
      </w:tr>
      <w:tr>
        <w:tc>
          <w:tcPr>
            <w:tcW w:type="dxa" w:w="4152"/>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Sélection cadastrale des parcelles</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8E5A"/>
                <w:sz w:val="22"/>
                <w:szCs w:val="22"/>
              </w:rPr>
              <w:t xml:space="preserve">●</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B8860B"/>
                <w:sz w:val="22"/>
                <w:szCs w:val="22"/>
              </w:rPr>
              <w:t xml:space="preserve">◐</w:t>
            </w:r>
          </w:p>
        </w:tc>
      </w:tr>
      <w:tr>
        <w:tc>
          <w:tcPr>
            <w:tcW w:type="dxa" w:w="4152"/>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Guidage pas à pas orienté grand public</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B8860B"/>
                <w:sz w:val="22"/>
                <w:szCs w:val="22"/>
              </w:rPr>
              <w:t xml:space="preserve">◐</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8E5A"/>
                <w:sz w:val="22"/>
                <w:szCs w:val="22"/>
              </w:rPr>
              <w:t xml:space="preserve">●</w:t>
            </w:r>
          </w:p>
        </w:tc>
      </w:tr>
      <w:tr>
        <w:tc>
          <w:tcPr>
            <w:tcW w:type="dxa" w:w="4152"/>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Accès direct particulier (self-service)</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555555"/>
                <w:sz w:val="22"/>
                <w:szCs w:val="22"/>
              </w:rPr>
              <w:t xml:space="preserve">—</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8E5A"/>
                <w:sz w:val="22"/>
                <w:szCs w:val="22"/>
              </w:rPr>
              <w:t xml:space="preserve">●</w:t>
            </w:r>
          </w:p>
        </w:tc>
      </w:tr>
      <w:tr>
        <w:tc>
          <w:tcPr>
            <w:tcW w:type="dxa" w:w="4152"/>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Multi-dossiers pour pros / agences</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8E5A"/>
                <w:sz w:val="22"/>
                <w:szCs w:val="22"/>
              </w:rPr>
              <w:t xml:space="preserve">●</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8E5A"/>
                <w:sz w:val="22"/>
                <w:szCs w:val="22"/>
              </w:rPr>
              <w:t xml:space="preserve">●</w:t>
            </w:r>
          </w:p>
        </w:tc>
      </w:tr>
      <w:tr>
        <w:tc>
          <w:tcPr>
            <w:tcW w:type="dxa" w:w="4152"/>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Étude PV, 3D, devis, CRM (suite installateur)</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8E5A"/>
                <w:sz w:val="22"/>
                <w:szCs w:val="22"/>
              </w:rPr>
              <w:t xml:space="preserve">●</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555555"/>
                <w:sz w:val="22"/>
                <w:szCs w:val="22"/>
              </w:rPr>
              <w:t xml:space="preserve">—</w:t>
            </w:r>
          </w:p>
        </w:tc>
      </w:tr>
      <w:tr>
        <w:tc>
          <w:tcPr>
            <w:tcW w:type="dxa" w:w="4152"/>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Signature électronique / suivi</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1E8E5A"/>
                <w:sz w:val="22"/>
                <w:szCs w:val="22"/>
              </w:rPr>
              <w:t xml:space="preserve">●</w:t>
            </w:r>
          </w:p>
        </w:tc>
        <w:tc>
          <w:tcPr>
            <w:tcW w:type="dxa" w:w="2437"/>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center"/>
            </w:pPr>
            <w:r>
              <w:rPr>
                <w:b/>
                <w:bCs/>
                <w:color w:val="B8860B"/>
                <w:sz w:val="22"/>
                <w:szCs w:val="22"/>
              </w:rPr>
              <w:t xml:space="preserve">◐</w:t>
            </w:r>
          </w:p>
        </w:tc>
      </w:tr>
    </w:tbl>
    <w:p>
      <w:pPr>
        <w:spacing w:after="120" w:before="100"/>
      </w:pPr>
      <w:r>
        <w:rPr>
          <w:i/>
          <w:iCs/>
          <w:color w:val="555555"/>
          <w:sz w:val="18"/>
          <w:szCs w:val="18"/>
        </w:rPr>
        <w:t xml:space="preserve">Lecture : Vesta est plus riche sur la production graphique du dossier (plans, photomontage, cadastre), car adossée à sa 3D. C’est le point où DP doit atteindre la parité pour être crédible. En revanche, DP gagne nettement sur l’ampleur des travaux couverts et l’accessibilité grand public.</w:t>
      </w:r>
    </w:p>
    <w:p>
      <w:pPr>
        <w:pStyle w:val="Heading1"/>
      </w:pPr>
      <w:r>
        <w:t xml:space="preserve">6. Go-to-market et paysage concurrentiel</w:t>
      </w:r>
    </w:p>
    <w:p>
      <w:pPr>
        <w:spacing w:after="120" w:line="276"/>
        <w:jc w:val="left"/>
      </w:pPr>
      <w:r>
        <w:rPr>
          <w:b w:val="false"/>
          <w:bCs w:val="false"/>
          <w:i w:val="false"/>
          <w:iCs w:val="false"/>
        </w:rPr>
        <w:t xml:space="preserve">Sur le marché spécifique de la déclaration préalable, les concurrents directs de DP ne sont pas Vesta mais les spécialistes de l’urbanisme en ligne. Repères de prix relevés publiquement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986"/>
        <w:gridCol w:w="1805"/>
        <w:gridCol w:w="3430"/>
      </w:tblGrid>
      <w:tr>
        <w:trPr>
          <w:tblHeader/>
        </w:trPr>
        <w:tc>
          <w:tcPr>
            <w:tcW w:type="dxa" w:w="1805"/>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tcPr>
          <w:p>
            <w:pPr>
              <w:jc w:val="left"/>
            </w:pPr>
            <w:r>
              <w:rPr>
                <w:b/>
                <w:bCs/>
                <w:color w:val="FFFFFF"/>
                <w:sz w:val="20"/>
                <w:szCs w:val="20"/>
              </w:rPr>
              <w:t xml:space="preserve">Acteur</w:t>
            </w:r>
          </w:p>
        </w:tc>
        <w:tc>
          <w:tcPr>
            <w:tcW w:type="dxa" w:w="1986"/>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tcPr>
          <w:p>
            <w:pPr>
              <w:jc w:val="left"/>
            </w:pPr>
            <w:r>
              <w:rPr>
                <w:b/>
                <w:bCs/>
                <w:color w:val="FFFFFF"/>
                <w:sz w:val="20"/>
                <w:szCs w:val="20"/>
              </w:rPr>
              <w:t xml:space="preserve">Positionnement</w:t>
            </w:r>
          </w:p>
        </w:tc>
        <w:tc>
          <w:tcPr>
            <w:tcW w:type="dxa" w:w="1805"/>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tcPr>
          <w:p>
            <w:pPr>
              <w:jc w:val="left"/>
            </w:pPr>
            <w:r>
              <w:rPr>
                <w:b/>
                <w:bCs/>
                <w:color w:val="FFFFFF"/>
                <w:sz w:val="20"/>
                <w:szCs w:val="20"/>
              </w:rPr>
              <w:t xml:space="preserve">Prix indicatif</w:t>
            </w:r>
          </w:p>
        </w:tc>
        <w:tc>
          <w:tcPr>
            <w:tcW w:type="dxa" w:w="3430"/>
            <w:tcBorders>
              <w:top w:val="single" w:color="CCCCCC" w:sz="1"/>
              <w:left w:val="single" w:color="CCCCCC" w:sz="1"/>
              <w:bottom w:val="single" w:color="CCCCCC" w:sz="1"/>
              <w:right w:val="single" w:color="CCCCCC" w:sz="1"/>
            </w:tcBorders>
            <w:shd w:fill="0B2E4F" w:val="clear"/>
            <w:tcMar>
              <w:top w:type="dxa" w:w="60"/>
              <w:left w:type="dxa" w:w="110"/>
              <w:bottom w:type="dxa" w:w="60"/>
              <w:right w:type="dxa" w:w="110"/>
            </w:tcMar>
          </w:tcPr>
          <w:p>
            <w:pPr>
              <w:jc w:val="left"/>
            </w:pPr>
            <w:r>
              <w:rPr>
                <w:b/>
                <w:bCs/>
                <w:color w:val="FFFFFF"/>
                <w:sz w:val="20"/>
                <w:szCs w:val="20"/>
              </w:rPr>
              <w:t xml:space="preserve">Angle</w:t>
            </w:r>
          </w:p>
        </w:tc>
      </w:tr>
      <w:t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sz w:val="20"/>
                <w:szCs w:val="20"/>
              </w:rPr>
              <w:t xml:space="preserve">Urbassist</w:t>
            </w:r>
          </w:p>
        </w:tc>
        <w:tc>
          <w:tcPr>
            <w:tcW w:type="dxa" w:w="1986"/>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Plateforme urbanisme (DIY + premium)</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89 € DIY · 549 € premium</w:t>
            </w:r>
          </w:p>
        </w:tc>
        <w:tc>
          <w:tcPr>
            <w:tcW w:type="dxa" w:w="343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Plans auto (masse, coupe, situation) ; système de jetons pour pros</w:t>
            </w:r>
          </w:p>
        </w:tc>
      </w:tr>
      <w:t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sz w:val="20"/>
                <w:szCs w:val="20"/>
              </w:rPr>
              <w:t xml:space="preserve">Algar</w:t>
            </w:r>
          </w:p>
        </w:tc>
        <w:tc>
          <w:tcPr>
            <w:tcW w:type="dxa" w:w="1986"/>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Service expert clef en main</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Sur devis</w:t>
            </w:r>
          </w:p>
        </w:tc>
        <w:tc>
          <w:tcPr>
            <w:tcW w:type="dxa" w:w="343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Experts urbanisme gèrent tout le dossier et les échanges mairie</w:t>
            </w:r>
          </w:p>
        </w:tc>
      </w:tr>
      <w:t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sz w:val="20"/>
                <w:szCs w:val="20"/>
              </w:rPr>
              <w:t xml:space="preserve">Likio</w:t>
            </w:r>
          </w:p>
        </w:tc>
        <w:tc>
          <w:tcPr>
            <w:tcW w:type="dxa" w:w="1986"/>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Autorisations en ligne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dès 69 € · 48 h</w:t>
            </w:r>
          </w:p>
        </w:tc>
        <w:tc>
          <w:tcPr>
            <w:tcW w:type="dxa" w:w="343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Rapidité, pros et particuliers</w:t>
            </w:r>
          </w:p>
        </w:tc>
      </w:tr>
      <w:t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sz w:val="20"/>
                <w:szCs w:val="20"/>
              </w:rPr>
              <w:t xml:space="preserve">Kawadessin</w:t>
            </w:r>
          </w:p>
        </w:tc>
        <w:tc>
          <w:tcPr>
            <w:tcW w:type="dxa" w:w="1986"/>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Permis / DP en ligne</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dès 99 €</w:t>
            </w:r>
          </w:p>
        </w:tc>
        <w:tc>
          <w:tcPr>
            <w:tcW w:type="dxa" w:w="343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Production de plans et dépôt</w:t>
            </w:r>
          </w:p>
        </w:tc>
      </w:tr>
      <w:tr>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sz w:val="20"/>
                <w:szCs w:val="20"/>
              </w:rPr>
              <w:t xml:space="preserve">InterieurAI</w:t>
            </w:r>
          </w:p>
        </w:tc>
        <w:tc>
          <w:tcPr>
            <w:tcW w:type="dxa" w:w="1986"/>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IA d’insertion graphique (DP6)</w:t>
            </w:r>
          </w:p>
        </w:tc>
        <w:tc>
          <w:tcPr>
            <w:tcW w:type="dxa" w:w="1805"/>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Freemium</w:t>
            </w:r>
          </w:p>
        </w:tc>
        <w:tc>
          <w:tcPr>
            <w:tcW w:type="dxa" w:w="343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Rendu photoréaliste en ~30 s ; brique, pas dossier complet</w:t>
            </w:r>
          </w:p>
        </w:tc>
      </w:tr>
      <w:tr>
        <w:tc>
          <w:tcPr>
            <w:tcW w:type="dxa" w:w="1805"/>
            <w:tcBorders>
              <w:top w:val="single" w:color="CCCCCC" w:sz="1"/>
              <w:left w:val="single" w:color="CCCCCC" w:sz="1"/>
              <w:bottom w:val="single" w:color="CCCCCC" w:sz="1"/>
              <w:right w:val="single" w:color="CCCCCC" w:sz="1"/>
            </w:tcBorders>
            <w:shd w:fill="EAF1F7" w:val="clear"/>
            <w:tcMar>
              <w:top w:type="dxa" w:w="60"/>
              <w:left w:type="dxa" w:w="110"/>
              <w:bottom w:type="dxa" w:w="60"/>
              <w:right w:type="dxa" w:w="110"/>
            </w:tcMar>
          </w:tcPr>
          <w:p>
            <w:pPr>
              <w:jc w:val="left"/>
            </w:pPr>
            <w:r>
              <w:rPr>
                <w:b/>
                <w:bCs/>
                <w:sz w:val="20"/>
                <w:szCs w:val="20"/>
              </w:rPr>
              <w:t xml:space="preserve">Vesta</w:t>
            </w:r>
          </w:p>
        </w:tc>
        <w:tc>
          <w:tcPr>
            <w:tcW w:type="dxa" w:w="1986"/>
            <w:tcBorders>
              <w:top w:val="single" w:color="CCCCCC" w:sz="1"/>
              <w:left w:val="single" w:color="CCCCCC" w:sz="1"/>
              <w:bottom w:val="single" w:color="CCCCCC" w:sz="1"/>
              <w:right w:val="single" w:color="CCCCCC" w:sz="1"/>
            </w:tcBorders>
            <w:shd w:fill="EAF1F7" w:val="clear"/>
            <w:tcMar>
              <w:top w:type="dxa" w:w="60"/>
              <w:left w:type="dxa" w:w="110"/>
              <w:bottom w:type="dxa" w:w="60"/>
              <w:right w:type="dxa" w:w="110"/>
            </w:tcMar>
          </w:tcPr>
          <w:p>
            <w:pPr>
              <w:jc w:val="left"/>
            </w:pPr>
            <w:r>
              <w:rPr>
                <w:sz w:val="20"/>
                <w:szCs w:val="20"/>
              </w:rPr>
              <w:t xml:space="preserve">Suite installateur EnR (DP intégrée)</w:t>
            </w:r>
          </w:p>
        </w:tc>
        <w:tc>
          <w:tcPr>
            <w:tcW w:type="dxa" w:w="1805"/>
            <w:tcBorders>
              <w:top w:val="single" w:color="CCCCCC" w:sz="1"/>
              <w:left w:val="single" w:color="CCCCCC" w:sz="1"/>
              <w:bottom w:val="single" w:color="CCCCCC" w:sz="1"/>
              <w:right w:val="single" w:color="CCCCCC" w:sz="1"/>
            </w:tcBorders>
            <w:shd w:fill="EAF1F7" w:val="clear"/>
            <w:tcMar>
              <w:top w:type="dxa" w:w="60"/>
              <w:left w:type="dxa" w:w="110"/>
              <w:bottom w:type="dxa" w:w="60"/>
              <w:right w:type="dxa" w:w="110"/>
            </w:tcMar>
          </w:tcPr>
          <w:p>
            <w:pPr>
              <w:jc w:val="left"/>
            </w:pPr>
            <w:r>
              <w:rPr>
                <w:b w:val="false"/>
                <w:bCs w:val="false"/>
                <w:sz w:val="20"/>
                <w:szCs w:val="20"/>
              </w:rPr>
              <w:t xml:space="preserve">Sur devis (B2B)</w:t>
            </w:r>
          </w:p>
        </w:tc>
        <w:tc>
          <w:tcPr>
            <w:tcW w:type="dxa" w:w="3430"/>
            <w:tcBorders>
              <w:top w:val="single" w:color="CCCCCC" w:sz="1"/>
              <w:left w:val="single" w:color="CCCCCC" w:sz="1"/>
              <w:bottom w:val="single" w:color="CCCCCC" w:sz="1"/>
              <w:right w:val="single" w:color="CCCCCC" w:sz="1"/>
            </w:tcBorders>
            <w:shd w:fill="EAF1F7" w:val="clear"/>
            <w:tcMar>
              <w:top w:type="dxa" w:w="60"/>
              <w:left w:type="dxa" w:w="110"/>
              <w:bottom w:type="dxa" w:w="60"/>
              <w:right w:type="dxa" w:w="110"/>
            </w:tcMar>
          </w:tcPr>
          <w:p>
            <w:pPr>
              <w:jc w:val="left"/>
            </w:pPr>
            <w:r>
              <w:rPr>
                <w:sz w:val="20"/>
                <w:szCs w:val="20"/>
              </w:rPr>
              <w:t xml:space="preserve">DP PV en bonus d’une plateforme ; menace de débordement</w:t>
            </w:r>
          </w:p>
        </w:tc>
      </w:tr>
    </w:tbl>
    <w:p>
      <w:pPr>
        <w:spacing w:after="120" w:before="100"/>
      </w:pPr>
      <w:r>
        <w:rPr>
          <w:i/>
          <w:iCs/>
          <w:color w:val="555555"/>
          <w:sz w:val="18"/>
          <w:szCs w:val="18"/>
        </w:rPr>
        <w:t xml:space="preserve">L’IA générative grand public (ChatGPT, Claude, Gemini) sert déjà d’assistant DIY : utile pour comprendre et rédiger, mais elle ne certifie rien et ne produit pas un dossier conforme clé en main. C’est précisément l’espace que DP occupe.</w:t>
      </w:r>
    </w:p>
    <w:p>
      <w:pPr>
        <w:pStyle w:val="Heading1"/>
      </w:pPr>
      <w:r>
        <w:t xml:space="preserve">7. Forces et faiblesses de DP face à Vesta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E8E5A" w:val="clear"/>
            <w:tcMar>
              <w:top w:type="dxa" w:w="60"/>
              <w:left w:type="dxa" w:w="110"/>
              <w:bottom w:type="dxa" w:w="60"/>
              <w:right w:type="dxa" w:w="110"/>
            </w:tcMar>
          </w:tcPr>
          <w:p>
            <w:pPr>
              <w:jc w:val="center"/>
            </w:pPr>
            <w:r>
              <w:rPr>
                <w:b/>
                <w:bCs/>
                <w:color w:val="FFFFFF"/>
                <w:sz w:val="22"/>
                <w:szCs w:val="22"/>
              </w:rPr>
              <w:t xml:space="preserve">Forces de DP</w:t>
            </w:r>
          </w:p>
        </w:tc>
        <w:tc>
          <w:tcPr>
            <w:tcW w:type="dxa" w:w="4513"/>
            <w:tcBorders>
              <w:top w:val="single" w:color="CCCCCC" w:sz="1"/>
              <w:left w:val="single" w:color="CCCCCC" w:sz="1"/>
              <w:bottom w:val="single" w:color="CCCCCC" w:sz="1"/>
              <w:right w:val="single" w:color="CCCCCC" w:sz="1"/>
            </w:tcBorders>
            <w:shd w:fill="C0392B" w:val="clear"/>
            <w:tcMar>
              <w:top w:type="dxa" w:w="60"/>
              <w:left w:type="dxa" w:w="110"/>
              <w:bottom w:type="dxa" w:w="60"/>
              <w:right w:type="dxa" w:w="110"/>
            </w:tcMar>
          </w:tcPr>
          <w:p>
            <w:pPr>
              <w:jc w:val="center"/>
            </w:pPr>
            <w:r>
              <w:rPr>
                <w:b/>
                <w:bCs/>
                <w:color w:val="FFFFFF"/>
                <w:sz w:val="22"/>
                <w:szCs w:val="22"/>
              </w:rPr>
              <w:t xml:space="preserve">Faiblesses / risques de DP</w:t>
            </w:r>
          </w:p>
        </w:tc>
      </w:tr>
      <w:tr>
        <w:tc>
          <w:tcPr>
            <w:tcW w:type="dxa" w:w="4513"/>
            <w:tcBorders>
              <w:top w:val="single" w:color="CCCCCC" w:sz="1"/>
              <w:left w:val="single" w:color="CCCCCC" w:sz="1"/>
              <w:bottom w:val="single" w:color="CCCCCC" w:sz="1"/>
              <w:right w:val="single" w:color="CCCCCC" w:sz="1"/>
            </w:tcBorders>
            <w:shd w:fill="E7F4EC" w:val="clear"/>
            <w:tcMar>
              <w:top w:type="dxa" w:w="60"/>
              <w:left w:type="dxa" w:w="110"/>
              <w:bottom w:type="dxa" w:w="60"/>
              <w:right w:type="dxa" w:w="110"/>
            </w:tcMar>
          </w:tcPr>
          <w:p>
            <w:pPr>
              <w:pStyle w:val="ListParagraph"/>
              <w:numPr>
                <w:ilvl w:val="0"/>
                <w:numId w:val="2"/>
              </w:numPr>
              <w:spacing w:after="40"/>
            </w:pPr>
            <w:r>
              <w:t xml:space="preserve">Couverture de tous les travaux, pas seulement le PV</w:t>
            </w:r>
          </w:p>
          <w:p>
            <w:pPr>
              <w:pStyle w:val="ListParagraph"/>
              <w:numPr>
                <w:ilvl w:val="0"/>
                <w:numId w:val="2"/>
              </w:numPr>
              <w:spacing w:after="40"/>
            </w:pPr>
            <w:r>
              <w:t xml:space="preserve">Marché adressable plus large (particuliers inclus)</w:t>
            </w:r>
          </w:p>
          <w:p>
            <w:pPr>
              <w:pStyle w:val="ListParagraph"/>
              <w:numPr>
                <w:ilvl w:val="0"/>
                <w:numId w:val="2"/>
              </w:numPr>
              <w:spacing w:after="40"/>
            </w:pPr>
            <w:r>
              <w:t xml:space="preserve">Positionnement focalisé et lisible</w:t>
            </w:r>
          </w:p>
          <w:p>
            <w:pPr>
              <w:pStyle w:val="ListParagraph"/>
              <w:numPr>
                <w:ilvl w:val="0"/>
                <w:numId w:val="2"/>
              </w:numPr>
              <w:spacing w:after="40"/>
            </w:pPr>
            <w:r>
              <w:t xml:space="preserve">Libre-service possible : acquisition rapide, prix bas</w:t>
            </w:r>
          </w:p>
          <w:p>
            <w:pPr>
              <w:pStyle w:val="ListParagraph"/>
              <w:numPr>
                <w:ilvl w:val="0"/>
                <w:numId w:val="2"/>
              </w:numPr>
              <w:spacing w:after="40"/>
            </w:pPr>
            <w:r>
              <w:t xml:space="preserve">Agilité IA : onboarding en minutes</w:t>
            </w:r>
          </w:p>
        </w:tc>
        <w:tc>
          <w:tcPr>
            <w:tcW w:type="dxa" w:w="4513"/>
            <w:tcBorders>
              <w:top w:val="single" w:color="CCCCCC" w:sz="1"/>
              <w:left w:val="single" w:color="CCCCCC" w:sz="1"/>
              <w:bottom w:val="single" w:color="CCCCCC" w:sz="1"/>
              <w:right w:val="single" w:color="CCCCCC" w:sz="1"/>
            </w:tcBorders>
            <w:shd w:fill="FBEAE8" w:val="clear"/>
            <w:tcMar>
              <w:top w:type="dxa" w:w="60"/>
              <w:left w:type="dxa" w:w="110"/>
              <w:bottom w:type="dxa" w:w="60"/>
              <w:right w:type="dxa" w:w="110"/>
            </w:tcMar>
          </w:tcPr>
          <w:p>
            <w:pPr>
              <w:pStyle w:val="ListParagraph"/>
              <w:numPr>
                <w:ilvl w:val="0"/>
                <w:numId w:val="2"/>
              </w:numPr>
              <w:spacing w:after="40"/>
            </w:pPr>
            <w:r>
              <w:t xml:space="preserve">Vesta a une avance sur les pièces graphiques (3D, cadastre, plans)</w:t>
            </w:r>
          </w:p>
          <w:p>
            <w:pPr>
              <w:pStyle w:val="ListParagraph"/>
              <w:numPr>
                <w:ilvl w:val="0"/>
                <w:numId w:val="2"/>
              </w:numPr>
              <w:spacing w:after="40"/>
            </w:pPr>
            <w:r>
              <w:t xml:space="preserve">Pas d’intégrations Enedis/Consuel ni d’écosystème installé</w:t>
            </w:r>
          </w:p>
          <w:p>
            <w:pPr>
              <w:pStyle w:val="ListParagraph"/>
              <w:numPr>
                <w:ilvl w:val="0"/>
                <w:numId w:val="2"/>
              </w:numPr>
              <w:spacing w:after="40"/>
            </w:pPr>
            <w:r>
              <w:t xml:space="preserve">Preuve de conformité à construire (Vesta affiche 96 %)</w:t>
            </w:r>
          </w:p>
          <w:p>
            <w:pPr>
              <w:pStyle w:val="ListParagraph"/>
              <w:numPr>
                <w:ilvl w:val="0"/>
                <w:numId w:val="2"/>
              </w:numPr>
              <w:spacing w:after="40"/>
            </w:pPr>
            <w:r>
              <w:t xml:space="preserve">Notoriété et références à bâtir</w:t>
            </w:r>
          </w:p>
          <w:p>
            <w:pPr>
              <w:pStyle w:val="ListParagraph"/>
              <w:numPr>
                <w:ilvl w:val="0"/>
                <w:numId w:val="2"/>
              </w:numPr>
              <w:spacing w:after="40"/>
            </w:pPr>
            <w:r>
              <w:t xml:space="preserve">Marché particulier = achat ponctuel, faible récurrence</w:t>
            </w:r>
          </w:p>
        </w:tc>
      </w:tr>
    </w:tbl>
    <w:p>
      <w:pPr>
        <w:pStyle w:val="Heading1"/>
      </w:pPr>
      <w:r>
        <w:t xml:space="preserve">8. Menaces et opportunités</w:t>
      </w:r>
    </w:p>
    <w:p>
      <w:pPr>
        <w:pStyle w:val="Heading2"/>
      </w:pPr>
      <w:r>
        <w:t xml:space="preserve">Menaces</w:t>
      </w:r>
    </w:p>
    <w:p>
      <w:pPr>
        <w:pStyle w:val="ListParagraph"/>
        <w:numPr>
          <w:ilvl w:val="0"/>
          <w:numId w:val="2"/>
        </w:numPr>
        <w:spacing w:after="60" w:line="268"/>
      </w:pPr>
      <w:r>
        <w:rPr>
          <w:b/>
          <w:bCs/>
        </w:rPr>
        <w:t xml:space="preserve">Débordement de Vesta. </w:t>
      </w:r>
      <w:r>
        <w:t xml:space="preserve">Si Vesta étend sa DP au-delà du PV ou lance une offre autonome, il attaque directement DP avec un moteur graphique déjà mature.</w:t>
      </w:r>
    </w:p>
    <w:p>
      <w:pPr>
        <w:pStyle w:val="ListParagraph"/>
        <w:numPr>
          <w:ilvl w:val="0"/>
          <w:numId w:val="2"/>
        </w:numPr>
        <w:spacing w:after="60" w:line="268"/>
      </w:pPr>
      <w:r>
        <w:rPr>
          <w:b/>
          <w:bCs/>
        </w:rPr>
        <w:t xml:space="preserve">Guerre des prix. </w:t>
      </w:r>
      <w:r>
        <w:t xml:space="preserve">Likio (69 €), Urbassist (89 €), Kawadessin (99 €) fixent déjà un plancher tarifaire bas côté particulier.</w:t>
      </w:r>
    </w:p>
    <w:p>
      <w:pPr>
        <w:pStyle w:val="ListParagraph"/>
        <w:numPr>
          <w:ilvl w:val="0"/>
          <w:numId w:val="2"/>
        </w:numPr>
        <w:spacing w:after="60" w:line="268"/>
      </w:pPr>
      <w:r>
        <w:rPr>
          <w:b/>
          <w:bCs/>
        </w:rPr>
        <w:t xml:space="preserve">IA généraliste. </w:t>
      </w:r>
      <w:r>
        <w:t xml:space="preserve">La montée en puissance de ChatGPT/Claude/Gemini peut rogner la partie « conseil et rédaction ».</w:t>
      </w:r>
    </w:p>
    <w:p>
      <w:pPr>
        <w:pStyle w:val="ListParagraph"/>
        <w:numPr>
          <w:ilvl w:val="0"/>
          <w:numId w:val="2"/>
        </w:numPr>
        <w:spacing w:after="60" w:line="268"/>
      </w:pPr>
      <w:r>
        <w:rPr>
          <w:b/>
          <w:bCs/>
        </w:rPr>
        <w:t xml:space="preserve">Dépendance aux règles locales. </w:t>
      </w:r>
      <w:r>
        <w:t xml:space="preserve">PLU et exigences des mairies varient ; la conformité est un effort permanent.</w:t>
      </w:r>
    </w:p>
    <w:p>
      <w:pPr>
        <w:pStyle w:val="Heading2"/>
      </w:pPr>
      <w:r>
        <w:t xml:space="preserve">Opportunités</w:t>
      </w:r>
    </w:p>
    <w:p>
      <w:pPr>
        <w:pStyle w:val="ListParagraph"/>
        <w:numPr>
          <w:ilvl w:val="0"/>
          <w:numId w:val="2"/>
        </w:numPr>
        <w:spacing w:after="60" w:line="268"/>
      </w:pPr>
      <w:r>
        <w:rPr>
          <w:b/>
          <w:bCs/>
        </w:rPr>
        <w:t xml:space="preserve">Devenir la référence horizontale de la DP. </w:t>
      </w:r>
      <w:r>
        <w:t xml:space="preserve">Aucun acteur ne domine clairement le « tous travaux, self-service, IA » ; place à prendre.</w:t>
      </w:r>
    </w:p>
    <w:p>
      <w:pPr>
        <w:pStyle w:val="ListParagraph"/>
        <w:numPr>
          <w:ilvl w:val="0"/>
          <w:numId w:val="2"/>
        </w:numPr>
        <w:spacing w:after="60" w:line="268"/>
      </w:pPr>
      <w:r>
        <w:rPr>
          <w:b/>
          <w:bCs/>
        </w:rPr>
        <w:t xml:space="preserve">Offre API / marque blanche. </w:t>
      </w:r>
      <w:r>
        <w:t xml:space="preserve">Fournir le moteur DP aux artisans, courtiers travaux, plateformes de rénovation — y compris à des concurrents de Vesta.</w:t>
      </w:r>
    </w:p>
    <w:p>
      <w:pPr>
        <w:pStyle w:val="ListParagraph"/>
        <w:numPr>
          <w:ilvl w:val="0"/>
          <w:numId w:val="2"/>
        </w:numPr>
        <w:spacing w:after="60" w:line="268"/>
      </w:pPr>
      <w:r>
        <w:rPr>
          <w:b/>
          <w:bCs/>
        </w:rPr>
        <w:t xml:space="preserve">Verticales ciblées. </w:t>
      </w:r>
      <w:r>
        <w:t xml:space="preserve">Piscinistes, paysagistes, pergolas/carports, installateurs solaires indépendants : autant de niches à adresser sans suite lourde.</w:t>
      </w:r>
    </w:p>
    <w:p>
      <w:pPr>
        <w:pStyle w:val="ListParagraph"/>
        <w:numPr>
          <w:ilvl w:val="0"/>
          <w:numId w:val="2"/>
        </w:numPr>
        <w:spacing w:after="60" w:line="268"/>
      </w:pPr>
      <w:r>
        <w:rPr>
          <w:b/>
          <w:bCs/>
        </w:rPr>
        <w:t xml:space="preserve">Élargissement produit. </w:t>
      </w:r>
      <w:r>
        <w:t xml:space="preserve">Permis de construire, autres CERFA, suivi d’instruction en mairie : extensions naturelles.</w:t>
      </w:r>
    </w:p>
    <w:p>
      <w:pPr>
        <w:pStyle w:val="Heading1"/>
      </w:pPr>
      <w:r>
        <w:t xml:space="preserve">9. Recommandations stratégiques</w:t>
      </w:r>
    </w:p>
    <w:p>
      <w:pPr>
        <w:pStyle w:val="ListParagraph"/>
        <w:numPr>
          <w:ilvl w:val="0"/>
          <w:numId w:val="3"/>
        </w:numPr>
        <w:spacing w:after="80" w:line="268"/>
      </w:pPr>
      <w:r>
        <w:t xml:space="preserve">Se concentrer sur la profondeur DP, pas sur la largeur de Vesta. Faire de DP le meilleur produit au monde pour une déclaration préalable, tous travaux confondus.</w:t>
      </w:r>
    </w:p>
    <w:p>
      <w:pPr>
        <w:pStyle w:val="ListParagraph"/>
        <w:numPr>
          <w:ilvl w:val="0"/>
          <w:numId w:val="3"/>
        </w:numPr>
        <w:spacing w:after="80" w:line="268"/>
      </w:pPr>
      <w:r>
        <w:t xml:space="preserve">Atteindre la parité sur les pièces graphiques. Plan de masse, plan de situation, plan de coupe et insertion paysagère générés automatiquement (cadastre + IA) — c’est le point où Vesta est fort et où DP doit être irréprochable.</w:t>
      </w:r>
    </w:p>
    <w:p>
      <w:pPr>
        <w:pStyle w:val="ListParagraph"/>
        <w:numPr>
          <w:ilvl w:val="0"/>
          <w:numId w:val="3"/>
        </w:numPr>
        <w:spacing w:after="80" w:line="268"/>
      </w:pPr>
      <w:r>
        <w:t xml:space="preserve">Faire de la conformité un argument de vente mesuré. Publier un taux d’acceptation, une garantie « dossier accepté ou refait », et des modèles calés sur les exigences des mairies, pour répondre aux 96 % de Vesta.</w:t>
      </w:r>
    </w:p>
    <w:p>
      <w:pPr>
        <w:pStyle w:val="ListParagraph"/>
        <w:numPr>
          <w:ilvl w:val="0"/>
          <w:numId w:val="3"/>
        </w:numPr>
        <w:spacing w:after="80" w:line="268"/>
      </w:pPr>
      <w:r>
        <w:t xml:space="preserve">Jouer l’horizontalité dans le message. « De tous vos travaux à un dossier accepté » : clôture, abri, extension, piscine, panneaux — là où Vesta ne parle que solaire.</w:t>
      </w:r>
    </w:p>
    <w:p>
      <w:pPr>
        <w:pStyle w:val="ListParagraph"/>
        <w:numPr>
          <w:ilvl w:val="0"/>
          <w:numId w:val="3"/>
        </w:numPr>
        <w:spacing w:after="80" w:line="268"/>
      </w:pPr>
      <w:r>
        <w:t xml:space="preserve">Segmenter l’offre. Un parcours particulier en libre-service (prix bas type 49–99 €) et une offre pro/agence multi-dossiers (abonnement ou jetons, à la Urbassist).</w:t>
      </w:r>
    </w:p>
    <w:p>
      <w:pPr>
        <w:pStyle w:val="ListParagraph"/>
        <w:numPr>
          <w:ilvl w:val="0"/>
          <w:numId w:val="3"/>
        </w:numPr>
        <w:spacing w:after="80" w:line="268"/>
      </w:pPr>
      <w:r>
        <w:t xml:space="preserve">Ouvrir une brique API / marque blanche. Se rendre complémentaire des installateurs et plateformes — y compris ceux qui n’utilisent pas Vesta — pour capter la distribution.</w:t>
      </w:r>
    </w:p>
    <w:p>
      <w:pPr>
        <w:pStyle w:val="ListParagraph"/>
        <w:numPr>
          <w:ilvl w:val="0"/>
          <w:numId w:val="3"/>
        </w:numPr>
        <w:spacing w:after="80" w:line="268"/>
      </w:pPr>
      <w:r>
        <w:t xml:space="preserve">Surveiller Vesta activement. Suivre changelog, page « démarches administratives » et tarification : tout signe d’ouverture hors PV est un signal d’alerte.</w:t>
      </w:r>
    </w:p>
    <w:p>
      <w:pPr>
        <w:pBdr>
          <w:top w:val="single" w:color="1F6FB2" w:sz="6"/>
          <w:bottom w:val="single" w:color="1F6FB2" w:sz="6"/>
        </w:pBdr>
        <w:shd w:fill="EAF1F7" w:val="clear"/>
        <w:spacing w:after="100" w:before="200"/>
        <w:ind w:left="120" w:right="120"/>
      </w:pPr>
      <w:r>
        <w:rPr>
          <w:b/>
          <w:bCs/>
          <w:color w:val="0B2E4F"/>
        </w:rPr>
        <w:t xml:space="preserve">En une phrase : </w:t>
      </w:r>
      <w:r>
        <w:rPr>
          <w:color w:val="0B2E4F"/>
        </w:rPr>
        <w:t xml:space="preserve">Vesta est un géant vertical dont la DP n’est qu’une fonctionnalité ; DP peut gagner en étant le spécialiste horizontal, plus accessible, plus large et irréprochable sur le dossier lui-même.</w:t>
      </w:r>
    </w:p>
    <w:p>
      <w:pPr>
        <w:pStyle w:val="Heading1"/>
      </w:pPr>
      <w:r>
        <w:t xml:space="preserve">Sources</w:t>
      </w:r>
    </w:p>
    <w:p>
      <w:pPr>
        <w:pStyle w:val="ListParagraph"/>
        <w:numPr>
          <w:ilvl w:val="0"/>
          <w:numId w:val="2"/>
        </w:numPr>
        <w:spacing w:after="60"/>
      </w:pPr>
      <w:r>
        <w:t xml:space="preserve">Vesta — page d’accueil — </w:t>
      </w:r>
      <w:hyperlink w:history="1" r:id="rIdxrmeqi5eqq-iikifvxpvh">
        <w:r>
          <w:rPr>
            <w:rStyle w:val="Hyperlink"/>
          </w:rPr>
          <w:t xml:space="preserve">https://vesta.eco</w:t>
        </w:r>
      </w:hyperlink>
    </w:p>
    <w:p>
      <w:pPr>
        <w:pStyle w:val="ListParagraph"/>
        <w:numPr>
          <w:ilvl w:val="0"/>
          <w:numId w:val="2"/>
        </w:numPr>
        <w:spacing w:after="60"/>
      </w:pPr>
      <w:r>
        <w:t xml:space="preserve">Vesta — Démarches administratives PV — </w:t>
      </w:r>
      <w:hyperlink w:history="1" r:id="rIdx_liukzo8u6yxhdmzjwww">
        <w:r>
          <w:rPr>
            <w:rStyle w:val="Hyperlink"/>
          </w:rPr>
          <w:t xml:space="preserve">https://vesta.eco/demarches-administratives-pv</w:t>
        </w:r>
      </w:hyperlink>
    </w:p>
    <w:p>
      <w:pPr>
        <w:pStyle w:val="ListParagraph"/>
        <w:numPr>
          <w:ilvl w:val="0"/>
          <w:numId w:val="2"/>
        </w:numPr>
        <w:spacing w:after="60"/>
      </w:pPr>
      <w:r>
        <w:t xml:space="preserve">Urbassist — tarifs — </w:t>
      </w:r>
      <w:hyperlink w:history="1" r:id="rIdkczvzsqa_e0pe6g5ymcvn">
        <w:r>
          <w:rPr>
            <w:rStyle w:val="Hyperlink"/>
          </w:rPr>
          <w:t xml:space="preserve">https://www.urbassist.fr/tarifs</w:t>
        </w:r>
      </w:hyperlink>
    </w:p>
    <w:p>
      <w:pPr>
        <w:pStyle w:val="ListParagraph"/>
        <w:numPr>
          <w:ilvl w:val="0"/>
          <w:numId w:val="2"/>
        </w:numPr>
        <w:spacing w:after="60"/>
      </w:pPr>
      <w:r>
        <w:t xml:space="preserve">Algar — déclaration préalable — </w:t>
      </w:r>
      <w:hyperlink w:history="1" r:id="rIdpfeewn2kfcmpdbt3xrrub">
        <w:r>
          <w:rPr>
            <w:rStyle w:val="Hyperlink"/>
          </w:rPr>
          <w:t xml:space="preserve">https://urbanisme.algar.co/declaration-prealable-de-travaux</w:t>
        </w:r>
      </w:hyperlink>
    </w:p>
    <w:p>
      <w:pPr>
        <w:pStyle w:val="ListParagraph"/>
        <w:numPr>
          <w:ilvl w:val="0"/>
          <w:numId w:val="2"/>
        </w:numPr>
        <w:spacing w:after="60"/>
      </w:pPr>
      <w:r>
        <w:t xml:space="preserve">Likio — autorisations d’urbanisme — </w:t>
      </w:r>
      <w:hyperlink w:history="1" r:id="rIdatdkyg-dfumr--k7bqtds">
        <w:r>
          <w:rPr>
            <w:rStyle w:val="Hyperlink"/>
          </w:rPr>
          <w:t xml:space="preserve">https://www.rapide-permisdeconstruire.fr/</w:t>
        </w:r>
      </w:hyperlink>
    </w:p>
    <w:p>
      <w:pPr>
        <w:pStyle w:val="ListParagraph"/>
        <w:numPr>
          <w:ilvl w:val="0"/>
          <w:numId w:val="2"/>
        </w:numPr>
        <w:spacing w:after="60"/>
      </w:pPr>
      <w:r>
        <w:t xml:space="preserve">Kawadessin — permis / DP — </w:t>
      </w:r>
      <w:hyperlink w:history="1" r:id="rIda7ylqz1wd_xw1xxmcxi7v">
        <w:r>
          <w:rPr>
            <w:rStyle w:val="Hyperlink"/>
          </w:rPr>
          <w:t xml:space="preserve">https://kawadessin.fr/services-de-permis-de-construire-2</w:t>
        </w:r>
      </w:hyperlink>
    </w:p>
    <w:p>
      <w:pPr>
        <w:pStyle w:val="ListParagraph"/>
        <w:numPr>
          <w:ilvl w:val="0"/>
          <w:numId w:val="2"/>
        </w:numPr>
        <w:spacing w:after="60"/>
      </w:pPr>
      <w:r>
        <w:t xml:space="preserve">InterieurAI — insertion graphique DP6 — </w:t>
      </w:r>
      <w:hyperlink w:history="1" r:id="rId6rhblk2g16rk9kajkhkv7">
        <w:r>
          <w:rPr>
            <w:rStyle w:val="Hyperlink"/>
          </w:rPr>
          <w:t xml:space="preserve">https://interieurai.fr/logiciel/logiciel-insertion-graphique-dp6</w:t>
        </w:r>
      </w:hyperlink>
    </w:p>
    <w:p>
      <w:pPr>
        <w:pStyle w:val="ListParagraph"/>
        <w:numPr>
          <w:ilvl w:val="0"/>
          <w:numId w:val="2"/>
        </w:numPr>
        <w:spacing w:after="60"/>
      </w:pPr>
      <w:r>
        <w:t xml:space="preserve">Service-public — déclaration préalable (DP) — </w:t>
      </w:r>
      <w:hyperlink w:history="1" r:id="rIdbg3i35fmii3zdgu-nrd_k">
        <w:r>
          <w:rPr>
            <w:rStyle w:val="Hyperlink"/>
          </w:rPr>
          <w:t xml:space="preserve">https://www.service-public.gouv.fr/particuliers/vosdroits/F17578</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Confidentiel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55555"/>
        <w:sz w:val="16"/>
        <w:szCs w:val="16"/>
      </w:rPr>
      <w:t xml:space="preserve">Analyse concurrentielle — DP vs Vesta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0B2E4F"/>
      <w:sz w:val="52"/>
      <w:szCs w:val="52"/>
    </w:rPr>
  </w:style>
  <w:style w:type="paragraph" w:styleId="Heading1">
    <w:name w:val="Heading 1"/>
    <w:basedOn w:val="Normal"/>
    <w:next w:val="Normal"/>
    <w:qFormat/>
    <w:pPr>
      <w:pBdr>
        <w:bottom w:val="single" w:color="1F6FB2" w:sz="6" w:space="4"/>
      </w:pBdr>
      <w:spacing w:after="140" w:before="300"/>
      <w:outlineLvl w:val="0"/>
    </w:pPr>
    <w:rPr>
      <w:rFonts w:ascii="Arial" w:cs="Arial" w:eastAsia="Arial" w:hAnsi="Arial"/>
      <w:b/>
      <w:bCs/>
      <w:color w:val="0B2E4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6F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rmeqi5eqq-iikifvxpvh" Type="http://schemas.openxmlformats.org/officeDocument/2006/relationships/hyperlink" Target="https://vesta.eco" TargetMode="External"/><Relationship Id="rIdx_liukzo8u6yxhdmzjwww" Type="http://schemas.openxmlformats.org/officeDocument/2006/relationships/hyperlink" Target="https://vesta.eco/demarches-administratives-pv" TargetMode="External"/><Relationship Id="rIdkczvzsqa_e0pe6g5ymcvn" Type="http://schemas.openxmlformats.org/officeDocument/2006/relationships/hyperlink" Target="https://www.urbassist.fr/tarifs" TargetMode="External"/><Relationship Id="rIdpfeewn2kfcmpdbt3xrrub" Type="http://schemas.openxmlformats.org/officeDocument/2006/relationships/hyperlink" Target="https://urbanisme.algar.co/declaration-prealable-de-travaux" TargetMode="External"/><Relationship Id="rIdatdkyg-dfumr--k7bqtds" Type="http://schemas.openxmlformats.org/officeDocument/2006/relationships/hyperlink" Target="https://www.rapide-permisdeconstruire.fr/" TargetMode="External"/><Relationship Id="rIda7ylqz1wd_xw1xxmcxi7v" Type="http://schemas.openxmlformats.org/officeDocument/2006/relationships/hyperlink" Target="https://kawadessin.fr/services-de-permis-de-construire-2" TargetMode="External"/><Relationship Id="rId6rhblk2g16rk9kajkhkv7" Type="http://schemas.openxmlformats.org/officeDocument/2006/relationships/hyperlink" Target="https://interieurai.fr/logiciel/logiciel-insertion-graphique-dp6" TargetMode="External"/><Relationship Id="rIdbg3i35fmii3zdgu-nrd_k" Type="http://schemas.openxmlformats.org/officeDocument/2006/relationships/hyperlink" Target="https://www.service-public.gouv.fr/particuliers/vosdroits/F17578"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2026-07-10T11:05:10.925Z</dcterms:created>
  <dcterms:modified xsi:type="dcterms:W3CDTF">2026-07-10T11:05:10.925Z</dcterms:modified>
</cp:coreProperties>
</file>

<file path=docProps/custom.xml><?xml version="1.0" encoding="utf-8"?>
<Properties xmlns="http://schemas.openxmlformats.org/officeDocument/2006/custom-properties" xmlns:vt="http://schemas.openxmlformats.org/officeDocument/2006/docPropsVTypes"/>
</file>