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</w:rPr>
        <w:t>Бабаев Антон,Юрчик Максим группа 215</w:t>
      </w:r>
    </w:p>
    <w:p>
      <w:pPr>
        <w:spacing w:line="284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</w:r>
    </w:p>
    <w:p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>Тема 11. Проектно-эксплуатационная документация компьютерных сетей</w:t>
      </w:r>
    </w:p>
    <w:p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highlight w:val="yellow"/>
          <w:color w:val="000000"/>
          <w:sz w:val="24"/>
        </w:rPr>
        <w:t>Задание 1.</w:t>
      </w:r>
      <w:r>
        <w:rPr>
          <w:rFonts w:ascii="Times New Roman" w:hAnsi="Times New Roman" w:cs="Times New Roman"/>
          <w:color w:val="000000"/>
          <w:sz w:val="24"/>
        </w:rPr>
        <w:t xml:space="preserve"> Дайте определение понятию «эксплуатационная документация». </w:t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  <w:u w:color="auto" w:val="single"/>
        </w:rPr>
        <w:t>Эксплуатационная документация</w:t>
      </w:r>
      <w:r>
        <w:rPr>
          <w:rFonts w:ascii="Times New Roman" w:hAnsi="Times New Roman" w:cs="Times New Roman"/>
          <w:color w:val="000000"/>
          <w:sz w:val="24"/>
        </w:rPr>
        <w:t xml:space="preserve"> - это техническая документация, которая в отдельности или в совокупности с другими документами определяет правила эксплуатации изделия и (или) отражает сведения, удостоверяющие гарантированные изготовителем значения основных параметров и характеристик изделия, гарантии и сведения по его эксплуатации в течении установленного срока службы.</w:t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  <w:u w:color="auto" w:val="single"/>
        </w:rPr>
      </w:pPr>
      <w:r>
        <w:rPr>
          <w:rFonts w:ascii="Times New Roman" w:hAnsi="Times New Roman" w:cs="Times New Roman"/>
          <w:b/>
          <w:highlight w:val="yellow"/>
          <w:color w:val="000000"/>
          <w:sz w:val="24"/>
        </w:rPr>
        <w:t>Задание 2.</w:t>
      </w:r>
      <w:r>
        <w:rPr>
          <w:rFonts w:ascii="Times New Roman" w:hAnsi="Times New Roman" w:cs="Times New Roman"/>
          <w:color w:val="000000"/>
          <w:sz w:val="24"/>
        </w:rPr>
        <w:t xml:space="preserve"> Письменно ответьте на вопросы:</w:t>
        <w:br w:type="textWrapping"/>
      </w:r>
      <w:r>
        <w:rPr>
          <w:rFonts w:ascii="Times New Roman" w:hAnsi="Times New Roman" w:cs="Times New Roman"/>
          <w:color w:val="000000"/>
          <w:sz w:val="24"/>
          <w:u w:color="auto" w:val="single"/>
        </w:rPr>
        <w:t xml:space="preserve">1) Каким ГОСТом регламентируется эксплуатационная документация? </w:t>
      </w:r>
      <w:r>
        <w:rPr>
          <w:rFonts w:ascii="Times New Roman" w:hAnsi="Times New Roman" w:cs="Times New Roman"/>
          <w:color w:val="000000"/>
          <w:sz w:val="24"/>
          <w:u w:color="auto" w:val="single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</w:rPr>
        <w:t xml:space="preserve"> ГОСТ 2.601-2013 – описывает виды эксплуатационных документов, требования к ним </w:t>
        <w:br w:type="textWrapping"/>
        <w:t xml:space="preserve">      и комплектность;</w:t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–</w:t>
      </w:r>
      <w:r>
        <w:rPr>
          <w:rFonts w:ascii="Times New Roman" w:hAnsi="Times New Roman" w:cs="Times New Roman"/>
          <w:color w:val="000000"/>
          <w:sz w:val="24"/>
        </w:rPr>
        <w:t xml:space="preserve"> ГОСТ 2.610-2006 – устанавливает правила составления различных эксплуатационных </w:t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документов, в том числе РЭ.</w:t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u w:color="auto" w:val="single"/>
        </w:rPr>
        <w:t>2) Как называется документ, устанавливающий комплект эксплуатационных документов и места укладки документов, поставляемых с изделием или отдельно от него?</w:t>
      </w:r>
      <w:r>
        <w:rPr>
          <w:rFonts w:ascii="Times New Roman" w:hAnsi="Times New Roman" w:cs="Times New Roman"/>
          <w:color w:val="000000"/>
          <w:sz w:val="24"/>
        </w:rPr>
        <w:br w:type="textWrapping"/>
        <w:t xml:space="preserve">    Ведомость эксплуатационных до Документ, устанавливающий комплект эксплуатационных документов, а также места укладки документов, поставляемых с изделием или отдельно от него.</w:t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u w:color="auto" w:val="single"/>
        </w:rPr>
        <w:t xml:space="preserve">3) На каких уровнях действуют организации стандартизации? </w:t>
        <w:br w:type="textWrapping"/>
      </w:r>
      <w:r>
        <w:rPr>
          <w:rFonts w:ascii="Times New Roman" w:hAnsi="Times New Roman" w:cs="Times New Roman"/>
          <w:color w:val="000000"/>
          <w:sz w:val="24"/>
        </w:rPr>
        <w:t xml:space="preserve">    Действия по стандартизации проводятся на разных уровнях, которые делятся на государственный, национальный, международный и региональный. Разделение на уровни зависит от утверждения нормативной документации участников конкретного региона, выделенного по экономическим, политическим и географическим критериям. Виды уровней стандартизации. В международной стандартизации тесное сотрудничество осуществляют организации по стандартизации всех стран.</w:t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  <w:u w:color="auto" w:val="single"/>
        </w:rPr>
      </w:pPr>
      <w:r>
        <w:rPr>
          <w:rFonts w:ascii="Times New Roman" w:hAnsi="Times New Roman" w:cs="Times New Roman"/>
          <w:color w:val="000000"/>
          <w:sz w:val="24"/>
          <w:u w:color="auto" w:val="single"/>
        </w:rPr>
        <w:t xml:space="preserve">4) Какой стране принадлежит инициатива разработки стандартов? </w:t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Инициатива разработки стандартов СКС принадлежит США.</w:t>
        <w:br w:type="textWrapping"/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</w:r>
    </w:p>
    <w:p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highlight w:val="yellow"/>
          <w:color w:val="000000"/>
          <w:sz w:val="24"/>
        </w:rPr>
        <w:t>Задание 3</w:t>
      </w:r>
      <w:r>
        <w:rPr>
          <w:rFonts w:ascii="Times New Roman" w:hAnsi="Times New Roman" w:cs="Times New Roman"/>
          <w:highlight w:val="yellow"/>
          <w:color w:val="000000"/>
          <w:sz w:val="24"/>
        </w:rPr>
        <w:t>.</w:t>
      </w:r>
      <w:r>
        <w:rPr>
          <w:rFonts w:ascii="Times New Roman" w:hAnsi="Times New Roman" w:cs="Times New Roman"/>
          <w:color w:val="000000"/>
          <w:sz w:val="24"/>
        </w:rPr>
        <w:t xml:space="preserve"> Заполните пустые ячейки в таблице.</w:t>
        <w:br w:type="textWrapping"/>
      </w:r>
    </w:p>
    <w:tbl>
      <w:tblPr>
        <w:tblStyle w:val="NormalTable"/>
        <w:name w:val="Таблица1"/>
        <w:tabOrder w:val="0"/>
        <w:jc w:val="left"/>
        <w:tblInd w:w="-10" w:type="dxa"/>
        <w:tblW w:w="9520" w:type="dxa"/>
        <w:tblLook w:val="0000" w:firstRow="0" w:lastRow="0" w:firstColumn="0" w:lastColumn="0" w:noHBand="0" w:noVBand="0"/>
      </w:tblPr>
      <w:tblGrid>
        <w:gridCol w:w="2220"/>
        <w:gridCol w:w="7300"/>
      </w:tblGrid>
      <w:tr>
        <w:trPr>
          <w:cantSplit w:val="0"/>
          <w:trHeight w:val="326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top w:val="single" w:sz="8" w:space="0" w:color="91949A" tmln="20, 20, 20, 0, 0"/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top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2980"/>
              <w:spacing w:line="0" w:lineRule="atLeast"/>
              <w:rPr>
                <w:rFonts w:ascii="Times New Roman" w:hAnsi="Times New Roman" w:eastAsia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2"/>
              </w:rPr>
              <w:t>Определение</w:t>
            </w:r>
          </w:p>
        </w:tc>
      </w:tr>
      <w:tr>
        <w:trPr>
          <w:cantSplit w:val="0"/>
          <w:trHeight w:val="79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6"/>
              </w:rPr>
            </w:pPr>
            <w:r>
              <w:rPr>
                <w:rFonts w:ascii="Times New Roman" w:hAnsi="Times New Roman" w:eastAsia="Times New Roman"/>
                <w:color w:val="000000"/>
                <w:sz w:val="6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6"/>
              </w:rPr>
            </w:pPr>
            <w:r>
              <w:rPr>
                <w:rFonts w:ascii="Times New Roman" w:hAnsi="Times New Roman" w:eastAsia="Times New Roman"/>
                <w:color w:val="000000"/>
                <w:sz w:val="6"/>
              </w:rPr>
            </w:r>
          </w:p>
        </w:tc>
      </w:tr>
      <w:tr>
        <w:trPr>
          <w:cantSplit w:val="0"/>
          <w:trHeight w:val="1141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РЭ - Руководство по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эксплуатации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 содержащий  сведения  о  конструкции,  принципе  действия,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характеристиках  (свойствах)  изделия,  его  составных  частях  и  указания,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необходимые   для   правильной   и   безопасной   эксплуатации   изделия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(использования  по  назначению,  технического  обслуживания,  текущего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ремонта,  хранения  и  транспортирования)  и  оценок  его  технического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состояния при определении необходимости отправки его в ремонт, а также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сведения по утилизации изделия и его составных частей</w:t>
            </w:r>
          </w:p>
        </w:tc>
      </w:tr>
      <w:tr>
        <w:trPr>
          <w:cantSplit w:val="0"/>
          <w:trHeight w:val="81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2760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ИМ - Инструкция по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монтажу, пуску,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регулированию и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обкатке изделия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ФО - Формуляр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 содержащий  сведения,  необходимые  для  монтажа,  наладки,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пуска, регулирования, обкатки и сдачи изделия и его составных частей в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эксплуатацию на месте его применения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содержащий сведения, удостоверяющие гарантии изготовителя,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значения  основных  параметров  и  характеристик  (свойств)  изделия,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сведения, отражающие техническое состояние данного изделия, сведения о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сертификации и утилизации изделия, а также сведения, которые вносят в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период  его  эксплуатации  (длительность  и  условия  работы,  техническое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обслуживание, ремонт и другие данные)</w:t>
            </w:r>
          </w:p>
        </w:tc>
      </w:tr>
      <w:tr>
        <w:trPr>
          <w:cantSplit w:val="0"/>
          <w:trHeight w:val="80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314" w:hRule="atLeast"/>
        </w:trPr>
        <w:tc>
          <w:tcPr>
            <w:tcW w:w="2220" w:type="dxa"/>
            <w:vMerge w:val="restart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ПС - Паспорт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содержащий сведения, удостоверяющие гарантии изготовителя,</w:t>
            </w:r>
          </w:p>
        </w:tc>
      </w:tr>
      <w:tr>
        <w:trPr>
          <w:cantSplit w:val="0"/>
          <w:trHeight w:val="254" w:hRule="atLeast"/>
        </w:trPr>
        <w:tc>
          <w:tcPr>
            <w:tcW w:w="222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/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значения основных параметров и характеристик (свойств) изделия, а также</w:t>
            </w:r>
          </w:p>
        </w:tc>
      </w:tr>
      <w:tr>
        <w:trPr>
          <w:cantSplit w:val="0"/>
          <w:trHeight w:val="252" w:hRule="atLeast"/>
        </w:trPr>
        <w:tc>
          <w:tcPr>
            <w:tcW w:w="222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/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сведения о сертификации и утилизации изделия</w:t>
            </w:r>
          </w:p>
        </w:tc>
      </w:tr>
      <w:tr>
        <w:trPr>
          <w:cantSplit w:val="0"/>
          <w:trHeight w:val="8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821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ЭТ - Этикетка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  содержащий   гарантии   изготовителя,   значения   основных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параметров и характеристик (свойств) изделия, сведения о сертификации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изделия</w:t>
            </w:r>
          </w:p>
        </w:tc>
      </w:tr>
      <w:tr>
        <w:trPr>
          <w:cantSplit w:val="0"/>
          <w:trHeight w:val="8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314" w:hRule="atLeast"/>
        </w:trPr>
        <w:tc>
          <w:tcPr>
            <w:tcW w:w="2220" w:type="dxa"/>
            <w:vMerge w:val="restart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КДС - Каталог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деталей и сборочных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единиц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содержащий перечень деталей и сборочных единиц изделия с</w:t>
            </w:r>
          </w:p>
        </w:tc>
      </w:tr>
      <w:tr>
        <w:trPr>
          <w:cantSplit w:val="0"/>
          <w:trHeight w:val="254" w:hRule="atLeast"/>
        </w:trPr>
        <w:tc>
          <w:tcPr>
            <w:tcW w:w="222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/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иллюстрациями и сведения об их количестве, расположении в изделии,</w:t>
            </w:r>
          </w:p>
        </w:tc>
      </w:tr>
      <w:tr>
        <w:trPr>
          <w:cantSplit w:val="0"/>
          <w:trHeight w:val="252" w:hRule="atLeast"/>
        </w:trPr>
        <w:tc>
          <w:tcPr>
            <w:tcW w:w="222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/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взаимозаменяемости, конструктивных особенностях, материалах и др.</w:t>
            </w:r>
          </w:p>
        </w:tc>
      </w:tr>
      <w:tr>
        <w:trPr>
          <w:cantSplit w:val="0"/>
          <w:trHeight w:val="8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314" w:hRule="atLeast"/>
        </w:trPr>
        <w:tc>
          <w:tcPr>
            <w:tcW w:w="2220" w:type="dxa"/>
            <w:vMerge w:val="restart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НЗЧ - Нормы расхода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запасных частей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 содержащий  номенклатуру  запасных  частей  изделия  и  их</w:t>
            </w:r>
          </w:p>
        </w:tc>
      </w:tr>
      <w:tr>
        <w:trPr>
          <w:cantSplit w:val="0"/>
          <w:trHeight w:val="254" w:hRule="atLeast"/>
        </w:trPr>
        <w:tc>
          <w:tcPr>
            <w:tcW w:w="222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/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количество, расходуемое на нормируемое количество изделий за период их</w:t>
            </w:r>
          </w:p>
        </w:tc>
      </w:tr>
      <w:tr>
        <w:trPr>
          <w:cantSplit w:val="0"/>
          <w:trHeight w:val="252" w:hRule="atLeast"/>
        </w:trPr>
        <w:tc>
          <w:tcPr>
            <w:tcW w:w="222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/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эксплуатации</w:t>
            </w:r>
          </w:p>
        </w:tc>
      </w:tr>
      <w:tr>
        <w:trPr>
          <w:cantSplit w:val="0"/>
          <w:trHeight w:val="8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314" w:hRule="atLeast"/>
        </w:trPr>
        <w:tc>
          <w:tcPr>
            <w:tcW w:w="2220" w:type="dxa"/>
            <w:vMerge w:val="restart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НМ - Нормы расхода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материалов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 содержащий  номенклатуру  материалов  и  их  количество,</w:t>
            </w:r>
          </w:p>
        </w:tc>
      </w:tr>
      <w:tr>
        <w:trPr>
          <w:cantSplit w:val="0"/>
          <w:trHeight w:val="254" w:hRule="atLeast"/>
        </w:trPr>
        <w:tc>
          <w:tcPr>
            <w:tcW w:w="222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/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расходуемое  на  нормированное   количество  изделий  за   период  их</w:t>
            </w:r>
          </w:p>
        </w:tc>
      </w:tr>
      <w:tr>
        <w:trPr>
          <w:cantSplit w:val="0"/>
          <w:trHeight w:val="252" w:hRule="atLeast"/>
        </w:trPr>
        <w:tc>
          <w:tcPr>
            <w:tcW w:w="222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/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эксплуатации</w:t>
            </w:r>
          </w:p>
        </w:tc>
      </w:tr>
      <w:tr>
        <w:trPr>
          <w:cantSplit w:val="0"/>
          <w:trHeight w:val="80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31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ЗИ - Ведомость</w:t>
            </w:r>
          </w:p>
        </w:tc>
        <w:tc>
          <w:tcPr>
            <w:tcW w:w="7300" w:type="dxa"/>
            <w:vMerge w:val="restart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 содержащий  номенклатуру,  назначение,  количество  и  места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укладки запасных частей, инструментов, принадлежностей и материалов,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расходуемых за срок службы изделия</w:t>
            </w:r>
          </w:p>
        </w:tc>
      </w:tr>
      <w:tr>
        <w:trPr>
          <w:cantSplit w:val="0"/>
          <w:trHeight w:val="25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комплекта запасных</w:t>
            </w:r>
          </w:p>
        </w:tc>
        <w:tc>
          <w:tcPr>
            <w:tcW w:w="730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/>
        </w:tc>
      </w:tr>
      <w:tr>
        <w:trPr>
          <w:cantSplit w:val="0"/>
          <w:trHeight w:val="252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частей, инструмента</w:t>
            </w:r>
          </w:p>
        </w:tc>
        <w:tc>
          <w:tcPr>
            <w:tcW w:w="730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/>
        </w:tc>
      </w:tr>
      <w:tr>
        <w:trPr>
          <w:cantSplit w:val="0"/>
          <w:trHeight w:val="252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и принадлежностей</w:t>
            </w:r>
          </w:p>
        </w:tc>
        <w:tc>
          <w:tcPr>
            <w:tcW w:w="7300" w:type="dxa"/>
            <w:vMerge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/>
        </w:tc>
      </w:tr>
      <w:tr>
        <w:trPr>
          <w:cantSplit w:val="0"/>
          <w:trHeight w:val="8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1076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ИС - Инструкции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эксплуатационные</w:t>
            </w:r>
          </w:p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специальные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Документы,   содержащие   специальные   требования,   относящиеся   к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использованию  по  назначению,  техническому  обслуживанию,  текущему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ремонту,  хранению,  транспортированию  и  утилизации,  оформленные  в</w:t>
            </w:r>
          </w:p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виде самостоятельных частей ЭД или в виде приложений к ним</w:t>
            </w:r>
          </w:p>
        </w:tc>
      </w:tr>
      <w:tr>
        <w:trPr>
          <w:cantSplit w:val="0"/>
          <w:trHeight w:val="81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  <w:tr>
        <w:trPr>
          <w:cantSplit w:val="0"/>
          <w:trHeight w:val="316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ВЭ - Ведомость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Документ,  устанавливающий  комплект  эксплуатационных  документов  и</w:t>
            </w:r>
          </w:p>
        </w:tc>
      </w:tr>
      <w:tr>
        <w:trPr>
          <w:cantSplit w:val="0"/>
          <w:trHeight w:val="252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эксплуатационных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left="60"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места укладки документов, поставляемых с изделием или отдельно от него</w:t>
            </w:r>
          </w:p>
        </w:tc>
      </w:tr>
      <w:tr>
        <w:trPr>
          <w:cantSplit w:val="0"/>
          <w:trHeight w:val="25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ind w:left="80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  <w:t>документов</w:t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right w:val="single" w:sz="8" w:space="0" w:color="91949A" tmln="20, 20, 20, 0, 0"/>
            </w:tcBorders>
            <w:tmTcPr id="1640840076" protected="0"/>
          </w:tcPr>
          <w:p>
            <w:pPr>
              <w:ind w:right="-128"/>
              <w:spacing w:line="0" w:lineRule="atLeast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ascii="Times New Roman" w:hAnsi="Times New Roman" w:eastAsia="Times New Roman"/>
                <w:color w:val="000000"/>
                <w:sz w:val="22"/>
              </w:rPr>
            </w:r>
          </w:p>
        </w:tc>
      </w:tr>
      <w:tr>
        <w:trPr>
          <w:cantSplit w:val="0"/>
          <w:trHeight w:val="84" w:hRule="atLeast"/>
        </w:trPr>
        <w:tc>
          <w:tcPr>
            <w:tcW w:w="2220" w:type="dxa"/>
            <w:vAlign w:val="bottom"/>
            <w:shd w:val="none"/>
            <w:tcMar>
              <w:left w:w="0" w:type="dxa"/>
              <w:right w:w="0" w:type="dxa"/>
            </w:tcMar>
            <w:tcBorders>
              <w:left w:val="single" w:sz="8" w:space="0" w:color="91949A" tmln="20, 20, 20, 0, 0"/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  <w:tc>
          <w:tcPr>
            <w:tcW w:w="7300" w:type="dxa"/>
            <w:vAlign w:val="bottom"/>
            <w:shd w:val="none"/>
            <w:tcMar>
              <w:left w:w="0" w:type="dxa"/>
              <w:right w:w="0" w:type="dxa"/>
            </w:tcMar>
            <w:tcBorders>
              <w:bottom w:val="single" w:sz="8" w:space="0" w:color="91949A" tmln="20, 20, 20, 0, 0"/>
              <w:right w:val="single" w:sz="8" w:space="0" w:color="91949A" tmln="20, 20, 20, 0, 0"/>
            </w:tcBorders>
            <w:tmTcPr id="1640840076" protected="0"/>
          </w:tcPr>
          <w:p>
            <w:pPr>
              <w:spacing w:line="0" w:lineRule="atLeast"/>
              <w:rPr>
                <w:rFonts w:ascii="Times New Roman" w:hAnsi="Times New Roman" w:eastAsia="Times New Roman"/>
                <w:color w:val="000000"/>
                <w:sz w:val="7"/>
              </w:rPr>
            </w:pPr>
            <w:r>
              <w:rPr>
                <w:rFonts w:ascii="Times New Roman" w:hAnsi="Times New Roman" w:eastAsia="Times New Roman"/>
                <w:color w:val="000000"/>
                <w:sz w:val="7"/>
              </w:rPr>
            </w:r>
          </w:p>
        </w:tc>
      </w:tr>
    </w:tbl>
    <w:p>
      <w:pPr>
        <w:ind w:left="7" w:firstLine="713"/>
        <w:spacing w:line="0" w:lineRule="atLeast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b/>
          <w:highlight w:val="yellow"/>
          <w:color w:val="000000"/>
          <w:sz w:val="24"/>
        </w:rPr>
        <w:t>Задание 4.</w:t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Ответьте на вопросы:</w:t>
      </w:r>
      <w:r>
        <w:rPr>
          <w:rFonts w:ascii="Times New Roman" w:hAnsi="Times New Roman" w:eastAsia="Times New Roman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 xml:space="preserve">1. Что называется документированием? </w:t>
      </w:r>
    </w:p>
    <w:p>
      <w:pPr>
        <w:ind w:firstLine="426"/>
        <w:spacing w:line="0" w:lineRule="atLeast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sz w:val="24"/>
        </w:rPr>
        <w:t>Документирование</w:t>
      </w: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/>
          <w:color w:val="000000"/>
          <w:sz w:val="24"/>
        </w:rPr>
        <w:t xml:space="preserve"> неотъемлемая часть обеспечения функционирования ЛВС. Документация должна быть актуальной, отражать текущее состояние сети в непротиворечивом виде.</w:t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ind w:left="367"/>
        <w:spacing w:line="0" w:lineRule="atLeast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 xml:space="preserve">2. Что определяет политика информационной безопасности ЛВС? </w:t>
      </w:r>
    </w:p>
    <w:p>
      <w:pPr>
        <w:pStyle w:val="para1"/>
        <w:ind w:left="0" w:firstLine="426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sz w:val="24"/>
        </w:rPr>
        <w:t>Политика информационной безопасности ЛВС</w:t>
      </w: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/>
          <w:color w:val="000000"/>
          <w:sz w:val="24"/>
        </w:rPr>
        <w:t xml:space="preserve"> документ, определяющий основные положения по обеспечению информационной безопасности в ЛВС, включая цели организации, категории информации, циркулирующей в сети, анализ потенциальных угроз, структуру системы защиты, обязанности и взаимоотношения должностных лиц, методы и средства защиты информации в сети.</w:t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ind w:left="367"/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3. Что относится к эксплуатационной документации локальной сети?</w:t>
        <w:br w:type="textWrapping"/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   Эксплуатационная документация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это техническая документация,</w:t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которая в</w:t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отдельности или в совокупности с другими документами определяет правила эксплуатации изделия и (или) отражает сведения, удостоверяющие гарантированные изготовителем значения основных параметров и характеристик изделия, гарантии и сведения по его эксплуатации в течение установленного срока службы. Данная документация регламентирована требованиями ГОСТ 2.601-2006.</w:t>
      </w:r>
      <w:r>
        <w:rPr>
          <w:rFonts w:ascii="Times New Roman" w:hAnsi="Times New Roman" w:eastAsia="Times New Roman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b/>
          <w:highlight w:val="yellow"/>
          <w:color w:val="000000"/>
          <w:sz w:val="24"/>
        </w:rPr>
        <w:t>Ответы на вопросы:</w:t>
      </w:r>
      <w:r>
        <w:rPr>
          <w:rFonts w:ascii="Times New Roman" w:hAnsi="Times New Roman" w:eastAsia="Times New Roman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color w:val="000000"/>
          <w:sz w:val="24"/>
          <w:u w:color="auto" w:val="single"/>
        </w:rPr>
        <w:t>1. Что называется, документированием?</w:t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</w:t>
      </w:r>
      <w:r>
        <w:rPr>
          <w:rFonts w:ascii="Times New Roman" w:hAnsi="Times New Roman" w:eastAsia="Times New Roman"/>
          <w:b/>
          <w:color w:val="000000"/>
          <w:sz w:val="24"/>
        </w:rPr>
        <w:t>Документирование</w:t>
      </w: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/>
          <w:color w:val="000000"/>
          <w:sz w:val="24"/>
        </w:rPr>
        <w:t xml:space="preserve"> неотъемлемая часть обеспечения функционирования ЛВС.   </w:t>
      </w:r>
      <w:r>
        <w:rPr>
          <w:rFonts w:ascii="Times New Roman" w:hAnsi="Times New Roman" w:eastAsia="Times New Roman"/>
          <w:color w:val="000000"/>
          <w:sz w:val="24"/>
        </w:rPr>
        <w:br w:type="textWrapping"/>
        <w:t>Документация должна быть актуальной, отражать текущее состояние сети в непротиворечивом виде.</w:t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2. Что определяет политика информационной безопасности ЛВС?</w:t>
      </w:r>
    </w:p>
    <w:p>
      <w:pPr>
        <w:spacing w:line="238" w:lineRule="auto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b/>
          <w:color w:val="000000"/>
          <w:sz w:val="24"/>
        </w:rPr>
        <w:t xml:space="preserve">    Политика информационной безопасности ЛВС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документ,</w:t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>определяющий</w:t>
      </w:r>
      <w:r>
        <w:rPr>
          <w:rFonts w:ascii="Times New Roman" w:hAnsi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</w:rPr>
        <w:t xml:space="preserve">основные </w:t>
      </w:r>
      <w:r>
        <w:rPr>
          <w:rFonts w:ascii="Times New Roman" w:hAnsi="Times New Roman" w:eastAsia="Times New Roman"/>
          <w:color w:val="000000"/>
          <w:sz w:val="24"/>
        </w:rPr>
        <w:br w:type="textWrapping"/>
        <w:t xml:space="preserve">положения по обеспечению информационной безопасности в ЛВС, включая цели </w:t>
      </w:r>
      <w:r>
        <w:rPr>
          <w:rFonts w:ascii="Times New Roman" w:hAnsi="Times New Roman" w:eastAsia="Times New Roman"/>
          <w:color w:val="000000"/>
          <w:sz w:val="24"/>
        </w:rPr>
        <w:br w:type="textWrapping"/>
        <w:t xml:space="preserve">организации, категории информации, циркулирующей в сети, анализ потенциальных </w:t>
      </w:r>
      <w:r>
        <w:rPr>
          <w:rFonts w:ascii="Times New Roman" w:hAnsi="Times New Roman" w:eastAsia="Times New Roman"/>
          <w:color w:val="000000"/>
          <w:sz w:val="24"/>
        </w:rPr>
        <w:br w:type="textWrapping"/>
        <w:t xml:space="preserve">угроз, структуру системы защиты, обязанности и взаимоотношения должностных лиц, </w:t>
      </w:r>
      <w:r>
        <w:rPr>
          <w:rFonts w:ascii="Times New Roman" w:hAnsi="Times New Roman" w:eastAsia="Times New Roman"/>
          <w:color w:val="000000"/>
          <w:sz w:val="24"/>
        </w:rPr>
        <w:br w:type="textWrapping"/>
        <w:t xml:space="preserve"> методы и средства защиты информации в сети.</w:t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ind w:left="426"/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3. Какие документы относятся к технической документации ЛВС?</w:t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</w:t>
      </w:r>
      <w:r>
        <w:rPr>
          <w:rFonts w:ascii="Times New Roman" w:hAnsi="Times New Roman" w:eastAsia="Times New Roman"/>
          <w:b/>
          <w:color w:val="000000"/>
          <w:sz w:val="24"/>
        </w:rPr>
        <w:t>Техническая документация ЛВС</w:t>
      </w: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/>
          <w:color w:val="000000"/>
          <w:sz w:val="24"/>
        </w:rPr>
        <w:t xml:space="preserve"> документы, отражающие основные технические требования, проектные решения, характеристики, устройство и принципы </w:t>
      </w:r>
      <w:r>
        <w:rPr>
          <w:rFonts w:ascii="Times New Roman" w:hAnsi="Times New Roman" w:eastAsia="Times New Roman"/>
          <w:color w:val="000000"/>
          <w:sz w:val="24"/>
        </w:rPr>
        <w:t>действия, комплектность ЛВС и её</w:t>
      </w:r>
      <w:r>
        <w:rPr>
          <w:rFonts w:ascii="Times New Roman" w:hAnsi="Times New Roman" w:eastAsia="Times New Roman"/>
          <w:color w:val="000000"/>
          <w:sz w:val="24"/>
        </w:rPr>
        <w:t xml:space="preserve"> компонентов.</w:t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4. Какие документы относятся к эксплуатационной документации?</w:t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  </w:t>
      </w:r>
      <w:r>
        <w:rPr>
          <w:rFonts w:ascii="Times New Roman" w:hAnsi="Times New Roman" w:eastAsia="Times New Roman"/>
          <w:b/>
          <w:color w:val="000000"/>
          <w:sz w:val="24"/>
        </w:rPr>
        <w:t>Эксплуатационная документация</w:t>
      </w:r>
      <w:r>
        <w:rPr>
          <w:rFonts w:ascii="Times New Roman" w:hAnsi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/>
          <w:color w:val="000000"/>
          <w:sz w:val="24"/>
        </w:rPr>
        <w:t xml:space="preserve"> это техническая документация, которая в отдельности или в совокупности с другими документами определяет правила эксплуатации изделия и (или) отражает сведения, удостоверяющие гарантированные изготовителем значения основных параметров и характеристик изделия, гарантии и сведения по его эксплуатации в течение установленного срока службы. Данная документация регламентирована требованиями ГОСТ 2.601-2006.</w:t>
      </w: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</w:rPr>
        <w:br w:type="textWrapping"/>
      </w:r>
      <w:r>
        <w:rPr>
          <w:rFonts w:ascii="Times New Roman" w:hAnsi="Times New Roman" w:eastAsia="Times New Roman"/>
          <w:color w:val="000000"/>
          <w:sz w:val="24"/>
          <w:u w:color="auto" w:val="single"/>
        </w:rPr>
        <w:t>5. На какие виды делятся эксплуатационные документы согласно ГОСТу?</w:t>
      </w:r>
      <w:r>
        <w:rPr>
          <w:rFonts w:ascii="Times New Roman" w:hAnsi="Times New Roman" w:eastAsia="Times New Roman"/>
          <w:color w:val="000000"/>
          <w:sz w:val="24"/>
          <w:u w:color="auto" w:val="single"/>
        </w:rPr>
      </w:r>
    </w:p>
    <w:p>
      <w:pPr>
        <w:ind w:right="-1"/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К эксплуатационным документам относят текстовые и графические рабочие конструкторские документы, которые в отдельности или в совокупности дают возможность ознакомления с изделием и определяют правила его эксплуатации.</w:t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6. Что относится к эксплуатационной документации локальной сети?</w:t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Эксплуатационная документация по локальной сети любой организации может быть представлена совокупностью следующих документов: Документы, описывающие </w:t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структуру локальной сети (ЛС): Поэтажный план здания с указанием: o кабинетов с </w:t>
        <w:br w:type="textWrapping"/>
        <w:t>компьютерной аппаратурой; o помещения серверной.</w:t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  <w:u w:color="auto" w:val="single"/>
        </w:rPr>
      </w:pPr>
      <w:r>
        <w:rPr>
          <w:rFonts w:ascii="Times New Roman" w:hAnsi="Times New Roman" w:eastAsia="Times New Roman"/>
          <w:color w:val="000000"/>
          <w:sz w:val="24"/>
          <w:u w:color="auto" w:val="single"/>
        </w:rPr>
        <w:t>7. Какие документы относятся к дополнительным эксплуатационным документам КС?</w:t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000000"/>
          <w:sz w:val="24"/>
        </w:rPr>
      </w:pPr>
      <w:r>
        <w:rPr>
          <w:rFonts w:ascii="Times New Roman" w:hAnsi="Times New Roman" w:eastAsia="Times New Roman"/>
          <w:color w:val="000000"/>
          <w:sz w:val="24"/>
        </w:rPr>
        <w:t xml:space="preserve">    Основной комплект конструкторских документов изделия объединяет конструкторские </w:t>
        <w:br w:type="textWrapping"/>
        <w:t xml:space="preserve">документы, относящиеся ко всему изделию (составленные на все данное изделие в целом), </w:t>
        <w:br w:type="textWrapping"/>
        <w:t xml:space="preserve">например, сборочный чертеж, принципиальная электрическая схема, технические условия, </w:t>
        <w:br w:type="textWrapping"/>
        <w:t>эксплуатационные документы.</w:t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color w:val="4472c4"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</w:r>
    </w:p>
    <w:p>
      <w:pPr>
        <w:spacing w:line="0" w:lineRule="atLeast"/>
        <w:tabs defTabSz="708">
          <w:tab w:val="left" w:pos="367" w:leader="none"/>
        </w:tabs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color w:val="4472c4"/>
          <w:sz w:val="24"/>
        </w:rPr>
        <w:br w:type="textWrapping"/>
      </w:r>
      <w:r>
        <w:rPr>
          <w:rFonts w:ascii="Times New Roman" w:hAnsi="Times New Roman" w:cs="Times New Roman"/>
          <w:b/>
          <w:sz w:val="24"/>
        </w:rPr>
        <w:t>Отметка ______________</w:t>
      </w:r>
      <w:r>
        <w:rPr>
          <w:rFonts w:ascii="Times New Roman" w:hAnsi="Times New Roman" w:cs="Times New Roman"/>
          <w:b/>
          <w:sz w:val="24"/>
        </w:rPr>
        <w:tab/>
        <w:t xml:space="preserve">Подпись преподавателя ____________ / А.И. </w:t>
      </w:r>
      <w:r>
        <w:rPr>
          <w:rFonts w:ascii="Times New Roman" w:hAnsi="Times New Roman" w:cs="Times New Roman"/>
          <w:b/>
          <w:sz w:val="24"/>
        </w:rPr>
        <w:t>Недера</w:t>
      </w:r>
      <w:r>
        <w:rPr>
          <w:rFonts w:ascii="Times New Roman" w:hAnsi="Times New Roman" w:cs="Times New Roman"/>
          <w:color w:val="6666ff"/>
          <w:sz w:val="24"/>
        </w:rPr>
        <w:br w:type="textWrapping"/>
      </w:r>
      <w:r>
        <w:rPr>
          <w:rFonts w:ascii="Times New Roman" w:hAnsi="Times New Roman" w:eastAsia="Times New Roman"/>
          <w:b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4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007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Arial"/>
      <w:sz w:val="20"/>
      <w:szCs w:val="20"/>
    </w:rPr>
  </w:style>
  <w:style w:type="paragraph" w:styleId="para1">
    <w:name w:val="List Paragraph"/>
    <w:qFormat/>
    <w:basedOn w:val="para0"/>
    <w:pPr>
      <w:ind w:left="708"/>
    </w:pPr>
  </w:style>
  <w:style w:type="paragraph" w:styleId="para2">
    <w:name w:val="Head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Calibri" w:hAnsi="Calibri" w:eastAsia="Calibri" w:cs="Arial"/>
      <w:sz w:val="20"/>
      <w:szCs w:val="20"/>
    </w:rPr>
  </w:style>
  <w:style w:type="character" w:styleId="char2" w:customStyle="1">
    <w:name w:val="Нижний колонтитул Знак"/>
    <w:basedOn w:val="char0"/>
    <w:rPr>
      <w:rFonts w:ascii="Calibri" w:hAnsi="Calibri" w:eastAsia="Calibri" w:cs="Arial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Arial"/>
      <w:sz w:val="20"/>
      <w:szCs w:val="20"/>
    </w:rPr>
  </w:style>
  <w:style w:type="paragraph" w:styleId="para1">
    <w:name w:val="List Paragraph"/>
    <w:qFormat/>
    <w:basedOn w:val="para0"/>
    <w:pPr>
      <w:ind w:left="708"/>
    </w:pPr>
  </w:style>
  <w:style w:type="paragraph" w:styleId="para2">
    <w:name w:val="Head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Calibri" w:hAnsi="Calibri" w:eastAsia="Calibri" w:cs="Arial"/>
      <w:sz w:val="20"/>
      <w:szCs w:val="20"/>
    </w:rPr>
  </w:style>
  <w:style w:type="character" w:styleId="char2" w:customStyle="1">
    <w:name w:val="Нижний колонтитул Знак"/>
    <w:basedOn w:val="char0"/>
    <w:rPr>
      <w:rFonts w:ascii="Calibri" w:hAnsi="Calibri" w:eastAsia="Calibri" w:cs="Arial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9</cp:revision>
  <dcterms:created xsi:type="dcterms:W3CDTF">2021-11-15T18:36:00Z</dcterms:created>
  <dcterms:modified xsi:type="dcterms:W3CDTF">2021-12-30T04:54:36Z</dcterms:modified>
</cp:coreProperties>
</file>