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b/>
          <w:highlight w:val="yellow"/>
          <w:kern w:val="1"/>
          <w:u w:color="auto" w:val="single"/>
          <w:noProof w:val="1"/>
          <w:lang w:eastAsia="zh-cn"/>
        </w:rPr>
      </w:pPr>
      <w:r>
        <w:rPr>
          <w:rFonts w:ascii="Times New Roman" w:hAnsi="Times New Roman" w:cs="Times New Roman"/>
          <w:b/>
          <w:highlight w:val="yellow"/>
          <w:kern w:val="1"/>
          <w:u w:color="auto" w:val="single"/>
          <w:noProof w:val="1"/>
          <w:lang w:eastAsia="zh-cn"/>
        </w:rPr>
        <w:t>Бабаев Антон,Юрчик Максим группа 215</w:t>
      </w:r>
    </w:p>
    <w:p>
      <w:pPr>
        <w:spacing w:after="0" w:line="240" w:lineRule="auto"/>
        <w:tabs defTabSz="720">
          <w:tab w:val="left" w:pos="686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color w:val="000000"/>
          <w:kern w:val="1"/>
        </w:rPr>
      </w:pPr>
      <w:r>
        <w:rPr>
          <w:rFonts w:ascii="Times New Roman" w:hAnsi="Times New Roman" w:eastAsia="Times New Roman" w:cs="Times New Roman"/>
          <w:b/>
          <w:color w:val="000000"/>
          <w:kern w:val="1"/>
        </w:rPr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МДК.01.01. ОРГАНИЗАЦИЯ, ПРИНЦИПЫ ПОСТРОЕНИЯ И ФУНКЦИОНИРОВАНИЯ КОМПЬЮТЕРНЫХ СИСТЕМ.</w:t>
      </w:r>
    </w:p>
    <w:p>
      <w:pPr>
        <w:spacing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Лекция 16</w:t>
      </w:r>
    </w:p>
    <w:p>
      <w:pPr>
        <w:spacing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Ввод в эксплуатацию компьютерных систем.</w:t>
      </w:r>
    </w:p>
    <w:p>
      <w:pPr>
        <w:spacing w:after="0" w:line="240" w:lineRule="auto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</w:r>
    </w:p>
    <w:p>
      <w:pPr>
        <w:ind w:left="260"/>
        <w:spacing w:after="0" w:line="240" w:lineRule="auto"/>
        <w:rPr>
          <w:rFonts w:ascii="Times New Roman" w:hAnsi="Times New Roman" w:eastAsia="Times New Roman" w:cs="Times New Roman"/>
          <w:b/>
          <w:highlight w:val="yellow"/>
          <w:color w:val="000000"/>
          <w:shd w:val="clear" w:fill="c9daf8"/>
        </w:rPr>
      </w:pPr>
      <w:r>
        <w:rPr>
          <w:rFonts w:ascii="Times New Roman" w:hAnsi="Times New Roman" w:eastAsia="Times New Roman" w:cs="Times New Roman"/>
          <w:b/>
          <w:highlight w:val="yellow"/>
          <w:color w:val="000000"/>
          <w:shd w:val="clear" w:fill="c9daf8"/>
        </w:rPr>
        <w:t>Вопросы:</w:t>
      </w:r>
    </w:p>
    <w:p>
      <w:pPr>
        <w:ind w:left="260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u w:color="auto" w:val="single"/>
        </w:rPr>
        <w:t>Какие этапы предполагает ввод в эксплуатацию компьютерной локальной сети?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u w:color="auto" w:val="single"/>
        </w:rPr>
        <w:br w:type="textWrapping"/>
      </w:r>
      <w:r>
        <w:rPr>
          <w:rFonts w:ascii="Times New Roman" w:hAnsi="Times New Roman" w:eastAsia="Times New Roman" w:cs="Times New Roman"/>
        </w:rPr>
        <w:t>Ввод в эксплуатацию ЛВС предполагает следующие этапы реализации: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Получение технического задания.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Разработка проекта локальной вычислительной сети.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Организация подготовительных строительно-монтажных работ.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Приведение монтажа оборудования структурированных кабельных систем.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Установка вычислительной техники и подключение её и СКС.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Проведение пуско-наладочных работ.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Сдача в эксплуатацию ЛВС.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Организация работ по обслуживанию ЛВС.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u w:color="auto" w:val="single"/>
        </w:rPr>
        <w:t xml:space="preserve">Требованиям каких </w:t>
      </w:r>
      <w:r>
        <w:rPr>
          <w:rFonts w:ascii="Times New Roman" w:hAnsi="Times New Roman" w:eastAsia="Times New Roman" w:cs="Times New Roman"/>
          <w:color w:val="252525"/>
          <w:u w:color="auto" w:val="single"/>
        </w:rPr>
        <w:t>нормативных документов должна соответствовать</w:t>
      </w:r>
      <w:r>
        <w:rPr>
          <w:rFonts w:ascii="Times New Roman" w:hAnsi="Times New Roman" w:eastAsia="Times New Roman" w:cs="Times New Roman"/>
          <w:color w:val="000000"/>
          <w:u w:color="auto" w:val="single"/>
        </w:rPr>
        <w:t xml:space="preserve"> </w:t>
      </w:r>
      <w:r>
        <w:rPr>
          <w:rFonts w:ascii="Times New Roman" w:hAnsi="Times New Roman" w:eastAsia="Times New Roman" w:cs="Times New Roman"/>
          <w:color w:val="252525"/>
          <w:u w:color="auto" w:val="single"/>
        </w:rPr>
        <w:t>компьютерная сеть, вводимая в эксплуатацию?</w:t>
      </w:r>
      <w:r>
        <w:rPr>
          <w:rFonts w:ascii="Times New Roman" w:hAnsi="Times New Roman" w:eastAsia="Times New Roman" w:cs="Times New Roman"/>
        </w:rPr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  <w:color w:val="000000"/>
          <w:u w:color="auto" w:val="single"/>
        </w:rPr>
      </w:pPr>
      <w:r>
        <w:rPr>
          <w:rFonts w:ascii="Times New Roman" w:hAnsi="Times New Roman" w:eastAsia="Times New Roman" w:cs="Times New Roman"/>
          <w:color w:val="000000"/>
          <w:u w:color="auto" w:val="single"/>
        </w:rPr>
        <w:t xml:space="preserve"> 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2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ГОСТ Р МЭК 60950-2002 - Безопасность оборудования информационных технологий;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2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ГОСТ 26329-84 - Машины вычислительные и системы обработки данных. Допустимые уровни шума технических средств и методы их определения;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2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ГОСТ Р 51318.22-2006 - Совместимость технических средств электромагнитная. Оборудование информационных технологий. Радиопомехи индустриальные. Нормы и методы измерений;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2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ГОСТ Р 51318.24-99 - Совместимость технических средств электромагнитная. Устойчивость оборудования информационных технологий к электромагнитным помехам. Требования и методы испытаний;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2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ГОСТ Р 51317.3.2-2006 - Совместимость технических средств электромагнитная. Эмиссия гармонических составляющих тока техническими средствами с потребляемым током не более 16 А (в одной фазе). Нормы и методы испытаний;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2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ГОСТ Р 51317.3.3-2008 - Совместимость технических средств электромагнитная. Ограничение изменений напряжения, колебаний напряжения и фликера в низковольтных системах электроснабжения общего назначения. Технические средства с потребляемым током не более 16 А (в одной фазе), подключаемые к электрической сети при несоблюдении определенных условий подключения. Нормы и методы испытаний;</w:t>
      </w:r>
    </w:p>
    <w:p>
      <w:pPr>
        <w:ind w:left="-284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2"/>
        </w:numPr>
        <w:ind w:left="436" w:hanging="360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Санитарно-эпидемиологические правила и нормативы СанПиН 2.2.2/2.4.1340-03 "Гигиенические требования к персональным электронно-вычислительным машинам и организации работы" (в редакции СанПиН 2.2.2/2.4.2198-07. Изменение N 1 к СанПиН 2.2.2/2.4.1340-03).</w:t>
        <w:br w:type="textWrapping"/>
      </w:r>
    </w:p>
    <w:p>
      <w:pPr>
        <w:numPr>
          <w:ilvl w:val="0"/>
          <w:numId w:val="3"/>
        </w:numPr>
        <w:ind w:left="720" w:hanging="360"/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u w:color="auto" w:val="single"/>
        </w:rPr>
        <w:t>Какие санитарно-гигиенические нормы и требования следует соблюдать при введении компьютерной сети в эксплуатацию?</w:t>
        <w:br w:type="textWrapping"/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260"/>
        <w:spacing w:after="0" w:line="24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</w:rPr>
      </w:pPr>
      <w:r/>
      <w:bookmarkStart w:id="0" w:name="_heading=h.gjdgxs"/>
      <w:bookmarkEnd w:id="0"/>
      <w:r/>
      <w:r>
        <w:rPr>
          <w:rFonts w:ascii="Times New Roman" w:hAnsi="Times New Roman" w:eastAsia="Times New Roman" w:cs="Times New Roman"/>
          <w:color w:val="252525"/>
        </w:rPr>
        <w:t xml:space="preserve">Размещение компьютерного оборудования, обеспечение температурных режимов внутри помещений и организация рабочих мест должны быть выполнены в соответствии с Санитарно-эпидемиологическим правилам и нормативам </w:t>
      </w:r>
      <w:hyperlink r:id="rId8" w:history="1">
        <w:r>
          <w:rPr>
            <w:rFonts w:ascii="Times New Roman" w:hAnsi="Times New Roman" w:eastAsia="Times New Roman" w:cs="Times New Roman"/>
            <w:highlight w:val="yellow"/>
            <w:color w:val="ba0000"/>
            <w:u w:color="auto" w:val="single"/>
          </w:rPr>
          <w:t>СанПиН</w:t>
        </w:r>
        <w:r>
          <w:rPr>
            <w:rFonts w:ascii="Times New Roman" w:hAnsi="Times New Roman" w:eastAsia="Times New Roman" w:cs="Times New Roman"/>
            <w:highlight w:val="yellow"/>
            <w:color w:val="252525"/>
            <w:u w:color="auto" w:val="single"/>
          </w:rPr>
          <w:t xml:space="preserve"> </w:t>
        </w:r>
        <w:r>
          <w:rPr>
            <w:rFonts w:ascii="Times New Roman" w:hAnsi="Times New Roman" w:eastAsia="Times New Roman" w:cs="Times New Roman"/>
            <w:highlight w:val="yellow"/>
            <w:color w:val="ba0000"/>
            <w:u w:color="auto" w:val="single"/>
          </w:rPr>
          <w:t xml:space="preserve">2.2.2/2.4.1340-03 </w:t>
        </w:r>
      </w:hyperlink>
      <w:r>
        <w:rPr>
          <w:rFonts w:ascii="Times New Roman" w:hAnsi="Times New Roman" w:eastAsia="Times New Roman" w:cs="Times New Roman"/>
          <w:highlight w:val="yellow"/>
          <w:color w:val="252525"/>
        </w:rPr>
        <w:t>"</w:t>
      </w:r>
      <w:r>
        <w:rPr>
          <w:rFonts w:ascii="Times New Roman" w:hAnsi="Times New Roman" w:eastAsia="Times New Roman" w:cs="Times New Roman"/>
          <w:color w:val="252525"/>
        </w:rPr>
        <w:t>Гигиенические требования к персональным электронно-вычислительным машинам и</w:t>
      </w:r>
      <w:r>
        <w:rPr>
          <w:rFonts w:ascii="Times New Roman" w:hAnsi="Times New Roman" w:eastAsia="Times New Roman" w:cs="Times New Roman"/>
          <w:color w:val="ba0000"/>
        </w:rPr>
        <w:t xml:space="preserve"> </w:t>
      </w:r>
      <w:r>
        <w:rPr>
          <w:rFonts w:ascii="Times New Roman" w:hAnsi="Times New Roman" w:eastAsia="Times New Roman" w:cs="Times New Roman"/>
          <w:color w:val="252525"/>
        </w:rPr>
        <w:t>организации работы" (в редакции СанПиН 2.2.2/2.4.2198-07. Изменение N 1 к СанПиН 2.2.2/2.4.1340).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</w:r>
    </w:p>
    <w:p>
      <w:pPr>
        <w:spacing w:after="0" w:line="240" w:lineRule="auto"/>
        <w:jc w:val="center"/>
        <w:tabs defTabSz="720">
          <w:tab w:val="left" w:pos="476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Отметка _____ (___________)</w:t>
      </w:r>
      <w:r>
        <w:rPr>
          <w:rFonts w:ascii="Times New Roman" w:hAnsi="Times New Roman" w:eastAsia="Times New Roman" w:cs="Times New Roman"/>
        </w:rPr>
        <w:t xml:space="preserve">             </w:t>
      </w:r>
      <w:r>
        <w:rPr>
          <w:rFonts w:ascii="Times New Roman" w:hAnsi="Times New Roman" w:eastAsia="Times New Roman" w:cs="Times New Roman"/>
          <w:b/>
        </w:rPr>
        <w:t>Подпись преподавателя ___________ / А.И. Недера</w:t>
      </w:r>
      <w:r>
        <w:rPr>
          <w:rFonts w:ascii="Times New Roman" w:hAnsi="Times New Roman" w:eastAsia="Times New Roman" w:cs="Times New Roman"/>
        </w:rPr>
      </w:r>
    </w:p>
    <w:p>
      <w:pPr>
        <w:spacing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Courier New">
    <w:panose1 w:val="02070309020205020404"/>
    <w:charset w:val="cc"/>
    <w:family w:val="modern"/>
    <w:pitch w:val="default"/>
  </w:font>
  <w:font w:name="Noto Sans Symbol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●"/>
      <w:lvlJc w:val="left"/>
      <w:pPr>
        <w:ind w:left="76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796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516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236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2956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676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396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116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5836" w:hanging="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●"/>
      <w:lvlJc w:val="left"/>
      <w:pPr>
        <w:ind w:left="76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796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516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236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2956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676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396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116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5836" w:hanging="0"/>
      </w:pPr>
      <w:rPr>
        <w:rFonts w:ascii="Noto Sans Symbols" w:hAnsi="Noto Sans Symbols" w:eastAsia="Noto Sans Symbols" w:cs="Noto Sans Symbols"/>
      </w:r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64084076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>
    <w:name w:val="List Paragraph"/>
    <w:qFormat/>
    <w:basedOn w:val="para8"/>
    <w:pPr>
      <w:ind w:left="720"/>
      <w:contextualSpacing/>
    </w:pPr>
  </w:style>
  <w:style w:type="paragraph" w:styleId="para10">
    <w:name w:val="Normal (Web)"/>
    <w:qFormat/>
    <w:basedOn w:val="para8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"/>
    <w:qFormat/>
    <w:rPr>
      <w:rFonts w:ascii="Calibri" w:hAnsi="Calibri" w:eastAsia="Calibri" w:cs="Calibri"/>
      <w:sz w:val="22"/>
      <w:szCs w:val="22"/>
      <w:lang w:val="ru-ru" w:eastAsia="zh-cn" w:bidi="ar-sa"/>
    </w:rPr>
  </w:style>
  <w:style w:type="paragraph" w:styleId="para9">
    <w:name w:val="List Paragraph"/>
    <w:qFormat/>
    <w:basedOn w:val="para8"/>
    <w:pPr>
      <w:ind w:left="720"/>
      <w:contextualSpacing/>
    </w:pPr>
  </w:style>
  <w:style w:type="paragraph" w:styleId="para10">
    <w:name w:val="Normal (Web)"/>
    <w:qFormat/>
    <w:basedOn w:val="para8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securitypolicy.ru/index.php?title=&#1057;&#1072;&#1085;&#1055;&#1080;&#1053;_2.2.2/2.4.1340-03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2</cp:revision>
  <dcterms:created xsi:type="dcterms:W3CDTF">2021-12-18T08:46:00Z</dcterms:created>
  <dcterms:modified xsi:type="dcterms:W3CDTF">2021-12-30T05:06:00Z</dcterms:modified>
</cp:coreProperties>
</file>