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/>
          <w:highlight w:val="yellow"/>
          <w:kern w:val="1"/>
          <w:u w:color="auto" w:val="single"/>
        </w:rPr>
      </w:pPr>
      <w:r>
        <w:rPr>
          <w:rFonts w:ascii="Times New Roman" w:hAnsi="Times New Roman"/>
          <w:b/>
          <w:highlight w:val="yellow"/>
          <w:kern w:val="1"/>
          <w:u w:color="auto" w:val="single"/>
        </w:rPr>
        <w:t>Бабаев Антон,Юрчик Максим группа 215</w:t>
      </w:r>
    </w:p>
    <w:p>
      <w:pPr>
        <w:rPr>
          <w:rFonts w:ascii="Times New Roman" w:hAnsi="Times New Roman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719455</wp:posOffset>
                </wp:positionV>
                <wp:extent cx="6505575" cy="2905125"/>
                <wp:effectExtent l="12700" t="12700" r="12700" b="12700"/>
                <wp:wrapNone/>
                <wp:docPr id="2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wT/NYRMAAAAlAAAAAQAAAA0BAAAAkAAAAEgAAACQAAAASAAAAAAAAAAAAAAAAAAAABcAAAAUAAAAAAAAAAAAAAD/fwAA/38AAAAAAAAJAAAABAAAAAAAAAAMAAAAEAAAAAAAAAAAAAAAAAAAAAAAAAAhAAAAQAAAADwAAAABAAAAAKAAAAAAAAAAAAAAAAAAAAIAAAA4/v//AQAAAAIAAABtBAAABSgAAN8RAAAAAAAA3QQAANgJ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6505575" cy="2905125"/>
                          <a:chOff x="0" y="0"/>
                          <a:chExt cx="6505575" cy="2905125"/>
                        </a:xfrm>
                      </wpg:grpSpPr>
                      <wps:wsp>
                        <wps:cNvPr id="3" name="Прямоугольник 1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1600200" y="0"/>
                            <a:ext cx="32004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Группы стандартов по областям применения</w:t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2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457200"/>
                            <a:ext cx="20002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  <w:t>Стандарты проектирования</w:t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3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2114550" y="457200"/>
                            <a:ext cx="20002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  <w:t>Стандарты монтажа</w:t>
                              </w:r>
                            </w:p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4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4248150" y="457200"/>
                            <a:ext cx="22574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  <w:t>Стандарты администрирования</w:t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5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895350"/>
                            <a:ext cx="2000250" cy="2009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Пример: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к этой группе можно отнести также документы, определяющие параметры заземления, особенности СКС малых офисов и жилых зданий, централизованных систем и рекомендации по построению открытых офисов. </w:t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6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2114550" y="895350"/>
                            <a:ext cx="2000250" cy="2009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Пример: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работы по установке кабельных систем</w:t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7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4248150" y="895350"/>
                            <a:ext cx="2257425" cy="2009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Пример: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  <w:t>создаются на базе стандартов проектирования и монтажа.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8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wT/NY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 flipH="1">
                            <a:off x="876300" y="133350"/>
                            <a:ext cx="723900" cy="32385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1" name="Прямая со стрелкой 9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>
                            <a:off x="876300" y="733425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2" name="Прямая со стрелкой 11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>
                            <a:off x="3133725" y="733425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3" name="Прямая со стрелкой 12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>
                            <a:off x="4800600" y="133350"/>
                            <a:ext cx="600075" cy="32385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4" name="Прямая со стрелкой 13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>
                            <a:off x="5400675" y="733425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2.80pt;margin-top:56.65pt;width:512.25pt;height:228.75pt;z-index:251658242" coordorigin="1245,2520" coordsize="10245,4575">
                <v:rect id="Прямоугольник 1" o:spid="_x0000_s1026" style="position:absolute;left:3765;top:2520;width:5040;height:435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Группы стандартов по областям применения</w:t>
                        </w:r>
                      </w:p>
                    </w:txbxContent>
                  </v:textbox>
                </v:rect>
                <v:rect id="Прямоугольник 2" o:spid="_x0000_s1027" style="position:absolute;left:1245;top:3240;width:3150;height:435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Стандарты проектирования</w:t>
                        </w:r>
                      </w:p>
                    </w:txbxContent>
                  </v:textbox>
                </v:rect>
                <v:rect id="Прямоугольник 3" o:spid="_x0000_s1028" style="position:absolute;left:4575;top:3240;width:3150;height:435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Стандарты монтажа</w:t>
                        </w:r>
                      </w:p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r>
                      </w:p>
                    </w:txbxContent>
                  </v:textbox>
                </v:rect>
                <v:rect id="Прямоугольник 4" o:spid="_x0000_s1029" style="position:absolute;left:7935;top:3240;width:3555;height:435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Стандарты администрирования</w:t>
                        </w:r>
                      </w:p>
                    </w:txbxContent>
                  </v:textbox>
                </v:rect>
                <v:rect id="Прямоугольник 5" o:spid="_x0000_s1030" style="position:absolute;left:1245;top:3930;width:3150;height:3165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Пример: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 к этой группе можно отнести также документы, определяющие параметры заземления, особенности СКС малых офисов и жилых зданий, централизованных систем и рекомендации по построению открытых офисов. </w:t>
                        </w:r>
                      </w:p>
                    </w:txbxContent>
                  </v:textbox>
                </v:rect>
                <v:rect id="Прямоугольник 6" o:spid="_x0000_s1031" style="position:absolute;left:4575;top:3930;width:3150;height:3165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Пример: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 работы по установке кабельных систем</w:t>
                        </w:r>
                      </w:p>
                    </w:txbxContent>
                  </v:textbox>
                </v:rect>
                <v:rect id="Прямоугольник 7" o:spid="_x0000_s1032" style="position:absolute;left:7935;top:3930;width:3555;height:3165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Пример: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создаются на базе стандартов проектирования и монтажа.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3" type="#_x0000_t32" style="position:absolute;left:2625;top:2730;width:1140;height:510;rotation:360.0;flip:x" o:connectortype="straight" adj="16200,16200,16200" strokeweight="0.50pt" strokecolor="#6666ff" v:ext="SMDATA_11_wT/NY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v:shape id="Прямая со стрелкой 9" o:spid="_x0000_s1034" type="#_x0000_t32" style="position:absolute;left:2625;top:3675;width:0;height:255" o:connectortype="straight" adj="16200,16200,16200" strokeweight="0.50pt" strokecolor="#6666ff" v:ext="SMDATA_11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v:shape id="Прямая со стрелкой 11" o:spid="_x0000_s1035" type="#_x0000_t32" style="position:absolute;left:6180;top:3675;width:0;height:255" o:connectortype="straight" adj="16200,16200,16200" strokeweight="0.50pt" strokecolor="#6666ff" v:ext="SMDATA_11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v:shape id="Прямая со стрелкой 12" o:spid="_x0000_s1036" type="#_x0000_t32" style="position:absolute;left:8805;top:2730;width:945;height:510" o:connectortype="straight" adj="16200,16200,16200" strokeweight="0.50pt" strokecolor="#6666ff" v:ext="SMDATA_11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v:shape id="Прямая со стрелкой 13" o:spid="_x0000_s1037" type="#_x0000_t32" style="position:absolute;left:9750;top:3675;width:0;height:255" o:connectortype="straight" adj="16200,16200,16200" strokeweight="0.50pt" strokecolor="#6666ff" v:ext="SMDATA_11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w10:wrap type="none" anchorx="text" anchory="text"/>
              </v:group>
            </w:pict>
          </mc:Fallback>
        </mc:AlternateContent>
      </w:r>
      <w:r>
        <w:rPr>
          <w:rFonts w:ascii="Times New Roman" w:hAnsi="Times New Roman"/>
          <w:b/>
        </w:rPr>
        <w:br w:type="textWrapping"/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  <w:b/>
        </w:rPr>
        <w:tab/>
        <w:tab/>
        <w:tab/>
        <w:tab/>
        <w:t>Тема 9. Стандартизация сетей.</w:t>
        <w:br w:type="textWrapping"/>
      </w:r>
      <w:r>
        <w:rPr>
          <w:rFonts w:ascii="Times New Roman" w:hAnsi="Times New Roman"/>
          <w:b/>
          <w:highlight w:val="yellow"/>
          <w:color w:val="000000"/>
        </w:rPr>
        <w:t>Задание №1.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Заполните схему: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62865</wp:posOffset>
                </wp:positionV>
                <wp:extent cx="0" cy="180975"/>
                <wp:effectExtent l="82550" t="82550" r="82550" b="82550"/>
                <wp:wrapNone/>
                <wp:docPr id="1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2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gAAAACgAAAAAAAAAAAAAAAAAAACAAAAfxEAAAAAAAACAAAAYwAAAAAAAAAdAQAAAAAAACQYAADDCwAAKAAAAAgAAAABAAAAAQAAAA=="/>
                          </a:ext>
                        </a:extLst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6666FF"/>
                          </a:solidFill>
                          <a:tailEnd type="triangle" w="med" len="med"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38" type="#_x0000_t32" style="position:absolute;margin-left:223.95pt;margin-top:4.95pt;width:0.00pt;height:14.25pt;z-index:251658241;mso-wrap-distance-left:9.00pt;mso-wrap-distance-top:0.00pt;mso-wrap-distance-right:9.00pt;mso-wrap-distance-bottom:0.00pt;mso-wrap-style:square" o:connectortype="straight" adj="16200,16200,16200" strokeweight="0.50pt" strokecolor="#6666ff" v:ext="SMDATA_12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gAAAACgAAAAAAAAAAAAAAAAAAACAAAAfxEAAAAAAAACAAAAYwAAAAAAAAAdAQAAAAAAACQYAADDCwAAKAAAAAgAAAABAAAAAQAAAA==">
                <v:stroke endarrow="block" endarrowlength="medium" endarrowwidth="medium"/>
                <w10:wrap type="none" anchorx="text" anchory="text"/>
              </v:shape>
            </w:pict>
          </mc:Fallback>
        </mc:AlternateContent>
      </w: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5" behindDoc="0" locked="0" layoutInCell="0" hidden="0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2747010</wp:posOffset>
                </wp:positionV>
                <wp:extent cx="6915150" cy="1123950"/>
                <wp:effectExtent l="12700" t="12700" r="12700" b="12700"/>
                <wp:wrapNone/>
                <wp:docPr id="15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wT/NYRMAAAAlAAAAAQAAAA0BAAAAkAAAAEgAAACQAAAASAAAAAAAAAAAAAAAAAAAABcAAAAUAAAAAAAAAAAAAAD/fwAA/38AAAAAAAAJAAAABAAAAAAAAAAMAAAAEAAAAAAAAAAAAAAAAAAAAAAAAAAhAAAAQAAAADwAAAAMAAAAAKAAAAAAAAAAAAAAAAAAAAIAAAA6/P//AQAAAAIAAADmEAAAiioAAOoGAAAAAAAA3wIAADAt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6915150" cy="1123950"/>
                          <a:chOff x="0" y="0"/>
                          <a:chExt cx="6915150" cy="1123950"/>
                        </a:xfrm>
                      </wpg:grpSpPr>
                      <wps:wsp>
                        <wps:cNvPr id="16" name="Прямоугольник 14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2705100" y="0"/>
                            <a:ext cx="15430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Виды стандартов</w:t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5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495300"/>
                            <a:ext cx="167640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right="-212"/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  <w:t>Стандарты отдельных фирм</w:t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6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1752600" y="476250"/>
                            <a:ext cx="16764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right="-212"/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  <w:t>Стандарты социальных комитетов и объединений</w:t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7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5238750" y="476250"/>
                            <a:ext cx="16764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  <w:t>Международные стандарты</w:t>
                              </w:r>
                            </w:p>
                            <w:p>
                              <w:r/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18"/>
                        <wps:cNvSpPr>
                          <a:extLst>
                            <a:ext uri="smNativeData">
                              <sm:smNativeData xmlns:sm="smNativeData" val="SMDATA_12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3486150" y="476250"/>
                            <a:ext cx="16764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</w:rPr>
                                <w:t>Национальные стандарты</w:t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19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 flipH="1">
                            <a:off x="800100" y="133350"/>
                            <a:ext cx="1905000" cy="3429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22" name="Прямая со стрелкой 20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 flipH="1">
                            <a:off x="2638425" y="276225"/>
                            <a:ext cx="581025" cy="2000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23" name="Прямая со стрелкой 21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>
                            <a:off x="3762375" y="276225"/>
                            <a:ext cx="571500" cy="21907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24" name="Прямая со стрелкой 22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>
                            <a:off x="4248150" y="133350"/>
                            <a:ext cx="1828800" cy="3429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8.30pt;margin-top:216.30pt;width:544.50pt;height:88.50pt;z-index:251658255" coordorigin="735,11568" coordsize="10890,1770">
                <v:rect id="Прямоугольник 14" o:spid="_x0000_s1039" style="position:absolute;left:4995;top:11568;width:2430;height:435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Виды стандартов</w:t>
                        </w:r>
                      </w:p>
                    </w:txbxContent>
                  </v:textbox>
                </v:rect>
                <v:rect id="Прямоугольник 15" o:spid="_x0000_s1040" style="position:absolute;left:735;top:12348;width:2640;height:765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ind w:right="-212"/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Стандарты отдельных фирм</w:t>
                        </w:r>
                      </w:p>
                    </w:txbxContent>
                  </v:textbox>
                </v:rect>
                <v:rect id="Прямоугольник 16" o:spid="_x0000_s1041" style="position:absolute;left:3495;top:12318;width:2640;height:1020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ind w:right="-212"/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Стандарты социальных комитетов и объединений</w:t>
                        </w:r>
                      </w:p>
                    </w:txbxContent>
                  </v:textbox>
                </v:rect>
                <v:rect id="Прямоугольник 17" o:spid="_x0000_s1042" style="position:absolute;left:8985;top:12318;width:2640;height:720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Международные стандарты</w:t>
                        </w:r>
                      </w:p>
                      <w:p>
                        <w:r/>
                      </w:p>
                    </w:txbxContent>
                  </v:textbox>
                </v:rect>
                <v:rect id="Прямоугольник 18" o:spid="_x0000_s1043" style="position:absolute;left:6225;top:12318;width:2640;height:720" strokeweight="1.00pt" fillcolor="#ffffff" v:ext="SMDATA_11_wT/NYR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Национальные стандарты</w:t>
                        </w:r>
                      </w:p>
                    </w:txbxContent>
                  </v:textbox>
                </v:rect>
                <v:shape id="Прямая со стрелкой 19" o:spid="_x0000_s1044" type="#_x0000_t32" style="position:absolute;left:1995;top:11778;width:3000;height:540;rotation:360.0;flip:x" o:connectortype="straight" adj="16200,16200,16200" strokeweight="0.50pt" strokecolor="#6666ff" v:ext="SMDATA_11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v:shape id="Прямая со стрелкой 20" o:spid="_x0000_s1045" type="#_x0000_t32" style="position:absolute;left:4890;top:12003;width:915;height:315;rotation:360.0;flip:x" o:connectortype="straight" adj="16200,16200,16200" strokeweight="0.50pt" strokecolor="#6666ff" v:ext="SMDATA_11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v:shape id="Прямая со стрелкой 21" o:spid="_x0000_s1046" type="#_x0000_t32" style="position:absolute;left:6660;top:12003;width:900;height:345" o:connectortype="straight" adj="16200,16200,16200" strokeweight="0.50pt" strokecolor="#6666ff" v:ext="SMDATA_11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v:shape id="Прямая со стрелкой 22" o:spid="_x0000_s1047" type="#_x0000_t32" style="position:absolute;left:7425;top:11778;width:2880;height:540" o:connectortype="straight" adj="16200,16200,16200" strokeweight="0.50pt" strokecolor="#6666ff" v:ext="SMDATA_11_wT/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w10:wrap type="none" anchorx="text" anchory="text"/>
              </v:group>
            </w:pict>
          </mc:Fallback>
        </mc:AlternateContent>
      </w:r>
      <w:r>
        <w:rPr>
          <w:rFonts w:ascii="Times New Roman" w:hAnsi="Times New Roman"/>
          <w:b/>
          <w:highlight w:val="yellow"/>
          <w:color w:val="000000"/>
        </w:rPr>
        <w:t>Задание №2.</w:t>
      </w:r>
      <w:r>
        <w:rPr>
          <w:rFonts w:ascii="Times New Roman" w:hAnsi="Times New Roman"/>
          <w:b/>
          <w:color w:val="000000"/>
        </w:rPr>
        <w:t xml:space="preserve">  </w:t>
      </w:r>
      <w:r>
        <w:rPr>
          <w:rFonts w:ascii="Times New Roman" w:hAnsi="Times New Roman"/>
          <w:color w:val="000000"/>
        </w:rPr>
        <w:t>Что определяют разные группы стандартов по содержанию и облостям применения?</w:t>
      </w:r>
      <w:r>
        <w:rPr>
          <w:rFonts w:ascii="Times New Roman" w:hAnsi="Times New Roman"/>
          <w:b/>
          <w:color w:val="000000"/>
        </w:rPr>
        <w:br w:type="textWrapping"/>
      </w:r>
      <w:r>
        <w:rPr>
          <w:rFonts w:ascii="Times New Roman" w:hAnsi="Times New Roman"/>
          <w:color w:val="000000"/>
        </w:rPr>
        <w:t>Стандарты проектирования определяют среду передачи, параметры разъемов, линии и канала, в том числе предельно допустимые длины, способы подключения проводников (последовательность), топологию и функциональные элементы СКС. Приложения дополняют стандарты в смежных областях и подразделяются на нормативные (часть стандарта) и информационные (для сведения).</w:t>
        <w:br w:type="textWrapping"/>
      </w:r>
      <w:r>
        <w:rPr>
          <w:rFonts w:ascii="Times New Roman" w:hAnsi="Times New Roman"/>
          <w:color w:val="000000"/>
        </w:rPr>
        <w:br w:type="textWrapping"/>
        <w:t xml:space="preserve">Стандарты </w:t>
      </w:r>
      <w:r>
        <w:rPr>
          <w:rFonts w:ascii="Times New Roman" w:hAnsi="Times New Roman"/>
          <w:color w:val="000000"/>
        </w:rPr>
        <w:t xml:space="preserve">монтажа </w:t>
      </w:r>
      <w:r>
        <w:rPr>
          <w:rFonts w:ascii="Times New Roman" w:hAnsi="Times New Roman"/>
          <w:color w:val="000000"/>
        </w:rPr>
        <w:t>определяют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в широком смысле телекоммуникационные аспекты проектирования и строительства (комплекса) зданий. Учет телекоммуникационной инфраструктуры подразумевает наличие каналов для прокладки кабелей и помещений для их коммутации и размещения оборудования.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t xml:space="preserve">Стандарты </w:t>
      </w:r>
      <w:r>
        <w:rPr>
          <w:rFonts w:ascii="Times New Roman" w:hAnsi="Times New Roman"/>
          <w:color w:val="000000"/>
        </w:rPr>
        <w:t xml:space="preserve">администрирования </w:t>
      </w:r>
      <w:r>
        <w:rPr>
          <w:rFonts w:ascii="Times New Roman" w:hAnsi="Times New Roman"/>
          <w:color w:val="000000"/>
        </w:rPr>
        <w:t xml:space="preserve">определяют </w:t>
      </w:r>
      <w:r>
        <w:rPr>
          <w:rFonts w:ascii="Times New Roman" w:hAnsi="Times New Roman"/>
          <w:color w:val="000000"/>
        </w:rPr>
        <w:t>правила документирования телекоммуникационной инфраструктуры и создаются на базе стандартов проектирования и монтажа.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b/>
          <w:highlight w:val="yellow"/>
          <w:color w:val="000000"/>
        </w:rPr>
        <w:t>Задание №3.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Заполните схему: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ind w:right="-143"/>
        <w:spacing w:after="200" w:line="0" w:lineRule="atLeast"/>
        <w:tabs defTabSz="708">
          <w:tab w:val="left" w:pos="3927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highlight w:val="yellow"/>
          <w:color w:val="000000"/>
        </w:rPr>
        <w:t>Задание №4.</w:t>
      </w:r>
      <w:r>
        <w:rPr>
          <w:rFonts w:ascii="Times New Roman" w:hAnsi="Times New Roman"/>
          <w:color w:val="000000"/>
        </w:rPr>
        <w:t xml:space="preserve"> Перечислите организации, занимающиеся стандартизацией компьютерных сетей и опишите, какие стандарты ни разрабатывают. </w:t>
        <w:br w:type="textWrapping"/>
        <w:br w:type="textWrapping"/>
      </w:r>
      <w:r>
        <w:rPr>
          <w:rFonts w:ascii="Times New Roman" w:hAnsi="Times New Roman"/>
          <w:color w:val="000000"/>
          <w:u w:color="auto" w:val="single"/>
        </w:rPr>
        <w:t xml:space="preserve">– </w:t>
      </w:r>
      <w:r>
        <w:rPr>
          <w:rFonts w:ascii="Times New Roman" w:hAnsi="Times New Roman"/>
          <w:b/>
          <w:color w:val="000000"/>
          <w:u w:color="auto" w:val="single"/>
        </w:rPr>
        <w:t>Международная организация по стандартизации</w:t>
      </w:r>
      <w:r>
        <w:rPr>
          <w:rFonts w:ascii="Times New Roman" w:hAnsi="Times New Roman"/>
          <w:color w:val="000000"/>
        </w:rPr>
        <w:t xml:space="preserve"> ( International Organization </w:t>
      </w:r>
      <w:r>
        <w:rPr>
          <w:rFonts w:ascii="Times New Roman" w:hAnsi="Times New Roman"/>
          <w:color w:val="000000"/>
        </w:rPr>
        <w:t>for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Standardization</w:t>
      </w:r>
      <w:r>
        <w:rPr>
          <w:rFonts w:ascii="Times New Roman" w:hAnsi="Times New Roman"/>
          <w:color w:val="000000"/>
        </w:rPr>
        <w:t xml:space="preserve">, ISO, часто называемая также </w:t>
      </w:r>
      <w:r>
        <w:rPr>
          <w:rFonts w:ascii="Times New Roman" w:hAnsi="Times New Roman"/>
          <w:color w:val="000000"/>
        </w:rPr>
        <w:t>International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Standards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Organization</w:t>
      </w:r>
      <w:r>
        <w:rPr>
          <w:rFonts w:ascii="Times New Roman" w:hAnsi="Times New Roman"/>
          <w:color w:val="000000"/>
        </w:rPr>
        <w:t>) представляет собой ассоциацию ведущих национальных организаций по стандартизации разных стран. Главным достижением ISO стала модель взаимодействия открытых систем OSI, которая в настоящее время является концептуальной основой стандартизации в области вычислительных сетей. В соответствии с моделью OSI этой организацией был разработан стандартный стек коммуникационных протоколов OSI.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Международный союз электросвязи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International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Telecomm</w:t>
      </w:r>
      <w:r>
        <w:rPr>
          <w:rFonts w:ascii="Times New Roman" w:hAnsi="Times New Roman"/>
          <w:color w:val="000000"/>
        </w:rPr>
        <w:t>unications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Union</w:t>
      </w:r>
      <w:r>
        <w:rPr>
          <w:rFonts w:ascii="Times New Roman" w:hAnsi="Times New Roman"/>
          <w:color w:val="000000"/>
        </w:rPr>
        <w:t xml:space="preserve">, ITU ) – </w:t>
      </w:r>
      <w:r>
        <w:rPr>
          <w:rFonts w:ascii="Times New Roman" w:hAnsi="Times New Roman"/>
          <w:color w:val="000000"/>
        </w:rPr>
        <w:t xml:space="preserve"> организация, которая в настоящее время является специализированным органом Организации Объединенных Наций. Наиболее значительную роль в стандартизации вычислительных сетей играет постоянно действующий в рамках этой организации Международный консультативный комитет по телефонии и телеграфии (МККТТ) (</w:t>
      </w:r>
      <w:r>
        <w:rPr>
          <w:rFonts w:ascii="Times New Roman" w:hAnsi="Times New Roman"/>
          <w:color w:val="000000"/>
        </w:rPr>
        <w:t>Consultative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Committee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on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International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Telegraphy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Telephony</w:t>
      </w:r>
      <w:r>
        <w:rPr>
          <w:rFonts w:ascii="Times New Roman" w:hAnsi="Times New Roman"/>
          <w:color w:val="000000"/>
        </w:rPr>
        <w:t>, CCITT).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Институт инженеров по электротехнике и радиоэлектронике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Institute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Electrical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Electronics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Engineers</w:t>
      </w:r>
      <w:r>
        <w:rPr>
          <w:rFonts w:ascii="Times New Roman" w:hAnsi="Times New Roman"/>
          <w:color w:val="000000"/>
        </w:rPr>
        <w:t>, IEEE ) — национальная организация США, определяющая сетевые стандарты. В 1981 году рабочая группа 802 этого института сформулировала основные требования, которым должны удовлетворять локальные вычислительные сети. Группа 802 определила множество стандартов, из них самыми известными являются стандарты 802.1, 802.2, 802.3 и 802.5, которые описывают общие понятия, используемые в области локальных сетей, а также стандарты на два нижних уровня сетей Ethernet и Token Ring.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color w:val="000000"/>
          <w:u w:color="auto" w:val="single"/>
        </w:rPr>
        <w:t xml:space="preserve"> </w:t>
      </w:r>
      <w:r>
        <w:rPr>
          <w:rFonts w:ascii="Times New Roman" w:hAnsi="Times New Roman"/>
          <w:b/>
          <w:color w:val="000000"/>
          <w:u w:color="auto" w:val="single"/>
        </w:rPr>
        <w:t>Европейская ассоциация производителей компьютеров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European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Computer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Manufacturers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Association</w:t>
      </w:r>
      <w:r>
        <w:rPr>
          <w:rFonts w:ascii="Times New Roman" w:hAnsi="Times New Roman"/>
          <w:color w:val="000000"/>
        </w:rPr>
        <w:t>, ECMA ) — некоммерческая организация, активно сотрудничающая с ITU-T и ISO, занимается разработкой стандартов и технических обзоров, относящихся к компьютерной и коммуникационной технологиям. Известна своим стандартом ЕСМА-101, используемым при передаче отформатированного текста и графических изображений с сохранением оригинального формата.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Ассоциация производителей компьютеров и оргтехники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Computer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Business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Equipment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Manufacturers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Association</w:t>
      </w:r>
      <w:r>
        <w:rPr>
          <w:rFonts w:ascii="Times New Roman" w:hAnsi="Times New Roman"/>
          <w:color w:val="000000"/>
        </w:rPr>
        <w:t>, CBEMA ) — организация американских производителей аппаратного обеспечения; аналогична европейской ассоциации ECMA; участвует в разработке стандартов на обработку информации и соответствующее оборудование.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Ассоциация электронной промышленности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Electronic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Industries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Association</w:t>
      </w:r>
      <w:r>
        <w:rPr>
          <w:rFonts w:ascii="Times New Roman" w:hAnsi="Times New Roman"/>
          <w:color w:val="000000"/>
        </w:rPr>
        <w:t>, EIA ) — промышленно-торговая группа производителей электронного и сетевого оборудования; является национальной коммерческой ассоциацией США; проявляет значительную активность в разработке стандартов для проводов, коннекторов и других сетевых компонентов. Ее наиболее известный стандарт — RS-232С.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Министерство обороны США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Department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Defense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DoD</w:t>
      </w:r>
      <w:r>
        <w:rPr>
          <w:rFonts w:ascii="Times New Roman" w:hAnsi="Times New Roman"/>
          <w:color w:val="000000"/>
        </w:rPr>
        <w:t xml:space="preserve"> ) имеет многочисленные подразделения, занимающиеся созданием стандартов для компьютерных систем. Одной из самых известных разработок </w:t>
      </w:r>
      <w:r>
        <w:rPr>
          <w:rFonts w:ascii="Times New Roman" w:hAnsi="Times New Roman"/>
          <w:color w:val="000000"/>
        </w:rPr>
        <w:t>DoD</w:t>
      </w:r>
      <w:r>
        <w:rPr>
          <w:rFonts w:ascii="Times New Roman" w:hAnsi="Times New Roman"/>
          <w:color w:val="000000"/>
        </w:rPr>
        <w:t xml:space="preserve"> является стек т</w:t>
      </w:r>
      <w:r>
        <w:rPr>
          <w:rFonts w:ascii="Times New Roman" w:hAnsi="Times New Roman"/>
          <w:color w:val="000000"/>
        </w:rPr>
        <w:t>ранспортных протоколов TCP/IP.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Американский национальный институт стандартов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American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National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Standards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Institute</w:t>
      </w:r>
      <w:r>
        <w:rPr>
          <w:rFonts w:ascii="Times New Roman" w:hAnsi="Times New Roman"/>
          <w:color w:val="000000"/>
        </w:rPr>
        <w:t xml:space="preserve">, ANSI ). Эта организация представляет США в Международной организации по стандартизации ISO. Комитеты ANSI занимаются разработкой стандартов в различных </w:t>
      </w:r>
      <w:r>
        <w:rPr>
          <w:rFonts w:ascii="Times New Roman" w:hAnsi="Times New Roman"/>
          <w:color w:val="000000"/>
        </w:rPr>
        <w:t>областях вычислительной техники. Так, комитет ANSI Х3Т9.5 совместно с компанией IBM осуществляет стандартизацию локальных сетей крупных ЭВМ (архитектура сетей SNA). Известный стандарт FDDI также является результатом деятельности этого комитета ANSI. В области микрокомпьютеров ANSI разрабатывает стандарты на языки программирования, интерфейс SCSI. ANSI разработал рекомендации по переносимости для языков С, FORTRAN, COBOL.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b/>
          <w:highlight w:val="yellow"/>
          <w:color w:val="000000"/>
        </w:rPr>
        <w:t>Ответы на вопросы: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  <w:t>1. Что такое спецификация?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t xml:space="preserve">    Спецификация дает формализованное описание аппаратных или программных компонентов, способов их функционирования, взаимодействия с другими компонентами и т.п.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  <w:t>2. Что такое модульность?</w:t>
      </w:r>
      <w:r>
        <w:rPr>
          <w:rFonts w:ascii="Times New Roman" w:hAnsi="Times New Roman"/>
          <w:color w:val="000000"/>
        </w:rPr>
        <w:br w:type="textWrapping"/>
        <w:t xml:space="preserve">    </w:t>
      </w:r>
      <w:r>
        <w:rPr>
          <w:rFonts w:ascii="Times New Roman" w:hAnsi="Times New Roman"/>
          <w:b/>
          <w:color w:val="000000"/>
        </w:rPr>
        <w:t>Модульность</w:t>
      </w:r>
      <w:r>
        <w:rPr>
          <w:rFonts w:ascii="Times New Roman" w:hAnsi="Times New Roman"/>
          <w:color w:val="000000"/>
        </w:rPr>
        <w:t xml:space="preserve"> –  это одно из неотъемлемых свойств вычислительных сетей. Модульность проявляется не только в многоуровневом представлении коммуникационных протоколов в конечных узлах сети, хотя это, безусловно, важная и принципиальная особенность сетевой архитектуры.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  <w:t>3. Перечислите виды стандартов.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t xml:space="preserve">    - стандарты отдельных фирм;</w:t>
      </w:r>
      <w:r>
        <w:rPr>
          <w:rFonts w:ascii="Times New Roman" w:hAnsi="Times New Roman"/>
          <w:color w:val="000000"/>
        </w:rPr>
        <w:br w:type="textWrapping"/>
        <w:t xml:space="preserve">    - </w:t>
      </w:r>
      <w:r>
        <w:rPr>
          <w:rFonts w:ascii="Times New Roman" w:hAnsi="Times New Roman"/>
          <w:color w:val="000000"/>
        </w:rPr>
        <w:t>стандарты специальных комитетов и объединений</w:t>
      </w:r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 w:type="textWrapping"/>
        <w:t xml:space="preserve">    - национальные стандарты;</w:t>
      </w:r>
      <w:r>
        <w:rPr>
          <w:rFonts w:ascii="Times New Roman" w:hAnsi="Times New Roman"/>
          <w:color w:val="000000"/>
        </w:rPr>
        <w:br w:type="textWrapping"/>
        <w:t xml:space="preserve">    - </w:t>
      </w:r>
      <w:r>
        <w:rPr>
          <w:rFonts w:ascii="Times New Roman" w:hAnsi="Times New Roman"/>
          <w:color w:val="000000"/>
        </w:rPr>
        <w:t>международные стандарты.</w:t>
      </w:r>
      <w:r>
        <w:rPr>
          <w:rFonts w:ascii="Times New Roman" w:hAnsi="Times New Roman"/>
          <w:color w:val="000000"/>
        </w:rPr>
        <w:br w:type="textWrapping"/>
        <w:t xml:space="preserve"> </w:t>
      </w:r>
      <w:r>
        <w:rPr>
          <w:rFonts w:ascii="Times New Roman" w:hAnsi="Times New Roman"/>
          <w:color w:val="000000"/>
        </w:rPr>
        <w:br w:type="textWrapping"/>
        <w:t xml:space="preserve">4. </w:t>
      </w:r>
      <w:r>
        <w:rPr>
          <w:rFonts w:ascii="Times New Roman" w:hAnsi="Times New Roman"/>
          <w:color w:val="000000"/>
        </w:rPr>
        <w:t>Перечислите группы стандартов по разработчикам и областям применения.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/>
      <w:bookmarkStart w:id="0" w:name="_GoBack"/>
      <w:bookmarkEnd w:id="0"/>
      <w:r/>
      <w:r>
        <w:rPr>
          <w:rFonts w:ascii="Times New Roman" w:hAnsi="Times New Roman"/>
          <w:color w:val="000000"/>
          <w:u w:color="auto" w:val="single"/>
        </w:rPr>
        <w:t xml:space="preserve">– </w:t>
      </w:r>
      <w:r>
        <w:rPr>
          <w:rFonts w:ascii="Times New Roman" w:hAnsi="Times New Roman"/>
          <w:b/>
          <w:color w:val="000000"/>
          <w:u w:color="auto" w:val="single"/>
        </w:rPr>
        <w:t>Международная организация по стандартизации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International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Organization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for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Standardization</w:t>
      </w:r>
      <w:r>
        <w:rPr>
          <w:rFonts w:ascii="Times New Roman" w:hAnsi="Times New Roman"/>
          <w:color w:val="000000"/>
        </w:rPr>
        <w:t xml:space="preserve">, ISO, часто называемая также </w:t>
      </w:r>
      <w:r>
        <w:rPr>
          <w:rFonts w:ascii="Times New Roman" w:hAnsi="Times New Roman"/>
          <w:color w:val="000000"/>
        </w:rPr>
        <w:t>International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Standards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Organization</w:t>
      </w:r>
      <w:r>
        <w:rPr>
          <w:rFonts w:ascii="Times New Roman" w:hAnsi="Times New Roman"/>
          <w:color w:val="000000"/>
        </w:rPr>
        <w:t>) представляет собой ассоциацию ведущих национальных организаций по стандартизации разных стран. Главным достижением ISO стала модель взаимодействия открытых систем OSI, которая в настоящее время является концептуальной основой стандартизации в области вычислительных сетей. В соответствии с моделью OSI этой организацией был разработан стандартный стек коммуникационных протоколов OSI.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Международный союз электросвязи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International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Telecomm</w:t>
      </w:r>
      <w:r>
        <w:rPr>
          <w:rFonts w:ascii="Times New Roman" w:hAnsi="Times New Roman"/>
          <w:color w:val="000000"/>
        </w:rPr>
        <w:t>unications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Union</w:t>
      </w:r>
      <w:r>
        <w:rPr>
          <w:rFonts w:ascii="Times New Roman" w:hAnsi="Times New Roman"/>
          <w:color w:val="000000"/>
        </w:rPr>
        <w:t xml:space="preserve">, ITU ) – </w:t>
      </w:r>
      <w:r>
        <w:rPr>
          <w:rFonts w:ascii="Times New Roman" w:hAnsi="Times New Roman"/>
          <w:color w:val="000000"/>
        </w:rPr>
        <w:t xml:space="preserve"> организация, которая в настоящее время является специализированным органом Организации Объединенных Наций. Наиболее значительную роль в стандартизации вычислительных сетей играет постоянно действующий в рамках этой организации Международный консультативный комитет по телефонии и телеграфии (МККТТ) (</w:t>
      </w:r>
      <w:r>
        <w:rPr>
          <w:rFonts w:ascii="Times New Roman" w:hAnsi="Times New Roman"/>
          <w:color w:val="000000"/>
        </w:rPr>
        <w:t>Consultative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Committee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on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International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Telegraphy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Telephony</w:t>
      </w:r>
      <w:r>
        <w:rPr>
          <w:rFonts w:ascii="Times New Roman" w:hAnsi="Times New Roman"/>
          <w:color w:val="000000"/>
        </w:rPr>
        <w:t>, CCITT).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Институт инженеров по электротехнике и радиоэлектронике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Institute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Electrical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Electronics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Engineers</w:t>
      </w:r>
      <w:r>
        <w:rPr>
          <w:rFonts w:ascii="Times New Roman" w:hAnsi="Times New Roman"/>
          <w:color w:val="000000"/>
        </w:rPr>
        <w:t xml:space="preserve">, IEEE ) — национальная организация США, определяющая сетевые стандарты. В 1981 году рабочая группа 802 этого института сформулировала основные требования, которым должны удовлетворять локальные вычислительные сети. Группа 802 определила множество стандартов, из них самыми известными являются стандарты 802.1, 802.2, 802.3 и 802.5, которые описывают общие понятия, используемые в области локальных сетей, а также стандарты на два нижних уровня сетей </w:t>
      </w:r>
      <w:r>
        <w:rPr>
          <w:rFonts w:ascii="Times New Roman" w:hAnsi="Times New Roman"/>
          <w:color w:val="000000"/>
        </w:rPr>
        <w:t>Ethernet</w:t>
      </w:r>
      <w:r>
        <w:rPr>
          <w:rFonts w:ascii="Times New Roman" w:hAnsi="Times New Roman"/>
          <w:color w:val="000000"/>
        </w:rPr>
        <w:t xml:space="preserve"> и </w:t>
      </w:r>
      <w:r>
        <w:rPr>
          <w:rFonts w:ascii="Times New Roman" w:hAnsi="Times New Roman"/>
          <w:color w:val="000000"/>
        </w:rPr>
        <w:t>Token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Ring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color w:val="000000"/>
          <w:u w:color="auto" w:val="single"/>
        </w:rPr>
        <w:t xml:space="preserve"> </w:t>
      </w:r>
      <w:r>
        <w:rPr>
          <w:rFonts w:ascii="Times New Roman" w:hAnsi="Times New Roman"/>
          <w:b/>
          <w:color w:val="000000"/>
          <w:u w:color="auto" w:val="single"/>
        </w:rPr>
        <w:t>Европейская ассоциация производителей компьютеров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European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Computer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Manufacturers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Association</w:t>
      </w:r>
      <w:r>
        <w:rPr>
          <w:rFonts w:ascii="Times New Roman" w:hAnsi="Times New Roman"/>
          <w:color w:val="000000"/>
        </w:rPr>
        <w:t>, ECMA ) — некоммерческая организация, активно сотрудничающая с ITU-T и ISO, занимается разработкой стандартов и технических обзоров, относящихся к компьютерной и коммуникационной технологиям. Известна своим стандартом ЕСМА-101, используемым при передаче отформатированного текста и графических изображений с сохранением оригинального формата.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Ассоциация производителей компьютеров и оргтехники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Computer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Business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Equipment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Manufacturers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Association</w:t>
      </w:r>
      <w:r>
        <w:rPr>
          <w:rFonts w:ascii="Times New Roman" w:hAnsi="Times New Roman"/>
          <w:color w:val="000000"/>
        </w:rPr>
        <w:t>, CBEMA ) — организация американских производителей аппаратного обеспечения; аналогична европейской ассоциации ECMA; участвует в разработке стандартов на обработку информации и соответствующее оборудование.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Ассоциация электронной промышленности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Electronic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Industries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Association</w:t>
      </w:r>
      <w:r>
        <w:rPr>
          <w:rFonts w:ascii="Times New Roman" w:hAnsi="Times New Roman"/>
          <w:color w:val="000000"/>
        </w:rPr>
        <w:t>, EIA ) — промышленно-торговая группа производителей электронного и сетевого оборудования; является национальной коммерческой ассоциацией США; проявляет значительную активность в разработке стандартов для проводов, коннекторов и других сетевых компонентов. Ее наиболее известный стандарт — RS-232С.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Министерство обороны США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Department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Defense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DoD</w:t>
      </w:r>
      <w:r>
        <w:rPr>
          <w:rFonts w:ascii="Times New Roman" w:hAnsi="Times New Roman"/>
          <w:color w:val="000000"/>
        </w:rPr>
        <w:t xml:space="preserve"> ) имеет многочисленные подразделения, занимающиеся созданием стандартов для компьютерных систем. Одной из самых известных разработок </w:t>
      </w:r>
      <w:r>
        <w:rPr>
          <w:rFonts w:ascii="Times New Roman" w:hAnsi="Times New Roman"/>
          <w:color w:val="000000"/>
        </w:rPr>
        <w:t>DoD</w:t>
      </w:r>
      <w:r>
        <w:rPr>
          <w:rFonts w:ascii="Times New Roman" w:hAnsi="Times New Roman"/>
          <w:color w:val="000000"/>
        </w:rPr>
        <w:t xml:space="preserve"> является стек т</w:t>
      </w:r>
      <w:r>
        <w:rPr>
          <w:rFonts w:ascii="Times New Roman" w:hAnsi="Times New Roman"/>
          <w:color w:val="000000"/>
        </w:rPr>
        <w:t>ранспортных протоколов TCP/IP.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  <w:u w:color="auto" w:val="single"/>
        </w:rPr>
        <w:t>–</w:t>
      </w:r>
      <w:r>
        <w:rPr>
          <w:rFonts w:ascii="Times New Roman" w:hAnsi="Times New Roman"/>
          <w:b/>
          <w:color w:val="000000"/>
          <w:u w:color="auto" w:val="single"/>
        </w:rPr>
        <w:t xml:space="preserve"> Американский национальный институт стандартов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( </w:t>
      </w:r>
      <w:r>
        <w:rPr>
          <w:rFonts w:ascii="Times New Roman" w:hAnsi="Times New Roman"/>
          <w:color w:val="000000"/>
        </w:rPr>
        <w:t>American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National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Standards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Institute</w:t>
      </w:r>
      <w:r>
        <w:rPr>
          <w:rFonts w:ascii="Times New Roman" w:hAnsi="Times New Roman"/>
          <w:color w:val="000000"/>
        </w:rPr>
        <w:t>, ANSI ). Эта организация представляет США в Международной организации по стандартизации ISO. Комитеты ANSI занимаются разработкой стандартов в различных областях вычислительной техники. Так, комитет ANSI Х3Т9.5 совместно с компанией IBM осуществляет стандартизацию локальных сетей крупных ЭВМ (архитектура сетей SNA). Известный стандарт FDDI также является результатом деятельности этого комитета ANSI. В области микрокомпьютеров ANSI разрабатывает стандарты на языки программирования, интерфейс SCSI. ANSI разработал рекомендации по переносимости для языков С, FORTRAN, COBOL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</w:r>
    </w:p>
    <w:p>
      <w:pPr>
        <w:spacing w:after="200" w:line="0" w:lineRule="atLeast"/>
        <w:tabs defTabSz="708">
          <w:tab w:val="left" w:pos="3927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  <w:b/>
        </w:rPr>
        <w:t>Отметка ______________  Подпись преподавателя ____________ / А.И. Недера</w:t>
      </w:r>
      <w:r>
        <w:rPr>
          <w:rFonts w:ascii="Times New Roman" w:hAnsi="Times New Roman"/>
          <w:color w:val="6666ff"/>
        </w:rPr>
        <w:br w:type="textWrapping"/>
      </w: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nextPage"/>
      <w:pgSz w:h="16838" w:w="11906"/>
      <w:pgMar w:left="1701" w:top="1134" w:right="850" w:bottom="1134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>
        <o:r id="V:Rule2" type="connector" idref="#Прямая со стрелкой 8"/>
        <o:r id="V:Rule4" type="connector" idref="#Прямая со стрелкой 9"/>
        <o:r id="V:Rule6" type="connector" idref="#Прямая со стрелкой 11"/>
        <o:r id="V:Rule8" type="connector" idref="#Прямая со стрелкой 12"/>
        <o:r id="V:Rule10" type="connector" idref="#Прямая со стрелкой 13"/>
        <o:r id="V:Rule12" type="connector" idref="#Прямая со стрелкой 10"/>
        <o:r id="V:Rule14" type="connector" idref="#Прямая со стрелкой 19"/>
        <o:r id="V:Rule16" type="connector" idref="#Прямая со стрелкой 20"/>
        <o:r id="V:Rule18" type="connector" idref="#Прямая со стрелкой 21"/>
        <o:r id="V:Rule20" type="connector" idref="#Прямая со стрелкой 22"/>
      </o:rules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841153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7</cp:revision>
  <dcterms:created xsi:type="dcterms:W3CDTF">2021-11-21T21:22:00Z</dcterms:created>
  <dcterms:modified xsi:type="dcterms:W3CDTF">2021-12-30T05:12:33Z</dcterms:modified>
</cp:coreProperties>
</file>