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rPr>
      </w:pPr>
      <w:r w:rsidDel="00000000" w:rsidR="00000000" w:rsidRPr="00000000">
        <w:rPr>
          <w:rFonts w:ascii="Oswald" w:cs="Oswald" w:eastAsia="Oswald" w:hAnsi="Oswald"/>
          <w:b w:val="1"/>
          <w:sz w:val="20"/>
          <w:szCs w:val="20"/>
          <w:rtl w:val="0"/>
        </w:rPr>
        <w:t xml:space="preserve">PORTAL DEL ESTADO PLURINACIONAL DE BOLIVIA RUMBO A LA CUMBRE SOBRE LOS SISTEMAS ALIMENTARIOS DE LAS NACIONES UNIDAS 2021</w:t>
      </w:r>
      <w:r w:rsidDel="00000000" w:rsidR="00000000" w:rsidRPr="00000000">
        <w:rPr>
          <w:rtl w:val="0"/>
        </w:rPr>
      </w:r>
    </w:p>
    <w:p w:rsidR="00000000" w:rsidDel="00000000" w:rsidP="00000000" w:rsidRDefault="00000000" w:rsidRPr="00000000" w14:paraId="00000002">
      <w:pPr>
        <w:jc w:val="center"/>
        <w:rPr>
          <w:rFonts w:ascii="Oswald" w:cs="Oswald" w:eastAsia="Oswald" w:hAnsi="Oswald"/>
          <w:b w:val="1"/>
        </w:rPr>
      </w:pPr>
      <w:r w:rsidDel="00000000" w:rsidR="00000000" w:rsidRPr="00000000">
        <w:rPr>
          <w:rFonts w:ascii="Oswald" w:cs="Oswald" w:eastAsia="Oswald" w:hAnsi="Oswald"/>
          <w:b w:val="1"/>
          <w:rtl w:val="0"/>
        </w:rPr>
        <w:t xml:space="preserve">SUB-SUBSECCIÓN 3.2.4. DIÁLOGO REGIONAL DEL LLANO Y LA AMAZONÍA</w:t>
      </w:r>
    </w:p>
    <w:p w:rsidR="00000000" w:rsidDel="00000000" w:rsidP="00000000" w:rsidRDefault="00000000" w:rsidRPr="00000000" w14:paraId="00000003">
      <w:pPr>
        <w:jc w:val="center"/>
        <w:rPr>
          <w:rFonts w:ascii="Oswald" w:cs="Oswald" w:eastAsia="Oswald" w:hAnsi="Oswald"/>
          <w:b w:val="1"/>
        </w:rPr>
      </w:pPr>
      <w:r w:rsidDel="00000000" w:rsidR="00000000" w:rsidRPr="00000000">
        <w:rPr>
          <w:rFonts w:ascii="Oswald" w:cs="Oswald" w:eastAsia="Oswald" w:hAnsi="Oswald"/>
          <w:b w:val="1"/>
          <w:rtl w:val="0"/>
        </w:rPr>
        <w:t xml:space="preserve">E3: RESULTADOS (CONTENIDO)</w:t>
      </w:r>
    </w:p>
    <w:p w:rsidR="00000000" w:rsidDel="00000000" w:rsidP="00000000" w:rsidRDefault="00000000" w:rsidRPr="00000000" w14:paraId="00000004">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1: </w:t>
      </w:r>
    </w:p>
    <w:p w:rsidR="00000000" w:rsidDel="00000000" w:rsidP="00000000" w:rsidRDefault="00000000" w:rsidRPr="00000000" w14:paraId="00000005">
      <w:pPr>
        <w:widowControl w:val="0"/>
        <w:spacing w:after="0" w:before="14" w:line="24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Representantes de diversas organizaciones, instituciones y entidades de Pando, Beni y Santa Cruz opinan que se deben implementar determinadas acciones para lograr que exista una buena alimentación. En cuanto al apoyo económico, debería existir la posibilidad de adquirir créditos productivos para pequeños productores y seguros agropecuario-forestal no maderable. Respecto a actividades que deberían volverse costumbres para el bienestar alimentario de la población bolivariana están: el uso de las semillas nativas de la región de Llano y la Amazonía, el consumo de productos que pueden ayudar a contrarrestar los efectos del COVID-19 y el estudio de las variedades nativas de las cuales no se conoce sus propiedades nutricionales. En lo que concierne a la cooperación por parte del Estado e instituciones privadas, los agricultores necesitan recibir mayor asistencia técnica para el manejo de la tierra y de la productividad, así como conseguir acceso a diversos mercados.</w:t>
      </w:r>
    </w:p>
    <w:p w:rsidR="00000000" w:rsidDel="00000000" w:rsidP="00000000" w:rsidRDefault="00000000" w:rsidRPr="00000000" w14:paraId="00000006">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7">
      <w:pPr>
        <w:spacing w:after="0" w:lineRule="auto"/>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Vía de Acción 2: </w:t>
      </w:r>
      <w:r w:rsidDel="00000000" w:rsidR="00000000" w:rsidRPr="00000000">
        <w:rPr>
          <w:rtl w:val="0"/>
        </w:rPr>
      </w:r>
    </w:p>
    <w:p w:rsidR="00000000" w:rsidDel="00000000" w:rsidP="00000000" w:rsidRDefault="00000000" w:rsidRPr="00000000" w14:paraId="00000008">
      <w:pPr>
        <w:spacing w:after="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En torno a la promoción y la valorización de los alimentos locales cultivados por las comunidades indígenas originarias campesinas, se proponen diversas actividades: transmitir en los medios de comunicación recetas y cápsulas gastronómicas – las cuales consisten en </w:t>
      </w:r>
      <w:r w:rsidDel="00000000" w:rsidR="00000000" w:rsidRPr="00000000">
        <w:rPr>
          <w:rFonts w:ascii="Oswald" w:cs="Oswald" w:eastAsia="Oswald" w:hAnsi="Oswald"/>
          <w:color w:val="202124"/>
          <w:sz w:val="20"/>
          <w:szCs w:val="20"/>
          <w:highlight w:val="white"/>
          <w:rtl w:val="0"/>
        </w:rPr>
        <w:t xml:space="preserve">extraer previamente el agua que contienen los alimentos para luego añadirla durante la fase de cocinado, garantizando el mantenimiento de las propiedades naturales </w:t>
      </w:r>
      <w:r w:rsidDel="00000000" w:rsidR="00000000" w:rsidRPr="00000000">
        <w:rPr>
          <w:rFonts w:ascii="Oswald" w:cs="Oswald" w:eastAsia="Oswald" w:hAnsi="Oswald"/>
          <w:sz w:val="20"/>
          <w:szCs w:val="20"/>
          <w:rtl w:val="0"/>
        </w:rPr>
        <w:t xml:space="preserve">–, apoyar con tecnología y financiamientos a los agricultores, informar a la población sobre lo que se hace en el sistema productivo, coordinar la producción de forma efectiva con las empresas transnacionales, establecer protocolos sanitarios y de protección para los productores locales y demostrar que los cultivos son ecológicos y orgánicos mediante el sistema de trazabilidad, en el cual se rastrean todos los pasos que ha seguido un alimento desde su origen y pasando por su proceso de transformación.</w:t>
      </w:r>
    </w:p>
    <w:p w:rsidR="00000000" w:rsidDel="00000000" w:rsidP="00000000" w:rsidRDefault="00000000" w:rsidRPr="00000000" w14:paraId="00000009">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A">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3:</w:t>
      </w:r>
    </w:p>
    <w:p w:rsidR="00000000" w:rsidDel="00000000" w:rsidP="00000000" w:rsidRDefault="00000000" w:rsidRPr="00000000" w14:paraId="0000000B">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C">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D">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4:</w:t>
      </w:r>
    </w:p>
    <w:p w:rsidR="00000000" w:rsidDel="00000000" w:rsidP="00000000" w:rsidRDefault="00000000" w:rsidRPr="00000000" w14:paraId="0000000E">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F">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10">
      <w:pPr>
        <w:spacing w:after="0" w:lineRule="auto"/>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Vía de Acción 5:   </w:t>
      </w:r>
      <w:r w:rsidDel="00000000" w:rsidR="00000000" w:rsidRPr="00000000">
        <w:rPr>
          <w:rtl w:val="0"/>
        </w:rPr>
      </w:r>
    </w:p>
    <w:p w:rsidR="00000000" w:rsidDel="00000000" w:rsidP="00000000" w:rsidRDefault="00000000" w:rsidRPr="00000000" w14:paraId="00000011">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12">
      <w:pPr>
        <w:spacing w:after="0" w:lineRule="auto"/>
        <w:ind w:left="0" w:firstLine="0"/>
        <w:rPr>
          <w:rFonts w:ascii="Oswald" w:cs="Oswald" w:eastAsia="Oswald" w:hAnsi="Oswald"/>
          <w:b w:val="1"/>
          <w:sz w:val="20"/>
          <w:szCs w:val="20"/>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252"/>
        <w:tab w:val="right" w:pos="8504"/>
      </w:tabs>
      <w:spacing w:after="0" w:line="240" w:lineRule="auto"/>
      <w:rPr>
        <w:rFonts w:ascii="Oswald" w:cs="Oswald" w:eastAsia="Oswald" w:hAnsi="Oswald"/>
        <w:color w:val="595959"/>
      </w:rPr>
    </w:pPr>
    <w:r w:rsidDel="00000000" w:rsidR="00000000" w:rsidRPr="00000000">
      <w:rPr>
        <w:rFonts w:ascii="Oswald" w:cs="Oswald" w:eastAsia="Oswald" w:hAnsi="Oswald"/>
        <w:i w:val="1"/>
        <w:color w:val="44546a"/>
        <w:sz w:val="10"/>
        <w:szCs w:val="10"/>
        <w:rtl w:val="0"/>
      </w:rPr>
      <w:t xml:space="preserve">HALG</w:t>
    </w:r>
    <w:r w:rsidDel="00000000" w:rsidR="00000000" w:rsidRPr="00000000">
      <w:rPr>
        <w:color w:val="000000"/>
        <w:rtl w:val="0"/>
      </w:rPr>
      <w:tab/>
    </w:r>
    <w:r w:rsidDel="00000000" w:rsidR="00000000" w:rsidRPr="00000000">
      <w:rPr>
        <w:rFonts w:ascii="Oswald" w:cs="Oswald" w:eastAsia="Oswald" w:hAnsi="Oswald"/>
        <w:color w:val="595959"/>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-136709</wp:posOffset>
          </wp:positionV>
          <wp:extent cx="5612130" cy="45085"/>
          <wp:effectExtent b="0" l="0" r="0" t="0"/>
          <wp:wrapSquare wrapText="bothSides" distB="0" distT="0" distL="0" distR="0"/>
          <wp:docPr id="19" name="image2.jpg"/>
          <a:graphic>
            <a:graphicData uri="http://schemas.openxmlformats.org/drawingml/2006/picture">
              <pic:pic>
                <pic:nvPicPr>
                  <pic:cNvPr id="0" name="image2.jpg"/>
                  <pic:cNvPicPr preferRelativeResize="0"/>
                </pic:nvPicPr>
                <pic:blipFill>
                  <a:blip r:embed="rId1"/>
                  <a:srcRect b="72620" l="0" r="0" t="26248"/>
                  <a:stretch>
                    <a:fillRect/>
                  </a:stretch>
                </pic:blipFill>
                <pic:spPr>
                  <a:xfrm>
                    <a:off x="0" y="0"/>
                    <a:ext cx="5612130" cy="4508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wp:posOffset>
          </wp:positionH>
          <wp:positionV relativeFrom="paragraph">
            <wp:posOffset>-126356</wp:posOffset>
          </wp:positionV>
          <wp:extent cx="1276350" cy="368300"/>
          <wp:effectExtent b="0" l="0" r="0" t="0"/>
          <wp:wrapSquare wrapText="bothSides" distB="0" distT="0" distL="114300" distR="114300"/>
          <wp:docPr id="18" name="image1.png"/>
          <a:graphic>
            <a:graphicData uri="http://schemas.openxmlformats.org/drawingml/2006/picture">
              <pic:pic>
                <pic:nvPicPr>
                  <pic:cNvPr id="0" name="image1.png"/>
                  <pic:cNvPicPr preferRelativeResize="0"/>
                </pic:nvPicPr>
                <pic:blipFill>
                  <a:blip r:embed="rId1"/>
                  <a:srcRect b="32692" l="12733" r="17391" t="25642"/>
                  <a:stretch>
                    <a:fillRect/>
                  </a:stretch>
                </pic:blipFill>
                <pic:spPr>
                  <a:xfrm>
                    <a:off x="0" y="0"/>
                    <a:ext cx="1276350" cy="368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7A7E4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A7E46"/>
  </w:style>
  <w:style w:type="paragraph" w:styleId="Piedepgina">
    <w:name w:val="footer"/>
    <w:basedOn w:val="Normal"/>
    <w:link w:val="PiedepginaCar"/>
    <w:uiPriority w:val="99"/>
    <w:unhideWhenUsed w:val="1"/>
    <w:rsid w:val="007A7E4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A7E46"/>
  </w:style>
  <w:style w:type="table" w:styleId="TableNormal0" w:customStyle="1">
    <w:name w:val="Table Normal"/>
    <w:uiPriority w:val="2"/>
    <w:semiHidden w:val="1"/>
    <w:unhideWhenUsed w:val="1"/>
    <w:qFormat w:val="1"/>
    <w:rsid w:val="0058398D"/>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58398D"/>
    <w:pPr>
      <w:widowControl w:val="0"/>
      <w:autoSpaceDE w:val="0"/>
      <w:autoSpaceDN w:val="0"/>
      <w:spacing w:after="0" w:line="240" w:lineRule="auto"/>
    </w:pPr>
    <w:rPr>
      <w:rFonts w:ascii="Trebuchet MS" w:cs="Trebuchet MS" w:eastAsia="Trebuchet MS" w:hAnsi="Trebuchet MS"/>
      <w:lang w:val="es-ES"/>
    </w:rPr>
  </w:style>
  <w:style w:type="paragraph" w:styleId="Prrafodelista">
    <w:name w:val="List Paragraph"/>
    <w:basedOn w:val="Normal"/>
    <w:uiPriority w:val="34"/>
    <w:qFormat w:val="1"/>
    <w:rsid w:val="00C90710"/>
    <w:pPr>
      <w:ind w:left="720"/>
      <w:contextualSpacing w:val="1"/>
    </w:pPr>
  </w:style>
  <w:style w:type="table" w:styleId="Tablaconcuadrcula">
    <w:name w:val="Table Grid"/>
    <w:basedOn w:val="Tablanormal"/>
    <w:uiPriority w:val="39"/>
    <w:rsid w:val="00B116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492F25"/>
    <w:rPr>
      <w:color w:val="0563c1" w:themeColor="hyperlink"/>
      <w:u w:val="single"/>
    </w:rPr>
  </w:style>
  <w:style w:type="character" w:styleId="Mencinsinresolver">
    <w:name w:val="Unresolved Mention"/>
    <w:basedOn w:val="Fuentedeprrafopredeter"/>
    <w:uiPriority w:val="99"/>
    <w:semiHidden w:val="1"/>
    <w:unhideWhenUsed w:val="1"/>
    <w:rsid w:val="00492F25"/>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sZcZl7IgNdOp6NXXK4viKUUNFw==">AMUW2mXoP80W1OYNUtMTMkM0BHcU+7AR6mJM58QM2ibgEH5Au2Xo0/sK45u8j0WnJ0aRbigFQxqK/WcIFPCQ8lQssPlfUDmTJk68sYqgAa2UKx7IpaK1CUk=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2021-06-14T00:47:00Z</dcterms:created>
  <dc:creator>Dell</dc:creator>
</cp:coreProperties>
</file>