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swald" w:cs="Oswald" w:eastAsia="Oswald" w:hAnsi="Oswald"/>
          <w:b w:val="1"/>
        </w:rPr>
      </w:pPr>
      <w:r w:rsidDel="00000000" w:rsidR="00000000" w:rsidRPr="00000000">
        <w:rPr>
          <w:rFonts w:ascii="Oswald" w:cs="Oswald" w:eastAsia="Oswald" w:hAnsi="Oswald"/>
          <w:b w:val="1"/>
          <w:sz w:val="20"/>
          <w:szCs w:val="20"/>
          <w:rtl w:val="0"/>
        </w:rPr>
        <w:t xml:space="preserve">PORTAL DEL ESTADO PLURINACIONAL DE BOLIVIA RUMBO A LA CUMBRE SOBRE LOS SISTEMAS ALIMENTARIOS DE LAS NACIONES UNIDAS 2021</w:t>
      </w:r>
      <w:r w:rsidDel="00000000" w:rsidR="00000000" w:rsidRPr="00000000">
        <w:rPr>
          <w:rtl w:val="0"/>
        </w:rPr>
      </w:r>
    </w:p>
    <w:p w:rsidR="00000000" w:rsidDel="00000000" w:rsidP="00000000" w:rsidRDefault="00000000" w:rsidRPr="00000000" w14:paraId="00000002">
      <w:pPr>
        <w:jc w:val="center"/>
        <w:rPr>
          <w:rFonts w:ascii="Oswald" w:cs="Oswald" w:eastAsia="Oswald" w:hAnsi="Oswald"/>
          <w:b w:val="1"/>
        </w:rPr>
      </w:pPr>
      <w:r w:rsidDel="00000000" w:rsidR="00000000" w:rsidRPr="00000000">
        <w:rPr>
          <w:rFonts w:ascii="Oswald" w:cs="Oswald" w:eastAsia="Oswald" w:hAnsi="Oswald"/>
          <w:b w:val="1"/>
          <w:rtl w:val="0"/>
        </w:rPr>
        <w:t xml:space="preserve">SUB-SUBSECCIÓN 3.2.5. DIÁLOGO NACIONAL ACADEMIA E INSTITUTOS DE INVESTIGACIÓN</w:t>
      </w:r>
    </w:p>
    <w:p w:rsidR="00000000" w:rsidDel="00000000" w:rsidP="00000000" w:rsidRDefault="00000000" w:rsidRPr="00000000" w14:paraId="00000003">
      <w:pPr>
        <w:jc w:val="center"/>
        <w:rPr>
          <w:rFonts w:ascii="Oswald" w:cs="Oswald" w:eastAsia="Oswald" w:hAnsi="Oswald"/>
          <w:b w:val="1"/>
        </w:rPr>
      </w:pPr>
      <w:r w:rsidDel="00000000" w:rsidR="00000000" w:rsidRPr="00000000">
        <w:rPr>
          <w:rFonts w:ascii="Oswald" w:cs="Oswald" w:eastAsia="Oswald" w:hAnsi="Oswald"/>
          <w:b w:val="1"/>
          <w:rtl w:val="0"/>
        </w:rPr>
        <w:t xml:space="preserve">E3: RESULTADOS (CONTENIDO)</w:t>
      </w:r>
    </w:p>
    <w:p w:rsidR="00000000" w:rsidDel="00000000" w:rsidP="00000000" w:rsidRDefault="00000000" w:rsidRPr="00000000" w14:paraId="00000004">
      <w:pPr>
        <w:spacing w:after="0" w:lineRule="auto"/>
        <w:jc w:val="both"/>
        <w:rPr>
          <w:rFonts w:ascii="Oswald" w:cs="Oswald" w:eastAsia="Oswald" w:hAnsi="Oswald"/>
          <w:b w:val="1"/>
          <w:sz w:val="20"/>
          <w:szCs w:val="20"/>
        </w:rPr>
      </w:pPr>
      <w:r w:rsidDel="00000000" w:rsidR="00000000" w:rsidRPr="00000000">
        <w:rPr>
          <w:rFonts w:ascii="Oswald" w:cs="Oswald" w:eastAsia="Oswald" w:hAnsi="Oswald"/>
          <w:b w:val="1"/>
          <w:sz w:val="20"/>
          <w:szCs w:val="20"/>
          <w:rtl w:val="0"/>
        </w:rPr>
        <w:t xml:space="preserve">Vía de Acción 1: </w:t>
      </w:r>
    </w:p>
    <w:p w:rsidR="00000000" w:rsidDel="00000000" w:rsidP="00000000" w:rsidRDefault="00000000" w:rsidRPr="00000000" w14:paraId="00000005">
      <w:pPr>
        <w:widowControl w:val="0"/>
        <w:spacing w:after="0" w:before="14" w:line="240" w:lineRule="auto"/>
        <w:jc w:val="both"/>
        <w:rPr>
          <w:rFonts w:ascii="Oswald" w:cs="Oswald" w:eastAsia="Oswald" w:hAnsi="Oswald"/>
          <w:sz w:val="20"/>
          <w:szCs w:val="20"/>
        </w:rPr>
      </w:pPr>
      <w:r w:rsidDel="00000000" w:rsidR="00000000" w:rsidRPr="00000000">
        <w:rPr>
          <w:rFonts w:ascii="Oswald" w:cs="Oswald" w:eastAsia="Oswald" w:hAnsi="Oswald"/>
          <w:sz w:val="20"/>
          <w:szCs w:val="20"/>
          <w:rtl w:val="0"/>
        </w:rPr>
        <w:t xml:space="preserve">Representantes de las diferentes facultades y carreras relacionadas a los sistemas alimentarios de las instituciones académicas superiores y de centros de investigación de los nueve departamentos del país concuerdan en que se da demasiada importancia al tiempo de vida de los alimentos, cuando el enfoque principal debería dirigirse hacia su valor nutritivo y su forma de producción, es decir que las empresas deberían invertir en el rescate de procedimientos ancestrales – para preservar los productos que en el pasado jugaron un papel muy importante en la dieta de los pueblos indígenas – y en que los productos indiquen sus características, tratamientos recibidos y circunstancias a los que han estado expuestos. Todo esto sin dejar a un lado a las mujeres, sino siempre </w:t>
      </w:r>
      <w:r w:rsidDel="00000000" w:rsidR="00000000" w:rsidRPr="00000000">
        <w:rPr>
          <w:rFonts w:ascii="Oswald" w:cs="Oswald" w:eastAsia="Oswald" w:hAnsi="Oswald"/>
          <w:sz w:val="20"/>
          <w:szCs w:val="20"/>
          <w:rtl w:val="0"/>
        </w:rPr>
        <w:t xml:space="preserve">valorándolas</w:t>
      </w:r>
      <w:r w:rsidDel="00000000" w:rsidR="00000000" w:rsidRPr="00000000">
        <w:rPr>
          <w:rFonts w:ascii="Oswald" w:cs="Oswald" w:eastAsia="Oswald" w:hAnsi="Oswald"/>
          <w:sz w:val="20"/>
          <w:szCs w:val="20"/>
          <w:rtl w:val="0"/>
        </w:rPr>
        <w:t xml:space="preserve"> como portadoras de conocimientos, saberes y tradiciones.</w:t>
      </w:r>
    </w:p>
    <w:p w:rsidR="00000000" w:rsidDel="00000000" w:rsidP="00000000" w:rsidRDefault="00000000" w:rsidRPr="00000000" w14:paraId="00000006">
      <w:pPr>
        <w:spacing w:after="0" w:lineRule="auto"/>
        <w:jc w:val="both"/>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07">
      <w:pPr>
        <w:spacing w:after="0" w:lineRule="auto"/>
        <w:jc w:val="both"/>
        <w:rPr>
          <w:rFonts w:ascii="Oswald" w:cs="Oswald" w:eastAsia="Oswald" w:hAnsi="Oswald"/>
          <w:sz w:val="20"/>
          <w:szCs w:val="20"/>
        </w:rPr>
      </w:pPr>
      <w:r w:rsidDel="00000000" w:rsidR="00000000" w:rsidRPr="00000000">
        <w:rPr>
          <w:rFonts w:ascii="Oswald" w:cs="Oswald" w:eastAsia="Oswald" w:hAnsi="Oswald"/>
          <w:b w:val="1"/>
          <w:sz w:val="20"/>
          <w:szCs w:val="20"/>
          <w:rtl w:val="0"/>
        </w:rPr>
        <w:t xml:space="preserve">Vía de Acción 2: </w:t>
      </w:r>
      <w:r w:rsidDel="00000000" w:rsidR="00000000" w:rsidRPr="00000000">
        <w:rPr>
          <w:rtl w:val="0"/>
        </w:rPr>
      </w:r>
    </w:p>
    <w:p w:rsidR="00000000" w:rsidDel="00000000" w:rsidP="00000000" w:rsidRDefault="00000000" w:rsidRPr="00000000" w14:paraId="00000008">
      <w:pPr>
        <w:widowControl w:val="0"/>
        <w:spacing w:after="0" w:before="14" w:line="240" w:lineRule="auto"/>
        <w:jc w:val="both"/>
        <w:rPr>
          <w:rFonts w:ascii="Oswald" w:cs="Oswald" w:eastAsia="Oswald" w:hAnsi="Oswald"/>
          <w:sz w:val="20"/>
          <w:szCs w:val="20"/>
        </w:rPr>
      </w:pPr>
      <w:r w:rsidDel="00000000" w:rsidR="00000000" w:rsidRPr="00000000">
        <w:rPr>
          <w:rFonts w:ascii="Oswald" w:cs="Oswald" w:eastAsia="Oswald" w:hAnsi="Oswald"/>
          <w:sz w:val="20"/>
          <w:szCs w:val="20"/>
          <w:rtl w:val="0"/>
        </w:rPr>
        <w:t xml:space="preserve">Para que funcione cualquier plan o mecanismo de cambio que tenga como objetivo un sistema alimentario sano y nutritivo, primero es imprescindible que en Bolivia se invierta en educación formal e informal respecto al origen y propiedades de los alimentos y  de las unidades productivas. Siguiendo la vía educativa, se propone que existan espacios de intercambio de conocimiento sobre los resultados de investigaciones de productividad, alimentos y capacidades, cuyos participantes serán universidades e instituciones tanto públicas como privadas y las unidades productivas. Esto último permitirá que haya datos y valoraciones para realizar una efectiva capacitación y dotación de tecnología a los agricultores, lo cual se desea realizar para lograr una producción agroecológica, competitiva, rentable y eficiente. Como última actividad por implementar, se aconseja comenzar a generar reservas de alimentos y bancos de semillas, con la finalidad de estar preparados en el momento en que surja alguna crisis.</w:t>
      </w:r>
    </w:p>
    <w:p w:rsidR="00000000" w:rsidDel="00000000" w:rsidP="00000000" w:rsidRDefault="00000000" w:rsidRPr="00000000" w14:paraId="00000009">
      <w:pPr>
        <w:spacing w:after="0" w:lineRule="auto"/>
        <w:jc w:val="both"/>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0A">
      <w:pPr>
        <w:spacing w:after="0" w:lineRule="auto"/>
        <w:jc w:val="both"/>
        <w:rPr>
          <w:rFonts w:ascii="Oswald" w:cs="Oswald" w:eastAsia="Oswald" w:hAnsi="Oswald"/>
          <w:b w:val="1"/>
          <w:sz w:val="20"/>
          <w:szCs w:val="20"/>
        </w:rPr>
      </w:pPr>
      <w:r w:rsidDel="00000000" w:rsidR="00000000" w:rsidRPr="00000000">
        <w:rPr>
          <w:rFonts w:ascii="Oswald" w:cs="Oswald" w:eastAsia="Oswald" w:hAnsi="Oswald"/>
          <w:b w:val="1"/>
          <w:sz w:val="20"/>
          <w:szCs w:val="20"/>
          <w:rtl w:val="0"/>
        </w:rPr>
        <w:t xml:space="preserve">Vía de Acción 3:</w:t>
      </w:r>
    </w:p>
    <w:p w:rsidR="00000000" w:rsidDel="00000000" w:rsidP="00000000" w:rsidRDefault="00000000" w:rsidRPr="00000000" w14:paraId="0000000B">
      <w:pPr>
        <w:spacing w:after="0" w:lineRule="auto"/>
        <w:jc w:val="both"/>
        <w:rPr>
          <w:rFonts w:ascii="Oswald" w:cs="Oswald" w:eastAsia="Oswald" w:hAnsi="Oswald"/>
          <w:b w:val="1"/>
          <w:sz w:val="20"/>
          <w:szCs w:val="20"/>
        </w:rPr>
      </w:pPr>
      <w:r w:rsidDel="00000000" w:rsidR="00000000" w:rsidRPr="00000000">
        <w:rPr>
          <w:rFonts w:ascii="Oswald" w:cs="Oswald" w:eastAsia="Oswald" w:hAnsi="Oswald"/>
          <w:sz w:val="20"/>
          <w:szCs w:val="20"/>
          <w:rtl w:val="0"/>
        </w:rPr>
        <w:t xml:space="preserve">Para poner en marcha los sistemas alimentarios sustentables, además de la revalorización y fomento de los alimentos tradicionales, se requieren políticas públicas en el marco de la seguridad y la soberanía alimentarias. Los objetivos de éstas son que la familia campesina reciba incentivos tecnológicos, productivos y económicos para reactivar el campo; que se fortalezca la economía comunitaria a través de la generación de circuitos cortos de producción y consumo, los cuales atención a la vulnerabilidad climática y otras amenazas; que se promueva estrategias para la conservación de los recursos naturales y otras áreas relacionadas, a fin de que los jóvenes retornen a sus comunidades; y, que los pueblos indígenas tengan seguridad sobre la tierra y su territorio.</w:t>
      </w:r>
      <w:r w:rsidDel="00000000" w:rsidR="00000000" w:rsidRPr="00000000">
        <w:rPr>
          <w:rtl w:val="0"/>
        </w:rPr>
      </w:r>
    </w:p>
    <w:p w:rsidR="00000000" w:rsidDel="00000000" w:rsidP="00000000" w:rsidRDefault="00000000" w:rsidRPr="00000000" w14:paraId="0000000C">
      <w:pPr>
        <w:spacing w:after="0" w:lineRule="auto"/>
        <w:jc w:val="both"/>
        <w:rPr>
          <w:rFonts w:ascii="Oswald" w:cs="Oswald" w:eastAsia="Oswald" w:hAnsi="Oswald"/>
          <w:b w:val="1"/>
          <w:sz w:val="20"/>
          <w:szCs w:val="20"/>
        </w:rPr>
      </w:pPr>
      <w:r w:rsidDel="00000000" w:rsidR="00000000" w:rsidRPr="00000000">
        <w:rPr>
          <w:rtl w:val="0"/>
        </w:rPr>
      </w:r>
    </w:p>
    <w:p w:rsidR="00000000" w:rsidDel="00000000" w:rsidP="00000000" w:rsidRDefault="00000000" w:rsidRPr="00000000" w14:paraId="0000000D">
      <w:pPr>
        <w:spacing w:after="0" w:lineRule="auto"/>
        <w:jc w:val="both"/>
        <w:rPr>
          <w:rFonts w:ascii="Oswald" w:cs="Oswald" w:eastAsia="Oswald" w:hAnsi="Oswald"/>
          <w:b w:val="1"/>
          <w:sz w:val="20"/>
          <w:szCs w:val="20"/>
        </w:rPr>
      </w:pPr>
      <w:r w:rsidDel="00000000" w:rsidR="00000000" w:rsidRPr="00000000">
        <w:rPr>
          <w:rFonts w:ascii="Oswald" w:cs="Oswald" w:eastAsia="Oswald" w:hAnsi="Oswald"/>
          <w:b w:val="1"/>
          <w:sz w:val="20"/>
          <w:szCs w:val="20"/>
          <w:rtl w:val="0"/>
        </w:rPr>
        <w:t xml:space="preserve">Vía de Acción 4:</w:t>
      </w:r>
    </w:p>
    <w:p w:rsidR="00000000" w:rsidDel="00000000" w:rsidP="00000000" w:rsidRDefault="00000000" w:rsidRPr="00000000" w14:paraId="0000000E">
      <w:pPr>
        <w:spacing w:after="0" w:lineRule="auto"/>
        <w:jc w:val="both"/>
        <w:rPr>
          <w:rFonts w:ascii="Oswald" w:cs="Oswald" w:eastAsia="Oswald" w:hAnsi="Oswald"/>
          <w:b w:val="1"/>
          <w:sz w:val="20"/>
          <w:szCs w:val="20"/>
        </w:rPr>
      </w:pPr>
      <w:r w:rsidDel="00000000" w:rsidR="00000000" w:rsidRPr="00000000">
        <w:rPr>
          <w:rFonts w:ascii="Oswald" w:cs="Oswald" w:eastAsia="Oswald" w:hAnsi="Oswald"/>
          <w:sz w:val="20"/>
          <w:szCs w:val="20"/>
          <w:rtl w:val="0"/>
        </w:rPr>
        <w:t xml:space="preserve">A pesar de que la pandemia ha mejorado el acceso y el funcionamiento de los mercados de proximidad, todavía hay aspectos por rectificar. Primero que todo, para valorar los productos ecológicos y su diversificación, es necesario implementar sistemas de información sobre la producción y el valor nutricional de los alimentos, lo cual debería darse en el sistema educativo. Además, se deben desarrollar políticas y mecanismos de fiscalización respecto a la garantía del acceso de las mujeres a la tierra, agua y otros recursos productivos, así como a la creación de tasas para regular el funcionamiento de las empresas trasnacionales y los costos que generan. La cooperación internacional debe alinearse a estas políticas de desarrollo de sistemas alimentarios sostenibles y ser parte de las redes de apoyo entre el Estado y las ONG.</w:t>
      </w:r>
      <w:r w:rsidDel="00000000" w:rsidR="00000000" w:rsidRPr="00000000">
        <w:rPr>
          <w:rtl w:val="0"/>
        </w:rPr>
      </w:r>
    </w:p>
    <w:p w:rsidR="00000000" w:rsidDel="00000000" w:rsidP="00000000" w:rsidRDefault="00000000" w:rsidRPr="00000000" w14:paraId="0000000F">
      <w:pPr>
        <w:spacing w:after="0" w:lineRule="auto"/>
        <w:jc w:val="both"/>
        <w:rPr>
          <w:rFonts w:ascii="Oswald" w:cs="Oswald" w:eastAsia="Oswald" w:hAnsi="Oswald"/>
          <w:b w:val="1"/>
          <w:sz w:val="20"/>
          <w:szCs w:val="20"/>
        </w:rPr>
      </w:pPr>
      <w:r w:rsidDel="00000000" w:rsidR="00000000" w:rsidRPr="00000000">
        <w:rPr>
          <w:rtl w:val="0"/>
        </w:rPr>
      </w:r>
    </w:p>
    <w:p w:rsidR="00000000" w:rsidDel="00000000" w:rsidP="00000000" w:rsidRDefault="00000000" w:rsidRPr="00000000" w14:paraId="00000010">
      <w:pPr>
        <w:spacing w:after="0" w:lineRule="auto"/>
        <w:jc w:val="both"/>
        <w:rPr>
          <w:rFonts w:ascii="Oswald" w:cs="Oswald" w:eastAsia="Oswald" w:hAnsi="Oswald"/>
          <w:sz w:val="20"/>
          <w:szCs w:val="20"/>
        </w:rPr>
      </w:pPr>
      <w:r w:rsidDel="00000000" w:rsidR="00000000" w:rsidRPr="00000000">
        <w:rPr>
          <w:rFonts w:ascii="Oswald" w:cs="Oswald" w:eastAsia="Oswald" w:hAnsi="Oswald"/>
          <w:b w:val="1"/>
          <w:sz w:val="20"/>
          <w:szCs w:val="20"/>
          <w:rtl w:val="0"/>
        </w:rPr>
        <w:t xml:space="preserve">Vía de Acción 5:   </w:t>
      </w:r>
      <w:r w:rsidDel="00000000" w:rsidR="00000000" w:rsidRPr="00000000">
        <w:rPr>
          <w:rtl w:val="0"/>
        </w:rPr>
      </w:r>
    </w:p>
    <w:p w:rsidR="00000000" w:rsidDel="00000000" w:rsidP="00000000" w:rsidRDefault="00000000" w:rsidRPr="00000000" w14:paraId="00000011">
      <w:pPr>
        <w:spacing w:after="0" w:lineRule="auto"/>
        <w:jc w:val="both"/>
        <w:rPr>
          <w:rFonts w:ascii="Oswald" w:cs="Oswald" w:eastAsia="Oswald" w:hAnsi="Oswald"/>
          <w:sz w:val="20"/>
          <w:szCs w:val="20"/>
        </w:rPr>
      </w:pPr>
      <w:r w:rsidDel="00000000" w:rsidR="00000000" w:rsidRPr="00000000">
        <w:rPr>
          <w:rFonts w:ascii="Oswald" w:cs="Oswald" w:eastAsia="Oswald" w:hAnsi="Oswald"/>
          <w:sz w:val="20"/>
          <w:szCs w:val="20"/>
          <w:rtl w:val="0"/>
        </w:rPr>
        <w:t xml:space="preserve">Debe haber un compromiso y decisión de actuar en conjunto, es decir, las instituciones deben generar conocimientos y el sector público debe difundir y poner en práctica la información que se le dé a conocer al respecto de los sistemas alimentarios saludables, empezando por un marco conceptual propio desde la visión de Bolivia. También se debe generar planes de seguridad y soberanía alimentaria ante las contingencias y crisis, entre los cuales se </w:t>
      </w:r>
      <w:r w:rsidDel="00000000" w:rsidR="00000000" w:rsidRPr="00000000">
        <w:rPr>
          <w:rFonts w:ascii="Oswald" w:cs="Oswald" w:eastAsia="Oswald" w:hAnsi="Oswald"/>
          <w:sz w:val="20"/>
          <w:szCs w:val="20"/>
          <w:rtl w:val="0"/>
        </w:rPr>
        <w:t xml:space="preserve">inclu</w:t>
      </w:r>
      <w:r w:rsidDel="00000000" w:rsidR="00000000" w:rsidRPr="00000000">
        <w:rPr>
          <w:rFonts w:ascii="Oswald" w:cs="Oswald" w:eastAsia="Oswald" w:hAnsi="Oswald"/>
          <w:sz w:val="20"/>
          <w:szCs w:val="20"/>
          <w:rtl w:val="0"/>
        </w:rPr>
        <w:t xml:space="preserve">irán la promoción de productos locales, bancos de alimentos y medidas estructurales de protección de nuestros productores y consumidores.</w:t>
      </w:r>
    </w:p>
    <w:p w:rsidR="00000000" w:rsidDel="00000000" w:rsidP="00000000" w:rsidRDefault="00000000" w:rsidRPr="00000000" w14:paraId="00000012">
      <w:pPr>
        <w:spacing w:after="0" w:lineRule="auto"/>
        <w:ind w:left="0" w:firstLine="0"/>
        <w:rPr>
          <w:rFonts w:ascii="Oswald" w:cs="Oswald" w:eastAsia="Oswald" w:hAnsi="Oswald"/>
          <w:b w:val="1"/>
          <w:sz w:val="20"/>
          <w:szCs w:val="20"/>
        </w:rPr>
      </w:pPr>
      <w:r w:rsidDel="00000000" w:rsidR="00000000" w:rsidRPr="00000000">
        <w:rPr>
          <w:rtl w:val="0"/>
        </w:rPr>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center" w:pos="4252"/>
        <w:tab w:val="right" w:pos="8504"/>
      </w:tabs>
      <w:spacing w:after="0" w:line="240" w:lineRule="auto"/>
      <w:rPr>
        <w:rFonts w:ascii="Oswald" w:cs="Oswald" w:eastAsia="Oswald" w:hAnsi="Oswald"/>
        <w:color w:val="595959"/>
      </w:rPr>
    </w:pPr>
    <w:r w:rsidDel="00000000" w:rsidR="00000000" w:rsidRPr="00000000">
      <w:rPr>
        <w:rFonts w:ascii="Oswald" w:cs="Oswald" w:eastAsia="Oswald" w:hAnsi="Oswald"/>
        <w:i w:val="1"/>
        <w:color w:val="44546a"/>
        <w:sz w:val="10"/>
        <w:szCs w:val="10"/>
        <w:rtl w:val="0"/>
      </w:rPr>
      <w:t xml:space="preserve">HALG</w:t>
    </w:r>
    <w:r w:rsidDel="00000000" w:rsidR="00000000" w:rsidRPr="00000000">
      <w:rPr>
        <w:color w:val="000000"/>
        <w:rtl w:val="0"/>
      </w:rPr>
      <w:tab/>
    </w:r>
    <w:r w:rsidDel="00000000" w:rsidR="00000000" w:rsidRPr="00000000">
      <w:rPr>
        <w:rFonts w:ascii="Oswald" w:cs="Oswald" w:eastAsia="Oswald" w:hAnsi="Oswald"/>
        <w:color w:val="595959"/>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-136708</wp:posOffset>
          </wp:positionV>
          <wp:extent cx="5612130" cy="45085"/>
          <wp:effectExtent b="0" l="0" r="0" t="0"/>
          <wp:wrapSquare wrapText="bothSides" distB="0" distT="0" distL="0" distR="0"/>
          <wp:docPr id="21" name="image2.jpg"/>
          <a:graphic>
            <a:graphicData uri="http://schemas.openxmlformats.org/drawingml/2006/picture">
              <pic:pic>
                <pic:nvPicPr>
                  <pic:cNvPr id="0" name="image2.jpg"/>
                  <pic:cNvPicPr preferRelativeResize="0"/>
                </pic:nvPicPr>
                <pic:blipFill>
                  <a:blip r:embed="rId1"/>
                  <a:srcRect b="72620" l="0" r="0" t="26248"/>
                  <a:stretch>
                    <a:fillRect/>
                  </a:stretch>
                </pic:blipFill>
                <pic:spPr>
                  <a:xfrm>
                    <a:off x="0" y="0"/>
                    <a:ext cx="5612130" cy="4508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wp:posOffset>
          </wp:positionH>
          <wp:positionV relativeFrom="paragraph">
            <wp:posOffset>-126355</wp:posOffset>
          </wp:positionV>
          <wp:extent cx="1276350" cy="368300"/>
          <wp:effectExtent b="0" l="0" r="0" t="0"/>
          <wp:wrapSquare wrapText="bothSides" distB="0" distT="0" distL="114300" distR="114300"/>
          <wp:docPr id="20" name="image1.png"/>
          <a:graphic>
            <a:graphicData uri="http://schemas.openxmlformats.org/drawingml/2006/picture">
              <pic:pic>
                <pic:nvPicPr>
                  <pic:cNvPr id="0" name="image1.png"/>
                  <pic:cNvPicPr preferRelativeResize="0"/>
                </pic:nvPicPr>
                <pic:blipFill>
                  <a:blip r:embed="rId1"/>
                  <a:srcRect b="32692" l="12733" r="17391" t="25642"/>
                  <a:stretch>
                    <a:fillRect/>
                  </a:stretch>
                </pic:blipFill>
                <pic:spPr>
                  <a:xfrm>
                    <a:off x="0" y="0"/>
                    <a:ext cx="1276350" cy="3683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link w:val="EncabezadoCar"/>
    <w:uiPriority w:val="99"/>
    <w:unhideWhenUsed w:val="1"/>
    <w:rsid w:val="007A7E46"/>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A7E46"/>
  </w:style>
  <w:style w:type="paragraph" w:styleId="Piedepgina">
    <w:name w:val="footer"/>
    <w:basedOn w:val="Normal"/>
    <w:link w:val="PiedepginaCar"/>
    <w:uiPriority w:val="99"/>
    <w:unhideWhenUsed w:val="1"/>
    <w:rsid w:val="007A7E46"/>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A7E46"/>
  </w:style>
  <w:style w:type="table" w:styleId="TableNormal0" w:customStyle="1">
    <w:name w:val="Table Normal"/>
    <w:uiPriority w:val="2"/>
    <w:semiHidden w:val="1"/>
    <w:unhideWhenUsed w:val="1"/>
    <w:qFormat w:val="1"/>
    <w:rsid w:val="0058398D"/>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58398D"/>
    <w:pPr>
      <w:widowControl w:val="0"/>
      <w:autoSpaceDE w:val="0"/>
      <w:autoSpaceDN w:val="0"/>
      <w:spacing w:after="0" w:line="240" w:lineRule="auto"/>
    </w:pPr>
    <w:rPr>
      <w:rFonts w:ascii="Trebuchet MS" w:cs="Trebuchet MS" w:eastAsia="Trebuchet MS" w:hAnsi="Trebuchet MS"/>
      <w:lang w:val="es-ES"/>
    </w:rPr>
  </w:style>
  <w:style w:type="paragraph" w:styleId="Prrafodelista">
    <w:name w:val="List Paragraph"/>
    <w:basedOn w:val="Normal"/>
    <w:uiPriority w:val="34"/>
    <w:qFormat w:val="1"/>
    <w:rsid w:val="00C90710"/>
    <w:pPr>
      <w:ind w:left="720"/>
      <w:contextualSpacing w:val="1"/>
    </w:pPr>
  </w:style>
  <w:style w:type="table" w:styleId="Tablaconcuadrcula">
    <w:name w:val="Table Grid"/>
    <w:basedOn w:val="Tablanormal"/>
    <w:uiPriority w:val="39"/>
    <w:rsid w:val="00B1162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492F25"/>
    <w:rPr>
      <w:color w:val="0563c1" w:themeColor="hyperlink"/>
      <w:u w:val="single"/>
    </w:rPr>
  </w:style>
  <w:style w:type="character" w:styleId="Mencinsinresolver">
    <w:name w:val="Unresolved Mention"/>
    <w:basedOn w:val="Fuentedeprrafopredeter"/>
    <w:uiPriority w:val="99"/>
    <w:semiHidden w:val="1"/>
    <w:unhideWhenUsed w:val="1"/>
    <w:rsid w:val="00492F25"/>
    <w:rPr>
      <w:color w:val="605e5c"/>
      <w:shd w:color="auto" w:fill="e1dfdd" w:val="clear"/>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wWYKQURa6z4S2wrhnktxQJr4zw==">AMUW2mXXuxg3xrdPIm3F+uYY/qrNk91U2qtSuZV2ezfx4Yy9rS2kbwVcvHscKxm8nm6iq+42t3R6k1oeMpNNAqpt5KWYZo0OA9vgLZRoapcQbrnpeo4jKCo=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2021-06-14T00:47:00Z</dcterms:created>
  <dc:creator>Dell</dc:creator>
</cp:coreProperties>
</file>