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PORTAL DEL ESTADO PLURINACIONAL DE BOLIVIA RUMBO A LA CUMBRE SOBRE LOS SISTEMAS ALIMENTARIOS DE LAS NACIONES UNIDAS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SUB-SUBSECCIÓN 3.2.6. DIÁLOGO DE LAS NACIONES Y PUEBLOS INDÍGENAS</w:t>
      </w:r>
    </w:p>
    <w:p w:rsidR="00000000" w:rsidDel="00000000" w:rsidP="00000000" w:rsidRDefault="00000000" w:rsidRPr="00000000" w14:paraId="00000003">
      <w:pPr>
        <w:jc w:val="center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E3: RESULTADOS (CONTENIDO)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Vía de Acción 1: 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Los pueblos indígenas originarios campesinos deben procurar la producción de alimentos saludables lo más naturales posibles, gestionando sus tierras para que la industrialización y excavación de tierras, al igual que les beneficiaría a ellos y a la población en general de Bolivia que se formalicen en micro y pequeñas empresas para garantizar su presencia en espacios de venta. Sin embargo, los pueblos indígenas originarios campesinos no pueden realizar el cambio a un sistema alimentario sano solos, sino que requieren apoyo en la revalorización de los alimentos tradicionales, por lo que familias y escuelas pueden labrar huertos personales y optar por semillas naturales.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Vía de Acción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Se debe sensibilizar e informar sobre los efectos positivos de una buena alimentación a la población boliviana con el objetivo que reconozcan y valoren los alimentos  obtenidos de forma natural, orgánica y ecológica, sin ningún tipo de aditivo ni químico. Ello traerá como consecuencia la revalorización de los procesos de producción y consumo de los pueblos indígena originarios campesinos, quienes indican que se necesita colaboración con planes de manejo forestal; que se deben tomar medidas respecto al cambio climático, porque está afectando y reduciendo el acceso a alimentos; y, que el Estado debe impulsar una norma para proteger a los pueblos indígenas y sus territorios de la explotación de las grandes empresas, las cuales gastan los recursos naturales y perturban sus formas de vida y subsistencia.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Vía de Acción 3: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La producción campesina de pueblos indígenas necesita que la población reconozca que la misma es diversa, natural y sana. Sin embargo, esto no será posible si la producción y distribución de alimentos no mejora. Por tanto, el gobierno se ve en la obligación de brindar apoyo técnico; generar autoabastecimiento y excedentes mediante empresas enfocadas en las vocaciones productivas municipales; recuperar la medicina tradicional a través de la investigación del uso de plantas medicinales; y, aumentar los presupuestos destinados a atender las necesidades de los jóvenes que se dedican a este sector laboral.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Vía de Acción 4: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Ante las numerosas muertes y la escasez de alimentos, ambas consecuencias de la pandemia por el COVID-19, ha suscitado el uso de la medicina tradicional y la siembra de alimentos tradicionales, cuyo impacto positivo origina la propuesta de desarrollar programas que fomenten su revalorización y difusión. De igual manera se promueve que se conozca el valor nutricional de los productos y que se destaque el uso desequilibrado de la tierra, pero sin que respecto a esto último se presenten restricciones desiguales en comparación con las impuestas a empresas mineras.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Vía de Acción 5: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Los pueblos indígenas han sobrevivido – y continúan haciéndolo – mediante el uso de plantas medicinales, el cierre de fronteras y una dieta diversa y tradicional con productos sembrados por sus comunidades. Al ver lo efectivo que son estos actos, se desean fomentar y revalorizar en el resto de Bolivia, para lo cual los pueblos indígenas originarios campesinos están dispuestos a colaborar compartiendo sus conocimientos aprendidos de sus familiares, pero no quieren ser objeto, sino sujeto en la construcción de sistemas alimentarios con justicia social y económica.</w:t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swa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Oswald" w:cs="Oswald" w:eastAsia="Oswald" w:hAnsi="Oswald"/>
        <w:color w:val="595959"/>
      </w:rPr>
    </w:pPr>
    <w:r w:rsidDel="00000000" w:rsidR="00000000" w:rsidRPr="00000000">
      <w:rPr>
        <w:rFonts w:ascii="Oswald" w:cs="Oswald" w:eastAsia="Oswald" w:hAnsi="Oswald"/>
        <w:i w:val="1"/>
        <w:color w:val="44546a"/>
        <w:sz w:val="10"/>
        <w:szCs w:val="10"/>
        <w:rtl w:val="0"/>
      </w:rPr>
      <w:t xml:space="preserve">HALG</w:t>
    </w:r>
    <w:r w:rsidDel="00000000" w:rsidR="00000000" w:rsidRPr="00000000">
      <w:rPr>
        <w:color w:val="000000"/>
        <w:rtl w:val="0"/>
      </w:rPr>
      <w:tab/>
    </w:r>
    <w:r w:rsidDel="00000000" w:rsidR="00000000" w:rsidRPr="00000000">
      <w:rPr>
        <w:rFonts w:ascii="Oswald" w:cs="Oswald" w:eastAsia="Oswald" w:hAnsi="Oswald"/>
        <w:color w:val="59595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-136707</wp:posOffset>
          </wp:positionV>
          <wp:extent cx="5612130" cy="45085"/>
          <wp:effectExtent b="0" l="0" r="0" t="0"/>
          <wp:wrapSquare wrapText="bothSides" distB="0" distT="0" distL="0" distR="0"/>
          <wp:docPr id="2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72620" l="0" r="0" t="26248"/>
                  <a:stretch>
                    <a:fillRect/>
                  </a:stretch>
                </pic:blipFill>
                <pic:spPr>
                  <a:xfrm>
                    <a:off x="0" y="0"/>
                    <a:ext cx="5612130" cy="4508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</wp:posOffset>
          </wp:positionH>
          <wp:positionV relativeFrom="paragraph">
            <wp:posOffset>-126354</wp:posOffset>
          </wp:positionV>
          <wp:extent cx="1276350" cy="368300"/>
          <wp:effectExtent b="0" l="0" r="0" t="0"/>
          <wp:wrapSquare wrapText="bothSides" distB="0" distT="0" distL="114300" distR="114300"/>
          <wp:docPr id="2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2692" l="12733" r="17391" t="25642"/>
                  <a:stretch>
                    <a:fillRect/>
                  </a:stretch>
                </pic:blipFill>
                <pic:spPr>
                  <a:xfrm>
                    <a:off x="0" y="0"/>
                    <a:ext cx="1276350" cy="3683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7A7E4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A7E46"/>
  </w:style>
  <w:style w:type="paragraph" w:styleId="Piedepgina">
    <w:name w:val="footer"/>
    <w:basedOn w:val="Normal"/>
    <w:link w:val="PiedepginaCar"/>
    <w:uiPriority w:val="99"/>
    <w:unhideWhenUsed w:val="1"/>
    <w:rsid w:val="007A7E4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A7E46"/>
  </w:style>
  <w:style w:type="table" w:styleId="TableNormal0" w:customStyle="1">
    <w:name w:val="Table Normal"/>
    <w:uiPriority w:val="2"/>
    <w:semiHidden w:val="1"/>
    <w:unhideWhenUsed w:val="1"/>
    <w:qFormat w:val="1"/>
    <w:rsid w:val="0058398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58398D"/>
    <w:pPr>
      <w:widowControl w:val="0"/>
      <w:autoSpaceDE w:val="0"/>
      <w:autoSpaceDN w:val="0"/>
      <w:spacing w:after="0" w:line="240" w:lineRule="auto"/>
    </w:pPr>
    <w:rPr>
      <w:rFonts w:ascii="Trebuchet MS" w:cs="Trebuchet MS" w:eastAsia="Trebuchet MS" w:hAnsi="Trebuchet MS"/>
      <w:lang w:val="es-ES"/>
    </w:rPr>
  </w:style>
  <w:style w:type="paragraph" w:styleId="Prrafodelista">
    <w:name w:val="List Paragraph"/>
    <w:basedOn w:val="Normal"/>
    <w:uiPriority w:val="34"/>
    <w:qFormat w:val="1"/>
    <w:rsid w:val="00C9071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B1162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492F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92F25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Jad+a47kFnTecNdXh2x0rz8zkg==">AMUW2mW4qMyAISLKk5pvsoNuNpb6l5lrgs6PMh1yMo/eyk2+OZejwA5YJXW/0jyAu8bw9/FVSPxxNOn77K5n3GL1zAgUzLoKmXL/FXQbJYXp+lMWRKBLMOw=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2021-06-14T00:47:00Z</dcterms:created>
  <dc:creator>Dell</dc:creator>
</cp:coreProperties>
</file>