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200" w:line="276" w:lineRule="auto"/>
        <w:jc w:val="center"/>
      </w:pPr>
      <w:r>
        <w:rPr>
          <w:rFonts w:ascii="Calibri" w:hAnsi="Calibri" w:eastAsia="Microsoft YaHei"/>
          <w:b/>
          <w:i w:val="0"/>
          <w:color w:val="C65D3D"/>
          <w:sz w:val="20"/>
        </w:rPr>
        <w:t>PROJECT PORTFOLIO</w:t>
      </w:r>
    </w:p>
    <w:p>
      <w:pPr>
        <w:spacing w:before="0" w:after="120" w:line="276" w:lineRule="auto"/>
        <w:jc w:val="center"/>
      </w:pPr>
      <w:r>
        <w:rPr>
          <w:rFonts w:ascii="Calibri" w:hAnsi="Calibri" w:eastAsia="Microsoft YaHei"/>
          <w:b/>
          <w:i w:val="0"/>
          <w:color w:val="292721"/>
          <w:sz w:val="60"/>
        </w:rPr>
        <w:t>商析</w:t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b w:val="0"/>
          <w:i w:val="0"/>
          <w:color w:val="6F6A61"/>
          <w:sz w:val="32"/>
        </w:rPr>
        <w:t>全栈电商数据分析平台</w:t>
      </w:r>
    </w:p>
    <w:p>
      <w:pPr>
        <w:spacing w:before="0" w:after="400" w:line="276" w:lineRule="auto"/>
        <w:jc w:val="center"/>
      </w:pPr>
      <w:r>
        <w:rPr>
          <w:rFonts w:ascii="Calibri" w:hAnsi="Calibri" w:eastAsia="Microsoft YaHei"/>
          <w:b w:val="0"/>
          <w:i/>
          <w:color w:val="6F6A61"/>
          <w:sz w:val="21"/>
        </w:rPr>
        <w:t>从 CSV 多表导入、数据结构确认到经营分析看板的一体化作品</w:t>
      </w:r>
    </w:p>
    <w:p>
      <w:pPr>
        <w:pBdr>
          <w:bottom w:val="single" w:sz="14" w:space="6" w:color="C65D3D"/>
        </w:pBdr>
      </w:pPr>
    </w:p>
    <w:p>
      <w:pPr>
        <w:spacing w:before="360" w:after="80" w:line="276" w:lineRule="auto"/>
        <w:jc w:val="center"/>
      </w:pPr>
      <w:r>
        <w:rPr>
          <w:rFonts w:ascii="Calibri" w:hAnsi="Calibri" w:eastAsia="Microsoft YaHei"/>
          <w:b/>
          <w:i w:val="0"/>
          <w:color w:val="737B59"/>
          <w:sz w:val="21"/>
        </w:rPr>
        <w:t>项目定位</w:t>
      </w:r>
    </w:p>
    <w:p>
      <w:pPr>
        <w:spacing w:before="0" w:after="520" w:line="276" w:lineRule="auto"/>
        <w:jc w:val="center"/>
      </w:pPr>
      <w:r>
        <w:rPr>
          <w:rFonts w:ascii="Calibri" w:hAnsi="Calibri" w:eastAsia="Microsoft YaHei"/>
          <w:b/>
          <w:i w:val="0"/>
          <w:color w:val="292721"/>
          <w:sz w:val="26"/>
        </w:rPr>
        <w:t>面向电商运营场景的数据导入、数据治理与经营洞察原型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6F2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D8D0C3"/>
              <w:left w:val="single" w:sz="6" w:color="D8D0C3"/>
              <w:bottom w:val="single" w:sz="6" w:color="D8D0C3"/>
              <w:right w:val="single" w:sz="6" w:color="D8D0C3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6F6A61"/>
                <w:sz w:val="17"/>
              </w:rPr>
              <w:t>前端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92721"/>
                <w:sz w:val="21"/>
              </w:rPr>
              <w:t>React + TypeScript</w:t>
            </w:r>
          </w:p>
        </w:tc>
        <w:tc>
          <w:tcPr>
            <w:tcW w:type="dxa" w:w="2340"/>
            <w:shd w:fill="F6F2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D8D0C3"/>
              <w:left w:val="single" w:sz="6" w:color="D8D0C3"/>
              <w:bottom w:val="single" w:sz="6" w:color="D8D0C3"/>
              <w:right w:val="single" w:sz="6" w:color="D8D0C3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6F6A61"/>
                <w:sz w:val="17"/>
              </w:rPr>
              <w:t>后端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92721"/>
                <w:sz w:val="21"/>
              </w:rPr>
              <w:t>Django REST</w:t>
            </w:r>
          </w:p>
        </w:tc>
        <w:tc>
          <w:tcPr>
            <w:tcW w:type="dxa" w:w="2340"/>
            <w:shd w:fill="F6F2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D8D0C3"/>
              <w:left w:val="single" w:sz="6" w:color="D8D0C3"/>
              <w:bottom w:val="single" w:sz="6" w:color="D8D0C3"/>
              <w:right w:val="single" w:sz="6" w:color="D8D0C3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6F6A61"/>
                <w:sz w:val="17"/>
              </w:rPr>
              <w:t>数据库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92721"/>
                <w:sz w:val="21"/>
              </w:rPr>
              <w:t>MySQL</w:t>
            </w:r>
          </w:p>
        </w:tc>
        <w:tc>
          <w:tcPr>
            <w:tcW w:type="dxa" w:w="2340"/>
            <w:shd w:fill="F6F2EA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6" w:color="D8D0C3"/>
              <w:left w:val="single" w:sz="6" w:color="D8D0C3"/>
              <w:bottom w:val="single" w:sz="6" w:color="D8D0C3"/>
              <w:right w:val="single" w:sz="6" w:color="D8D0C3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6F6A61"/>
                <w:sz w:val="17"/>
              </w:rPr>
              <w:t>数据规模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292721"/>
                <w:sz w:val="21"/>
              </w:rPr>
              <w:t>最大明细表 &lt; 5,000 行</w:t>
            </w:r>
          </w:p>
        </w:tc>
      </w:tr>
    </w:tbl>
    <w:p>
      <w:pPr>
        <w:spacing w:before="560" w:after="0" w:line="276" w:lineRule="auto"/>
        <w:jc w:val="center"/>
      </w:pPr>
      <w:r>
        <w:rPr>
          <w:rFonts w:ascii="Calibri" w:hAnsi="Calibri" w:eastAsia="Microsoft YaHei"/>
          <w:b w:val="0"/>
          <w:i/>
          <w:color w:val="6F6A61"/>
          <w:sz w:val="17"/>
        </w:rPr>
        <w:t>作品集说明：页面截图来自本地运行的项目实例；示例数据为模拟电商经营数据，不包含真实业务或个人隐私数据。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92721"/>
          <w:sz w:val="32"/>
        </w:rPr>
        <w:t>一、项目概述</w:t>
      </w:r>
    </w:p>
    <w:p>
      <w:pPr>
        <w:spacing w:before="0" w:after="200" w:line="276" w:lineRule="auto"/>
      </w:pPr>
      <w:r>
        <w:rPr>
          <w:rFonts w:ascii="Calibri" w:hAnsi="Calibri" w:eastAsia="Microsoft YaHei"/>
          <w:b w:val="0"/>
          <w:i w:val="0"/>
          <w:color w:val="292721"/>
          <w:sz w:val="21"/>
        </w:rPr>
        <w:t>“商析”解决的是电商数据从零散 CSV 文件到可行动经营结论之间的断层：运营人员可一次导入订单、订单明细、商品、用户及行为表；系统识别字段并提示表关系风险，确认后进入经营、用户与行为分析看板。</w:t>
      </w:r>
    </w:p>
    <w:p>
      <w:pPr>
        <w:keepNext/>
        <w:spacing w:before="200" w:after="120"/>
      </w:pPr>
      <w:r>
        <w:rPr>
          <w:rFonts w:ascii="Calibri" w:hAnsi="Calibri" w:eastAsia="Microsoft YaHei"/>
          <w:b/>
          <w:color w:val="737B59"/>
          <w:sz w:val="25"/>
        </w:rPr>
        <w:t>核心能力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多表数据接入：</w:t>
      </w:r>
      <w:r>
        <w:rPr>
          <w:rFonts w:ascii="Calibri" w:hAnsi="Calibri" w:eastAsia="Microsoft YaHei"/>
          <w:color w:val="292721"/>
          <w:sz w:val="21"/>
        </w:rPr>
        <w:t>支持订单、商品、用户、行为等 CSV 同时导入，在浏览器端完成解析、预览和初步校验。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字段治理：</w:t>
      </w:r>
      <w:r>
        <w:rPr>
          <w:rFonts w:ascii="Calibri" w:hAnsi="Calibri" w:eastAsia="Microsoft YaHei"/>
          <w:color w:val="292721"/>
          <w:sz w:val="21"/>
        </w:rPr>
        <w:t>对“每行代表、单表类型、文件角色、标准字段映射”进行可视化确认，避免错误口径进入看板。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安全关系确认：</w:t>
      </w:r>
      <w:r>
        <w:rPr>
          <w:rFonts w:ascii="Calibri" w:hAnsi="Calibri" w:eastAsia="Microsoft YaHei"/>
          <w:color w:val="292721"/>
          <w:sz w:val="21"/>
        </w:rPr>
        <w:t>识别一对一、一对多、多对一及高风险多对多关系，展示匹配率、唯一率和潜在数据膨胀风险。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经营分析：</w:t>
      </w:r>
      <w:r>
        <w:rPr>
          <w:rFonts w:ascii="Calibri" w:hAnsi="Calibri" w:eastAsia="Microsoft YaHei"/>
          <w:color w:val="292721"/>
          <w:sz w:val="21"/>
        </w:rPr>
        <w:t>提供 GMV、订单、客单价、转化率、渠道贡献、商品机会等经营指标与建议。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用户与行为分析：</w:t>
      </w:r>
      <w:r>
        <w:rPr>
          <w:rFonts w:ascii="Calibri" w:hAnsi="Calibri" w:eastAsia="Microsoft YaHei"/>
          <w:color w:val="292721"/>
          <w:sz w:val="21"/>
        </w:rPr>
        <w:t>提供用户属性、购买用户数、复购率、RFM 八类分层、行为漏斗、复购次数漏斗与趋势分析。</w:t>
      </w:r>
    </w:p>
    <w:p>
      <w:pPr>
        <w:keepNext/>
        <w:spacing w:before="200" w:after="120"/>
      </w:pPr>
      <w:r>
        <w:rPr>
          <w:rFonts w:ascii="Calibri" w:hAnsi="Calibri" w:eastAsia="Microsoft YaHei"/>
          <w:b/>
          <w:color w:val="737B59"/>
          <w:sz w:val="25"/>
        </w:rPr>
        <w:t>技术架构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CFAF5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737B59"/>
              <w:left w:val="single" w:sz="6" w:color="D8D0C3"/>
              <w:bottom w:val="single" w:sz="6" w:color="D8D0C3"/>
              <w:right w:val="single" w:sz="6" w:color="D8D0C3"/>
            </w:tcBorders>
          </w:tcPr>
          <w:p>
            <w:pPr>
              <w:spacing w:after="140"/>
            </w:pPr>
            <w:r>
              <w:rPr>
                <w:rFonts w:ascii="Calibri" w:hAnsi="Calibri" w:eastAsia="Microsoft YaHei"/>
                <w:b/>
                <w:color w:val="737B59"/>
                <w:sz w:val="20"/>
              </w:rPr>
              <w:t>01  数据入口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292721"/>
                <w:sz w:val="19"/>
              </w:rPr>
              <w:t>CSV 多文件导入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292721"/>
                <w:sz w:val="19"/>
              </w:rPr>
              <w:t>浏览器端解析与字段预览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92721"/>
                <w:sz w:val="19"/>
              </w:rPr>
              <w:t>表角色与行粒度确认</w:t>
            </w:r>
          </w:p>
        </w:tc>
        <w:tc>
          <w:tcPr>
            <w:tcW w:type="dxa" w:w="3120"/>
            <w:shd w:fill="FCFAF5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737B59"/>
              <w:left w:val="single" w:sz="6" w:color="D8D0C3"/>
              <w:bottom w:val="single" w:sz="6" w:color="D8D0C3"/>
              <w:right w:val="single" w:sz="6" w:color="D8D0C3"/>
            </w:tcBorders>
          </w:tcPr>
          <w:p>
            <w:pPr>
              <w:spacing w:after="140"/>
            </w:pPr>
            <w:r>
              <w:rPr>
                <w:rFonts w:ascii="Calibri" w:hAnsi="Calibri" w:eastAsia="Microsoft YaHei"/>
                <w:b/>
                <w:color w:val="737B59"/>
                <w:sz w:val="20"/>
              </w:rPr>
              <w:t>02  服务层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292721"/>
                <w:sz w:val="19"/>
              </w:rPr>
              <w:t>Django 用户会话与权限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292721"/>
                <w:sz w:val="19"/>
              </w:rPr>
              <w:t>REST API / CSRF / CORS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92721"/>
                <w:sz w:val="19"/>
              </w:rPr>
              <w:t>导入任务与关系确认</w:t>
            </w:r>
          </w:p>
        </w:tc>
        <w:tc>
          <w:tcPr>
            <w:tcW w:type="dxa" w:w="3120"/>
            <w:shd w:fill="FCFAF5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10" w:color="737B59"/>
              <w:left w:val="single" w:sz="6" w:color="D8D0C3"/>
              <w:bottom w:val="single" w:sz="6" w:color="D8D0C3"/>
              <w:right w:val="single" w:sz="6" w:color="D8D0C3"/>
            </w:tcBorders>
          </w:tcPr>
          <w:p>
            <w:pPr>
              <w:spacing w:after="140"/>
            </w:pPr>
            <w:r>
              <w:rPr>
                <w:rFonts w:ascii="Calibri" w:hAnsi="Calibri" w:eastAsia="Microsoft YaHei"/>
                <w:b/>
                <w:color w:val="737B59"/>
                <w:sz w:val="20"/>
              </w:rPr>
              <w:t>03  数据与分析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292721"/>
                <w:sz w:val="19"/>
              </w:rPr>
              <w:t>MySQL 持久化业务数据</w:t>
            </w:r>
          </w:p>
          <w:p>
            <w:pPr>
              <w:spacing w:after="60"/>
            </w:pPr>
            <w:r>
              <w:rPr>
                <w:rFonts w:ascii="Calibri" w:hAnsi="Calibri" w:eastAsia="Microsoft YaHei"/>
                <w:color w:val="292721"/>
                <w:sz w:val="19"/>
              </w:rPr>
              <w:t>指标引擎 / 漏斗 / RFM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92721"/>
                <w:sz w:val="19"/>
              </w:rPr>
              <w:t>图表看板与数据诊断</w:t>
            </w:r>
          </w:p>
        </w:tc>
      </w:tr>
    </w:tbl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8220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822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b w:val="0"/>
          <w:i/>
          <w:color w:val="6F6A61"/>
          <w:sz w:val="18"/>
        </w:rPr>
        <w:t>图 1 经营总览：关键经营指标、销售趋势与当日经营简报。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92721"/>
          <w:sz w:val="32"/>
        </w:rPr>
        <w:t>二、数据导入与数据治理</w:t>
      </w:r>
    </w:p>
    <w:p>
      <w:pPr>
        <w:spacing w:before="0" w:after="160" w:line="276" w:lineRule="auto"/>
      </w:pPr>
      <w:r>
        <w:rPr>
          <w:rFonts w:ascii="Calibri" w:hAnsi="Calibri" w:eastAsia="Microsoft YaHei"/>
          <w:b w:val="0"/>
          <w:i w:val="0"/>
          <w:color w:val="292721"/>
          <w:sz w:val="21"/>
        </w:rPr>
        <w:t>数据导入不是简单上传文件：系统将文件解析、角色识别、字段映射、数据质量和关系确认拆为明确步骤，使后续图表能追溯到字段与计算口径。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65038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queue-cle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50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b w:val="0"/>
          <w:i/>
          <w:color w:val="6F6A61"/>
          <w:sz w:val="18"/>
        </w:rPr>
        <w:t>图 2 多文件导入队列：订单、明细、商品、用户、行为表均已完成浏览器端结构解析。</w:t>
      </w:r>
    </w:p>
    <w:p>
      <w:pPr>
        <w:keepNext/>
        <w:spacing w:before="200" w:after="120"/>
      </w:pPr>
      <w:r>
        <w:rPr>
          <w:rFonts w:ascii="Calibri" w:hAnsi="Calibri" w:eastAsia="Microsoft YaHei"/>
          <w:b/>
          <w:color w:val="737B59"/>
          <w:sz w:val="25"/>
        </w:rPr>
        <w:t>字段与关系确认机制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表级配置：</w:t>
      </w:r>
      <w:r>
        <w:rPr>
          <w:rFonts w:ascii="Calibri" w:hAnsi="Calibri" w:eastAsia="Microsoft YaHei"/>
          <w:color w:val="292721"/>
          <w:sz w:val="21"/>
        </w:rPr>
        <w:t>为每个文件选择行粒度、单表类型与文件角色，支持订单主表、订单明细、商品表、用户表与用户行为表。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字段级映射：</w:t>
      </w:r>
      <w:r>
        <w:rPr>
          <w:rFonts w:ascii="Calibri" w:hAnsi="Calibri" w:eastAsia="Microsoft YaHei"/>
          <w:color w:val="292721"/>
          <w:sz w:val="21"/>
        </w:rPr>
        <w:t>将源字段映射为用户 ID、订单 ID、商品 ID、时间、金额、行为、渠道、地址、性别、设备等标准字段。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数据质量：</w:t>
      </w:r>
      <w:r>
        <w:rPr>
          <w:rFonts w:ascii="Calibri" w:hAnsi="Calibri" w:eastAsia="Microsoft YaHei"/>
          <w:color w:val="292721"/>
          <w:sz w:val="21"/>
        </w:rPr>
        <w:t>汇总总行数、空值、日期与金额问题，并说明不可用指标与补齐方式。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关系防护：</w:t>
      </w:r>
      <w:r>
        <w:rPr>
          <w:rFonts w:ascii="Calibri" w:hAnsi="Calibri" w:eastAsia="Microsoft YaHei"/>
          <w:color w:val="292721"/>
          <w:sz w:val="21"/>
        </w:rPr>
        <w:t>只有确认后的关系进入正式分析；低唯一率、多对多关系会被标记为风险，避免错误关联导致 GMV 或用户数被重复放大。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651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eld-map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65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b w:val="0"/>
          <w:i/>
          <w:color w:val="6F6A61"/>
          <w:sz w:val="18"/>
        </w:rPr>
        <w:t>图 3 数据关系核验：展示匹配率、右键唯一率及多对多风险提示。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92721"/>
          <w:sz w:val="32"/>
        </w:rPr>
        <w:t>三、看板与分析能力</w:t>
      </w:r>
    </w:p>
    <w:p>
      <w:pPr>
        <w:spacing w:before="0" w:after="200" w:line="276" w:lineRule="auto"/>
      </w:pPr>
      <w:r>
        <w:rPr>
          <w:rFonts w:ascii="Calibri" w:hAnsi="Calibri" w:eastAsia="Microsoft YaHei"/>
          <w:b w:val="0"/>
          <w:i w:val="0"/>
          <w:color w:val="292721"/>
          <w:sz w:val="21"/>
        </w:rPr>
        <w:t>项目将数据能力落实到可操作的看板。每张图表独立判断数据字段是否可用：数据不足时仅隐藏对应图表，而不影响同页面其他分析模块。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160"/>
        <w:gridCol w:w="4300"/>
      </w:tblGrid>
      <w:tr>
        <w:tc>
          <w:tcPr>
            <w:tcW w:type="dxa" w:w="1900"/>
            <w:shd w:fill="E8E1D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8D0C3"/>
              <w:left w:val="single" w:sz="6" w:color="D8D0C3"/>
              <w:bottom w:val="single" w:sz="6" w:color="D8D0C3"/>
              <w:right w:val="single" w:sz="6" w:color="D8D0C3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2721"/>
                <w:sz w:val="19"/>
              </w:rPr>
              <w:t>模块</w:t>
            </w:r>
          </w:p>
        </w:tc>
        <w:tc>
          <w:tcPr>
            <w:tcW w:type="dxa" w:w="3160"/>
            <w:shd w:fill="E8E1D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8D0C3"/>
              <w:left w:val="single" w:sz="6" w:color="D8D0C3"/>
              <w:bottom w:val="single" w:sz="6" w:color="D8D0C3"/>
              <w:right w:val="single" w:sz="6" w:color="D8D0C3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2721"/>
                <w:sz w:val="19"/>
              </w:rPr>
              <w:t>核心指标 / 图表</w:t>
            </w:r>
          </w:p>
        </w:tc>
        <w:tc>
          <w:tcPr>
            <w:tcW w:type="dxa" w:w="4300"/>
            <w:shd w:fill="E8E1D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6" w:color="D8D0C3"/>
              <w:left w:val="single" w:sz="6" w:color="D8D0C3"/>
              <w:bottom w:val="single" w:sz="6" w:color="D8D0C3"/>
              <w:right w:val="single" w:sz="6" w:color="D8D0C3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92721"/>
                <w:sz w:val="19"/>
              </w:rPr>
              <w:t>业务使用场景</w:t>
            </w:r>
          </w:p>
        </w:tc>
      </w:tr>
      <w:tr>
        <w:tc>
          <w:tcPr>
            <w:tcW w:type="dxa" w:w="190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92721"/>
                <w:sz w:val="18"/>
              </w:rPr>
              <w:t>经营总览</w:t>
            </w:r>
          </w:p>
        </w:tc>
        <w:tc>
          <w:tcPr>
            <w:tcW w:type="dxa" w:w="316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GMV、支付订单、客单价、转化率、渠道贡献、销售趋势</w:t>
            </w:r>
          </w:p>
        </w:tc>
        <w:tc>
          <w:tcPr>
            <w:tcW w:type="dxa" w:w="430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快速判断增长、渠道差异与优先处理事项</w:t>
            </w:r>
          </w:p>
        </w:tc>
      </w:tr>
      <w:tr>
        <w:tc>
          <w:tcPr>
            <w:tcW w:type="dxa" w:w="1900"/>
            <w:shd w:fill="F8F5E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92721"/>
                <w:sz w:val="18"/>
              </w:rPr>
              <w:t>商品和品类</w:t>
            </w:r>
          </w:p>
        </w:tc>
        <w:tc>
          <w:tcPr>
            <w:tcW w:type="dxa" w:w="3160"/>
            <w:shd w:fill="F8F5E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商品排行、品类排行、销售额与销量</w:t>
            </w:r>
          </w:p>
        </w:tc>
        <w:tc>
          <w:tcPr>
            <w:tcW w:type="dxa" w:w="4300"/>
            <w:shd w:fill="F8F5E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识别高增长商品和低转化商品</w:t>
            </w:r>
          </w:p>
        </w:tc>
      </w:tr>
      <w:tr>
        <w:tc>
          <w:tcPr>
            <w:tcW w:type="dxa" w:w="190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92721"/>
                <w:sz w:val="18"/>
              </w:rPr>
              <w:t>用户分析</w:t>
            </w:r>
          </w:p>
        </w:tc>
        <w:tc>
          <w:tcPr>
            <w:tcW w:type="dxa" w:w="316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属性分布、购买用户数、复购率、RFM 八类分层</w:t>
            </w:r>
          </w:p>
        </w:tc>
        <w:tc>
          <w:tcPr>
            <w:tcW w:type="dxa" w:w="430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做用户分层、会员维护与召回策略</w:t>
            </w:r>
          </w:p>
        </w:tc>
      </w:tr>
      <w:tr>
        <w:tc>
          <w:tcPr>
            <w:tcW w:type="dxa" w:w="1900"/>
            <w:shd w:fill="F8F5E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92721"/>
                <w:sz w:val="18"/>
              </w:rPr>
              <w:t>行为分析</w:t>
            </w:r>
          </w:p>
        </w:tc>
        <w:tc>
          <w:tcPr>
            <w:tcW w:type="dxa" w:w="3160"/>
            <w:shd w:fill="F8F5E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行为漏斗、复购次数漏斗、复购率 / 销售额趋势</w:t>
            </w:r>
          </w:p>
        </w:tc>
        <w:tc>
          <w:tcPr>
            <w:tcW w:type="dxa" w:w="4300"/>
            <w:shd w:fill="F8F5EF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定位转化损耗，区分短期销售与复购质量</w:t>
            </w:r>
          </w:p>
        </w:tc>
      </w:tr>
      <w:tr>
        <w:tc>
          <w:tcPr>
            <w:tcW w:type="dxa" w:w="190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292721"/>
                <w:sz w:val="18"/>
              </w:rPr>
              <w:t>数据助手</w:t>
            </w:r>
          </w:p>
        </w:tc>
        <w:tc>
          <w:tcPr>
            <w:tcW w:type="dxa" w:w="316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基于当前数据上下文的分析问答入口</w:t>
            </w:r>
          </w:p>
        </w:tc>
        <w:tc>
          <w:tcPr>
            <w:tcW w:type="dxa" w:w="4300"/>
            <w:shd w:fill="FCFAF5"/>
            <w:tcMar>
              <w:top w:w="100" w:type="dxa"/>
              <w:start w:w="130" w:type="dxa"/>
              <w:bottom w:w="100" w:type="dxa"/>
              <w:end w:w="130" w:type="dxa"/>
            </w:tcMar>
            <w:tcBorders>
              <w:top w:val="single" w:sz="4" w:color="D8D0C3"/>
              <w:left w:val="single" w:sz="4" w:color="D8D0C3"/>
              <w:bottom w:val="single" w:sz="4" w:color="D8D0C3"/>
              <w:right w:val="single" w:sz="4" w:color="D8D0C3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292721"/>
                <w:sz w:val="18"/>
              </w:rPr>
              <w:t>帮助用户理解字段、指标和看板结论</w:t>
            </w:r>
          </w:p>
        </w:tc>
      </w:tr>
    </w:tbl>
    <w:p>
      <w:pPr>
        <w:spacing w:before="100" w:after="200" w:line="276" w:lineRule="auto"/>
      </w:pPr>
      <w:r>
        <w:rPr>
          <w:rFonts w:ascii="Calibri" w:hAnsi="Calibri" w:eastAsia="Microsoft YaHei"/>
          <w:b w:val="0"/>
          <w:i/>
          <w:color w:val="6F6A61"/>
          <w:sz w:val="17"/>
        </w:rPr>
        <w:t>注：上述能力会受实际上传字段、已确认关系和数据质量约束；系统在确认页说明缺失原因，而不是生成误导性图表。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43966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ak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4396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b w:val="0"/>
          <w:i/>
          <w:color w:val="6F6A61"/>
          <w:sz w:val="18"/>
        </w:rPr>
        <w:t>图 4 数据导入空状态：提示用户从订单、商品、用户文件开始构建可分析的数据集。</w:t>
      </w:r>
    </w:p>
    <w:p>
      <w:r>
        <w:br w:type="page"/>
      </w:r>
    </w:p>
    <w:p>
      <w:pPr>
        <w:keepNext/>
        <w:spacing w:before="320" w:after="120"/>
      </w:pPr>
      <w:r>
        <w:rPr>
          <w:rFonts w:ascii="Calibri" w:hAnsi="Calibri" w:eastAsia="Microsoft YaHei"/>
          <w:b/>
          <w:color w:val="292721"/>
          <w:sz w:val="32"/>
        </w:rPr>
        <w:t>四、全栈实现与工程化要点</w:t>
      </w:r>
    </w:p>
    <w:p>
      <w:pPr>
        <w:keepNext/>
        <w:spacing w:before="200" w:after="120"/>
      </w:pPr>
      <w:r>
        <w:rPr>
          <w:rFonts w:ascii="Calibri" w:hAnsi="Calibri" w:eastAsia="Microsoft YaHei"/>
          <w:b/>
          <w:color w:val="737B59"/>
          <w:sz w:val="25"/>
        </w:rPr>
        <w:t>前端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React + TypeScript：</w:t>
      </w:r>
      <w:r>
        <w:rPr>
          <w:rFonts w:ascii="Calibri" w:hAnsi="Calibri" w:eastAsia="Microsoft YaHei"/>
          <w:color w:val="292721"/>
          <w:sz w:val="21"/>
        </w:rPr>
        <w:t>构建模块化看板、数据导入、字段确认、用户中心和数据助手页面。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浏览器端 CSV 处理：</w:t>
      </w:r>
      <w:r>
        <w:rPr>
          <w:rFonts w:ascii="Calibri" w:hAnsi="Calibri" w:eastAsia="Microsoft YaHei"/>
          <w:color w:val="292721"/>
          <w:sz w:val="21"/>
        </w:rPr>
        <w:t>完成文件解析、字段推断、数据预览和关系诊断，降低无效上传与服务端压力。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图表与交互：</w:t>
      </w:r>
      <w:r>
        <w:rPr>
          <w:rFonts w:ascii="Calibri" w:hAnsi="Calibri" w:eastAsia="Microsoft YaHei"/>
          <w:color w:val="292721"/>
          <w:sz w:val="21"/>
        </w:rPr>
        <w:t>支持趋势、饼图、柱状图、漏斗和 RFM 可视化；筛选条件统一影响关联指标。</w:t>
      </w:r>
    </w:p>
    <w:p>
      <w:pPr>
        <w:keepNext/>
        <w:spacing w:before="200" w:after="120"/>
      </w:pPr>
      <w:r>
        <w:rPr>
          <w:rFonts w:ascii="Calibri" w:hAnsi="Calibri" w:eastAsia="Microsoft YaHei"/>
          <w:b/>
          <w:color w:val="737B59"/>
          <w:sz w:val="25"/>
        </w:rPr>
        <w:t>后端与数据层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Django REST：</w:t>
      </w:r>
      <w:r>
        <w:rPr>
          <w:rFonts w:ascii="Calibri" w:hAnsi="Calibri" w:eastAsia="Microsoft YaHei"/>
          <w:color w:val="292721"/>
          <w:sz w:val="21"/>
        </w:rPr>
        <w:t>实现注册、登录、退出、CSRF Token、Session Cookie 与数据权限接口。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MySQL：</w:t>
      </w:r>
      <w:r>
        <w:rPr>
          <w:rFonts w:ascii="Calibri" w:hAnsi="Calibri" w:eastAsia="Microsoft YaHei"/>
          <w:color w:val="292721"/>
          <w:sz w:val="21"/>
        </w:rPr>
        <w:t>存储用户、数据集元信息、字段映射、关系确认、导入任务及标准化业务数据。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数据隔离：</w:t>
      </w:r>
      <w:r>
        <w:rPr>
          <w:rFonts w:ascii="Calibri" w:hAnsi="Calibri" w:eastAsia="Microsoft YaHei"/>
          <w:color w:val="292721"/>
          <w:sz w:val="21"/>
        </w:rPr>
        <w:t>普通用户仅访问本人数据集和公共演示数据；公共数据集默认只读。</w:t>
      </w:r>
    </w:p>
    <w:p>
      <w:pPr>
        <w:pStyle w:val="ListBullet"/>
        <w:spacing w:after="100" w:line="276" w:lineRule="auto"/>
      </w:pPr>
      <w:r>
        <w:rPr>
          <w:rFonts w:ascii="Calibri" w:hAnsi="Calibri" w:eastAsia="Microsoft YaHei"/>
          <w:b/>
          <w:color w:val="292721"/>
          <w:sz w:val="21"/>
        </w:rPr>
        <w:t>稳定性处理：</w:t>
      </w:r>
      <w:r>
        <w:rPr>
          <w:rFonts w:ascii="Calibri" w:hAnsi="Calibri" w:eastAsia="Microsoft YaHei"/>
          <w:color w:val="292721"/>
          <w:sz w:val="21"/>
        </w:rPr>
        <w:t>处理 CORS / CSRF 跨端请求、重复数据集检测、导入批次限制与失败状态回收。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186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cen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18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76" w:lineRule="auto"/>
        <w:jc w:val="center"/>
      </w:pPr>
      <w:r>
        <w:rPr>
          <w:rFonts w:ascii="Calibri" w:hAnsi="Calibri" w:eastAsia="Microsoft YaHei"/>
          <w:b w:val="0"/>
          <w:i/>
          <w:color w:val="6F6A61"/>
          <w:sz w:val="18"/>
        </w:rPr>
        <w:t>图 5 用户中心：展示账号状态、角色与数据访问范围。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0D7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C65D3D"/>
              <w:left w:val="single" w:sz="8" w:color="C65D3D"/>
              <w:bottom w:val="single" w:sz="8" w:color="C65D3D"/>
              <w:right w:val="single" w:sz="8" w:color="C65D3D"/>
            </w:tcBorders>
          </w:tcPr>
          <w:p>
            <w:pPr>
              <w:spacing w:after="120"/>
            </w:pPr>
            <w:r>
              <w:rPr>
                <w:rFonts w:ascii="Calibri" w:hAnsi="Calibri" w:eastAsia="Microsoft YaHei"/>
                <w:b/>
                <w:color w:val="C65D3D"/>
                <w:sz w:val="23"/>
              </w:rPr>
              <w:t>简历可用描述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color w:val="292721"/>
                <w:sz w:val="21"/>
              </w:rPr>
              <w:t>独立完成“商析”全栈电商数据分析平台：基于 React + TypeScript 构建多看板可视化与 CSV 字段映射流程，使用 Django REST + MySQL 实现用户认证、数据集隔离、导入任务与关系确认；支持经营总览、渠道/商品分析、用户 RFM 分层、行为漏斗、复购趋势等分析能力。</w:t>
            </w:r>
          </w:p>
        </w:tc>
      </w:tr>
    </w:tbl>
    <w:p>
      <w:pPr>
        <w:spacing w:before="280" w:after="0" w:line="276" w:lineRule="auto"/>
      </w:pPr>
      <w:r>
        <w:rPr>
          <w:rFonts w:ascii="Calibri" w:hAnsi="Calibri" w:eastAsia="Microsoft YaHei"/>
          <w:b w:val="0"/>
          <w:i/>
          <w:color w:val="6F6A61"/>
          <w:sz w:val="17"/>
        </w:rPr>
        <w:t>项目源码结构：前端 src/，后端 backend/，示例数据 demo-data/；本地开发环境通过 Vite、Django 与 MySQL 协同运行。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F6A61"/>
        <w:sz w:val="16"/>
      </w:rPr>
      <w:t>商析 · 全栈电商数据分析平台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b/>
        <w:color w:val="6F6A61"/>
        <w:sz w:val="16"/>
      </w:rPr>
      <w:t>SHANGXI · PROJECT PORTFOLIO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927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商析 - 全栈电商数据分析平台作品集</dc:title>
  <dc:subject>个人简历项目作品集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