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EDA</w:t>
      </w:r>
      <w:r>
        <w:t xml:space="preserve"> </w:t>
      </w:r>
      <w:r>
        <w:t xml:space="preserve">Plan:</w:t>
      </w:r>
      <w:r>
        <w:t xml:space="preserve"> </w:t>
      </w:r>
      <w:r>
        <w:t xml:space="preserve">Plots,</w:t>
      </w:r>
      <w:r>
        <w:t xml:space="preserve"> </w:t>
      </w:r>
      <w:r>
        <w:t xml:space="preserve">Summaries</w:t>
      </w:r>
      <w:r>
        <w:t xml:space="preserve"> </w:t>
      </w:r>
      <w:r>
        <w:t xml:space="preserve">and</w:t>
      </w:r>
      <w:r>
        <w:t xml:space="preserve"> </w:t>
      </w:r>
      <w:r>
        <w:t xml:space="preserve">Checkpoints</w:t>
      </w:r>
    </w:p>
    <w:p>
      <w:pPr>
        <w:pStyle w:val="Subtitle"/>
      </w:pPr>
      <w:r>
        <w:t xml:space="preserve">STAT</w:t>
      </w:r>
      <w:r>
        <w:t xml:space="preserve"> </w:t>
      </w:r>
      <w:r>
        <w:t xml:space="preserve">638</w:t>
      </w:r>
      <w:r>
        <w:t xml:space="preserve"> </w:t>
      </w:r>
      <w:r>
        <w:t xml:space="preserve">Project</w:t>
      </w:r>
      <w:r>
        <w:t xml:space="preserve"> </w:t>
      </w:r>
      <w:r>
        <w:t xml:space="preserve">17:</w:t>
      </w:r>
      <w:r>
        <w:t xml:space="preserve"> </w:t>
      </w:r>
      <w:r>
        <w:t xml:space="preserve">Bayesian</w:t>
      </w:r>
      <w:r>
        <w:t xml:space="preserve"> </w:t>
      </w:r>
      <w:r>
        <w:t xml:space="preserve">Forecasting</w:t>
      </w:r>
      <w:r>
        <w:t xml:space="preserve"> </w:t>
      </w:r>
      <w:r>
        <w:t xml:space="preserve">of</w:t>
      </w:r>
      <w:r>
        <w:t xml:space="preserve"> </w:t>
      </w:r>
      <w:r>
        <w:t xml:space="preserve">Household</w:t>
      </w:r>
      <w:r>
        <w:t xml:space="preserve"> </w:t>
      </w:r>
      <w:r>
        <w:t xml:space="preserve">Electricity</w:t>
      </w:r>
      <w:r>
        <w:t xml:space="preserve"> </w:t>
      </w:r>
      <w:r>
        <w:t xml:space="preserve">Demand</w:t>
      </w:r>
    </w:p>
    <w:p>
      <w:pPr>
        <w:pStyle w:val="FirstParagraph"/>
      </w:pPr>
      <w:r>
        <w:rPr>
          <w:bCs/>
          <w:b/>
        </w:rPr>
        <w:t xml:space="preserve">Planned model:</w:t>
      </w:r>
      <w:r>
        <w:t xml:space="preserve"> </w:t>
      </w:r>
      <w:r>
        <w:t xml:space="preserve">intercept + linear trend + harmonics (J = 1 vs J = 2) + day-of-week effects, with AR(1) errors and t innovations.</w:t>
      </w:r>
    </w:p>
    <w:p>
      <w:pPr>
        <w:pStyle w:val="BodyText"/>
      </w:pPr>
      <w:r>
        <w:rPr>
          <w:bCs/>
          <w:b/>
        </w:rPr>
        <w:t xml:space="preserve">Short answer:</w:t>
      </w:r>
      <w:r>
        <w:t xml:space="preserve"> </w:t>
      </w:r>
      <w:r>
        <w:t xml:space="preserve">do both, but aim the EDA at the model. That is also how you avoid doing the same work twice.</w:t>
      </w:r>
    </w:p>
    <w:bookmarkStart w:id="20" w:name="how-eda-and-model-checking-split-up"/>
    <w:p>
      <w:pPr>
        <w:pStyle w:val="Heading1"/>
      </w:pPr>
      <w:r>
        <w:t xml:space="preserve">How EDA and model checking split 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Stage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When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How much space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1. Look at the data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What does it look like? Shows the patterns each model term is there for.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Before any model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~1 figure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2. Check assumptions before fitting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Is each planned term justified? Uses residuals from a quick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lm()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fit of the planned mean structure (Ch 9).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Still EDA, before the Bayesian fit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~2 figures + 1 small table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3. Check the fitted model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Does the fitted Bayesian model reproduce the data? (Ch 4 posterior predictive checks)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After fitting; required report §6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~1–2 figures</w:t>
            </w:r>
          </w:p>
        </w:tc>
      </w:tr>
    </w:tbl>
    <w:p>
      <w:pPr>
        <w:pStyle w:val="BodyText"/>
      </w:pPr>
      <w:r>
        <w:t xml:space="preserve">Stage 2 is cheap. It is one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call, it justifies every modelling choice before you fit anything, and it all goes in the EDA section. Stage 3 is required anyway (§6</w:t>
      </w:r>
      <w:r>
        <w:t xml:space="preserve"> </w:t>
      </w:r>
      <w:r>
        <w:t xml:space="preserve">“</w:t>
      </w:r>
      <w:r>
        <w:t xml:space="preserve">Sensitivity / model checking</w:t>
      </w:r>
      <w:r>
        <w:t xml:space="preserve">”</w:t>
      </w:r>
      <w:r>
        <w:t xml:space="preserve">), but it is small. It confirms rather than re-justifies, and its λ_t plot doubles as your Q6 answer. So no plot appears twice, and the total is about 5 figures.</w:t>
      </w:r>
    </w:p>
    <w:p>
      <w:pPr>
        <w:pStyle w:val="BodyText"/>
      </w:pPr>
      <w:r>
        <w:t xml:space="preserve">One caution: EDA should be guided by the model but stay open to surprises. The absence blocks were found exactly this way, from a residual plot nobody expected to look like that.</w:t>
      </w:r>
    </w:p>
    <w:bookmarkEnd w:id="20"/>
    <w:bookmarkStart w:id="26" w:name="X4ac7c19f26d94d1a04d22a9f66f29f880bb7f06"/>
    <w:p>
      <w:pPr>
        <w:pStyle w:val="Heading1"/>
      </w:pPr>
      <w:r>
        <w:t xml:space="preserve">The EDA figures and the checkpoint each one answers</w:t>
      </w:r>
    </w:p>
    <w:bookmarkStart w:id="21" w:name="X11caa73b33e914a1c3226ccca7b2ac79973efbb"/>
    <w:p>
      <w:pPr>
        <w:pStyle w:val="Heading2"/>
      </w:pPr>
      <w:r>
        <w:t xml:space="preserve">Figure 1: Data overview (one 3-panel figure)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Panel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Checkpoint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Decision it supports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Daily kWh over time, monthly-mean line, missing days marked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Clear yearly wave? Overall drift? Long low runs? Where are the gaps?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Harmonics; linear trend; flags the absence blocks; 23 missing days in runs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Mean kWh by month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One smooth bump, or lopsided (sharp winter, flat summer)?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J = 1 vs J = 2 (Q3)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Boxplot of kWh by day of week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Weekends shifted? Similar spread across days?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 day-of-week dummies (Q4)</w:t>
            </w:r>
          </w:p>
        </w:tc>
      </w:tr>
    </w:tbl>
    <w:bookmarkEnd w:id="21"/>
    <w:bookmarkStart w:id="22" w:name="Xdeddd186567f3844f47324fbe4493d2fc7a22ec"/>
    <w:p>
      <w:pPr>
        <w:pStyle w:val="Heading2"/>
      </w:pPr>
      <w:r>
        <w:t xml:space="preserve">Figure 2: Residuals from a quick lm() fit (one 4-panel figure)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kwh ~ trend + sin/cos (J = 2) + day-of-week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 then plot the residuals: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Panel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Checkpoint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Residuals over time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No leftover wave or bend? Long runs below zero?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Mean structure OK; absence blocks = regime runs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Residuals vs fitted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No funnel shape?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Constant spread, so kWh scale is OK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QQ plot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Tails bend away from the line?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 errors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Histogram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Symmetric?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kWh scale, not log</w:t>
            </w:r>
          </w:p>
        </w:tc>
      </w:tr>
    </w:tbl>
    <w:bookmarkEnd w:id="22"/>
    <w:bookmarkStart w:id="23" w:name="figure-3-residual-acf-pacf-22-panels"/>
    <w:p>
      <w:pPr>
        <w:pStyle w:val="Heading2"/>
      </w:pPr>
      <w:r>
        <w:t xml:space="preserve">Figure 3: Residual ACF + PACF (2×2 panels)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Panel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Checkpoint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ACF, all days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Correlation decays gradually?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Errors are correlated, so AR is needed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PACF, all days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Spikes at lags 1–3?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Looks like AR(3)…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ACF/PACF, absence blocks set to NA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PACF drops to one spike at lag 1?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…but really AR(1) + t errors (R §3.2)</w:t>
            </w:r>
          </w:p>
        </w:tc>
      </w:tr>
    </w:tbl>
    <w:bookmarkEnd w:id="23"/>
    <w:bookmarkStart w:id="24" w:name="X427ccb87ecf2a82c5b8126758e096adad67229b"/>
    <w:p>
      <w:pPr>
        <w:pStyle w:val="Heading2"/>
      </w:pPr>
      <w:r>
        <w:t xml:space="preserve">Table 1: Residual summary on both scales (from 01b)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Scale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Residual skew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Kurtosis</w:t>
            </w:r>
          </w:p>
        </w:tc>
        <w:tc>
          <w:tcPr>
            <w:shd w:val="clear" w:color="auto" w:fill="DCE8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Lag-1 ACF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kWh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≈ 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&gt; 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log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negative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larger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…</w:t>
            </w:r>
          </w:p>
        </w:tc>
      </w:tr>
    </w:tbl>
    <w:p>
      <w:pPr>
        <w:pStyle w:val="BodyText"/>
      </w:pPr>
      <w:r>
        <w:t xml:space="preserve">This one small table decides kWh vs log and supports t errors. Fill it with your rerun numbers. The initial report’s were skew 0.059 vs −1.450 and kurtosis 5.00 vs 6.18 (R §3.1).</w:t>
      </w:r>
    </w:p>
    <w:bookmarkEnd w:id="24"/>
    <w:bookmarkStart w:id="25" w:name="missing-data"/>
    <w:p>
      <w:pPr>
        <w:pStyle w:val="Heading2"/>
      </w:pPr>
      <w:r>
        <w:t xml:space="preserve">Missing data</w:t>
      </w:r>
    </w:p>
    <w:p>
      <w:pPr>
        <w:pStyle w:val="FirstParagraph"/>
      </w:pPr>
      <w:r>
        <w:t xml:space="preserve">One sentence plus the marks in Figure 1 is enough, e.g. </w:t>
      </w:r>
      <w:r>
        <w:t xml:space="preserve">“</w:t>
      </w:r>
      <w:r>
        <w:t xml:space="preserve">23 days, in contiguous runs, imputed within MCMC</w:t>
      </w:r>
      <w:r>
        <w:t xml:space="preserve">”</w:t>
      </w:r>
      <w:r>
        <w:t xml:space="preserve">.</w:t>
      </w:r>
    </w:p>
    <w:bookmarkEnd w:id="25"/>
    <w:bookmarkEnd w:id="26"/>
    <w:bookmarkStart w:id="27" w:name="post-fit-checks-report-6-not-eda"/>
    <w:p>
      <w:pPr>
        <w:pStyle w:val="Heading1"/>
      </w:pPr>
      <w:r>
        <w:t xml:space="preserve">Post-fit checks (report §6, not EDA)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Posterior predictive check (Ch 4):</w:t>
      </w:r>
      <w:r>
        <w:t xml:space="preserve"> </w:t>
      </w:r>
      <w:r>
        <w:t xml:space="preserve">simulate series from the fitted model. Compare one or two summaries with the real data, e.g. residual lag-1 ACF, longest low run, share of extreme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Posterior mean λ_t over time:</w:t>
      </w:r>
      <w:r>
        <w:t xml:space="preserve"> </w:t>
      </w:r>
      <w:r>
        <w:t xml:space="preserve">dips should line up with the absence blocks. This also answers Q6.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ACF of standardized one-step residuals:</w:t>
      </w:r>
      <w:r>
        <w:t xml:space="preserve"> </w:t>
      </w:r>
      <w:r>
        <w:t xml:space="preserve">should be about zero at all lags if AR(1) captured the dependence.</w:t>
      </w:r>
    </w:p>
    <w:p>
      <w:pPr>
        <w:pStyle w:val="FirstParagraph"/>
      </w:pPr>
      <w:r>
        <w:t xml:space="preserve">The holdout fan chart goes in Results for Q5, not here.</w:t>
      </w:r>
    </w:p>
    <w:bookmarkEnd w:id="27"/>
    <w:bookmarkStart w:id="28" w:name="starter-r-code-for-figures-13"/>
    <w:p>
      <w:pPr>
        <w:pStyle w:val="Heading1"/>
      </w:pPr>
      <w:r>
        <w:t xml:space="preserve">Starter R code for Figures 1–3</w:t>
      </w:r>
    </w:p>
    <w:p>
      <w:pPr>
        <w:pStyle w:val="FirstParagraph"/>
      </w:pPr>
      <w:r>
        <w:t xml:space="preserve">This uses the columns in your</w:t>
      </w:r>
      <w:r>
        <w:t xml:space="preserve"> </w:t>
      </w:r>
      <w:r>
        <w:rPr>
          <w:rStyle w:val="VerbatimChar"/>
        </w:rPr>
        <w:t xml:space="preserve">data/daily.csv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"data/daily.csv"</w:t>
      </w:r>
      <w:r>
        <w:rPr>
          <w:rStyle w:val="NormalTok"/>
        </w:rPr>
        <w:t xml:space="preserve">);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centred trend, per year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 d[[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,j)]]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d[[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,j)]]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dowf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dow,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"Thu"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DocumentationTok"/>
        </w:rPr>
        <w:t xml:space="preserve">## Figure 1: overview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kwh,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"kWh/day"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rug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kwh)],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missing days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kwh,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kWh/day"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(kwh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dowf,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"kWh/day"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Figure 2: OLS residuals (Ch 9)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(kwh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dowf,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(fit), r,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(r);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Figure 3: ACF / PACF, with and without absence blocks (Ch 6 for ACF)</w:t>
      </w:r>
      <w:r>
        <w:br/>
      </w:r>
      <w:r>
        <w:rPr>
          <w:rStyle w:val="NormalTok"/>
        </w:rPr>
        <w:t xml:space="preserve">blocks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"2007-02-24"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"2007-03-02"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"2008-08-06"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"2008-08-30"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"2009-08-01"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"2009-08-08"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"2010-07-29"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"2010-08-14"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blocks) r_ex[d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na.pass,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"ACF, all days"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na.pass,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"PACF, all days"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(r_ex,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na.pass,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"ACF, blocks removed"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(r_ex,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na.pass,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"PACF, blocks removed"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Two caveats about this code:</w:t>
      </w:r>
    </w:p>
    <w:p>
      <w:pPr>
        <w:numPr>
          <w:ilvl w:val="0"/>
          <w:numId w:val="1002"/>
        </w:numPr>
        <w:pStyle w:val="Compact"/>
      </w:pPr>
      <w:r>
        <w:t xml:space="preserve">It has not been run yet (no R in the workspace where it was written), so check the plots look sensible when you run it.</w:t>
      </w:r>
    </w:p>
    <w:p>
      <w:pPr>
        <w:numPr>
          <w:ilvl w:val="0"/>
          <w:numId w:val="1002"/>
        </w:numPr>
        <w:pStyle w:val="Compact"/>
      </w:pPr>
      <w:r>
        <w:t xml:space="preserve">The absence-block dates are copied from the initial report (R §3.2). Confirm them against your Figure 2 residual plot.</w:t>
      </w:r>
    </w:p>
    <w:bookmarkEnd w:id="28"/>
    <w:bookmarkStart w:id="29" w:name="word-budget"/>
    <w:p>
      <w:pPr>
        <w:pStyle w:val="Heading1"/>
      </w:pPr>
      <w:r>
        <w:t xml:space="preserve">Word budget</w:t>
      </w:r>
    </w:p>
    <w:p>
      <w:pPr>
        <w:pStyle w:val="FirstParagraph"/>
      </w:pPr>
      <w:r>
        <w:t xml:space="preserve">At about 300 words of EDA text, each figure gets two or three sentences of the form</w:t>
      </w:r>
      <w:r>
        <w:t xml:space="preserve"> </w:t>
      </w:r>
      <w:r>
        <w:t xml:space="preserve">“</w:t>
      </w:r>
      <w:r>
        <w:t xml:space="preserve">we saw X, so the model includes Y</w:t>
      </w:r>
      <w:r>
        <w:t xml:space="preserve">”</w:t>
      </w:r>
      <w:r>
        <w:t xml:space="preserve">. That is about 12% of the 2,500-word limit.</w:t>
      </w:r>
    </w:p>
    <w:bookmarkEnd w:id="29"/>
    <w:bookmarkStart w:id="30" w:name="course-references"/>
    <w:p>
      <w:pPr>
        <w:pStyle w:val="Heading1"/>
      </w:pPr>
      <w:r>
        <w:t xml:space="preserve">Course references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 9: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and residual checks.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 6:</w:t>
      </w:r>
      <w:r>
        <w:t xml:space="preserve"> </w:t>
      </w:r>
      <w:r>
        <w:t xml:space="preserve">ACF.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 4:</w:t>
      </w:r>
      <w:r>
        <w:t xml:space="preserve"> </w:t>
      </w:r>
      <w:r>
        <w:t xml:space="preserve">post-fit posterior predictive checks.</w:t>
      </w:r>
    </w:p>
    <w:p>
      <w:pPr>
        <w:numPr>
          <w:ilvl w:val="0"/>
          <w:numId w:val="1003"/>
        </w:numPr>
        <w:pStyle w:val="Compact"/>
      </w:pPr>
      <w:r>
        <w:t xml:space="preserve">PACF and QQ plots are not in the course PDFs. Cite Shumway &amp; Stoffer,</w:t>
      </w:r>
      <w:r>
        <w:t xml:space="preserve"> </w:t>
      </w:r>
      <w:r>
        <w:rPr>
          <w:iCs/>
          <w:i/>
        </w:rPr>
        <w:t xml:space="preserve">Time Series Analysis and Its Applications</w:t>
      </w:r>
      <w:r>
        <w:t xml:space="preserve">, for PACF.</w:t>
      </w:r>
    </w:p>
    <w:bookmarkEnd w:id="30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color w:val="1F2933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933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cs="Calibri" w:eastAsia="Calibri" w:hAnsi="Calibri"/>
      <w:color w:val="1F2933"/>
      <w:sz w:val="22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cs="Calibri" w:eastAsia="Calibri" w:hAnsi="Calibri"/>
      <w:color w:val="1F29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4E7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color w:val="2E6DA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5B6675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 Plan: Plots, Summaries and Checkpoints</dc:title>
  <dc:creator/>
  <cp:keywords/>
  <dcterms:created xsi:type="dcterms:W3CDTF">2026-10-22T17:32:33Z</dcterms:created>
  <dcterms:modified xsi:type="dcterms:W3CDTF">2026-10-22T17:32:33Z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STAT 638 Project 17: Bayesian Forecasting of Household Electricity Demand</vt:lpwstr>
  </property>
</Properties>
</file>