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jljwbqos8v" w:id="0"/>
      <w:bookmarkEnd w:id="0"/>
      <w:r w:rsidDel="00000000" w:rsidR="00000000" w:rsidRPr="00000000">
        <w:rPr>
          <w:rtl w:val="0"/>
        </w:rPr>
        <w:t xml:space="preserve">Procedimento Operacional Padrão (POP): Gestão de Infraestrutura NixOS em Larga Escala com Colmena e Flakes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b2o9ecs3xg0" w:id="1"/>
      <w:bookmarkEnd w:id="1"/>
      <w:r w:rsidDel="00000000" w:rsidR="00000000" w:rsidRPr="00000000">
        <w:rPr>
          <w:rtl w:val="0"/>
        </w:rPr>
        <w:t xml:space="preserve">1. Introdução e Escopo Estratégico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transição de uma gestão de infraestrutura manual para um modelo puramente declarativo é uma exigência crítica para a soberania tecnológica de frotas modernas. Em sistemas convencionais, a configuração sofre de "drift" — uma divergência probabilística entre o estado pretendido e o estado real. No contexto atual de segurança, onde agentes de IA operam de forma não-determinística, a infraestrutura deve atuar como o  </w:t>
      </w:r>
      <w:r w:rsidDel="00000000" w:rsidR="00000000" w:rsidRPr="00000000">
        <w:rPr>
          <w:b w:val="1"/>
          <w:bCs w:val="1"/>
          <w:rtl w:val="0"/>
        </w:rPr>
        <w:t xml:space="preserve">Limite Determinístico (Deterministic Guardrail)</w:t>
      </w:r>
      <w:r w:rsidDel="00000000" w:rsidR="00000000" w:rsidRPr="00000000">
        <w:rPr>
          <w:rtl w:val="0"/>
        </w:rPr>
        <w:t xml:space="preserve">  final.O uso de  </w:t>
      </w:r>
      <w:r w:rsidDel="00000000" w:rsidR="00000000" w:rsidRPr="00000000">
        <w:rPr>
          <w:b w:val="1"/>
          <w:bCs w:val="1"/>
          <w:rtl w:val="0"/>
        </w:rPr>
        <w:t xml:space="preserve">Nix Flakes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 elimina a incerteza, transformando a postura do sistema em uma verdade documental e imutável. Este POP estabelece protocolos rigorosos para mitigar o  </w:t>
      </w:r>
      <w:r w:rsidDel="00000000" w:rsidR="00000000" w:rsidRPr="00000000">
        <w:rPr>
          <w:b w:val="1"/>
          <w:bCs w:val="1"/>
          <w:rtl w:val="0"/>
        </w:rPr>
        <w:t xml:space="preserve">Machine Insider Risk</w:t>
      </w:r>
      <w:r w:rsidDel="00000000" w:rsidR="00000000" w:rsidRPr="00000000">
        <w:rPr>
          <w:rtl w:val="0"/>
        </w:rPr>
        <w:t xml:space="preserve">  (risco de identidades não-humanas e agentes de IA com privilégios excessivos), garantindo que a "Verdade do Runtime" coincida exatamente com o código versionado, evitando exaustão de recursos e falhas de resiliência.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2jwc8drhhkkl" w:id="2"/>
      <w:bookmarkEnd w:id="2"/>
      <w:r w:rsidDel="00000000" w:rsidR="00000000" w:rsidRPr="00000000">
        <w:rPr>
          <w:rtl w:val="0"/>
        </w:rPr>
        <w:t xml:space="preserve">2. Protocolos de Acesso Remoto e Segurança de Credenciais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proteção de chaves SSH é a primeira barreira contra acessos não autorizados. É um  </w:t>
      </w:r>
      <w:r w:rsidDel="00000000" w:rsidR="00000000" w:rsidRPr="00000000">
        <w:rPr>
          <w:b w:val="1"/>
          <w:bCs w:val="1"/>
          <w:rtl w:val="0"/>
        </w:rPr>
        <w:t xml:space="preserve">Protocolo de Segurança Crítica</w:t>
      </w:r>
      <w:r w:rsidDel="00000000" w:rsidR="00000000" w:rsidRPr="00000000">
        <w:rPr>
          <w:rtl w:val="0"/>
        </w:rPr>
        <w:t xml:space="preserve">  que todas as chaves sejam protegidas por senha para mitigar riscos de comprometimento de máquinas de gestão.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ntkv4knwianj" w:id="3"/>
      <w:bookmarkEnd w:id="3"/>
      <w:r w:rsidDel="00000000" w:rsidR="00000000" w:rsidRPr="00000000">
        <w:rPr>
          <w:rtl w:val="0"/>
        </w:rPr>
        <w:t xml:space="preserve">Configuração do SSH-Agent e Isolamento de Chaves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ssh-agent resolve a limitação do Colmena em lidar com chaves protegidas por senha, permitindo o desbloqueio único por sessão.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Chave:</w:t>
      </w:r>
      <w:r w:rsidDel="00000000" w:rsidR="00000000" w:rsidRPr="00000000">
        <w:rPr>
          <w:rtl w:val="0"/>
        </w:rPr>
        <w:t xml:space="preserve">  Execute ssh-keygen -t ed25519 -f ~/.ssh/infra_prod e defina uma senha robusta.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Inclusão no Agente:</w:t>
      </w:r>
      <w:r w:rsidDel="00000000" w:rsidR="00000000" w:rsidRPr="00000000">
        <w:rPr>
          <w:rtl w:val="0"/>
        </w:rPr>
        <w:t xml:space="preserve">  Adicione a credencial à sessão atual: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gy0w0bgvwy4p" w:id="4"/>
      <w:bookmarkEnd w:id="4"/>
      <w:r w:rsidDel="00000000" w:rsidR="00000000" w:rsidRPr="00000000">
        <w:rPr>
          <w:rtl w:val="0"/>
        </w:rPr>
        <w:t xml:space="preserve">Gestão de Configuração SSH (Mandatório)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evitar que chaves de produção sejam utilizadas inadvertidamente como padrão para uso pessoal, utilize a diretiva Include.  </w:t>
      </w:r>
      <w:r w:rsidDel="00000000" w:rsidR="00000000" w:rsidRPr="00000000">
        <w:rPr>
          <w:b w:val="1"/>
          <w:bCs w:val="1"/>
          <w:rtl w:val="0"/>
        </w:rPr>
        <w:t xml:space="preserve">É obrigatório que esta diretiva esteja no topo do arquivo para o processamento 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arquivo ~/.ssh/config: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arquivo colmena_ssh_config (dentro do repositório), defina os hosts com User root e o IdentityFile específico.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1fv8ka8d0a1d" w:id="5"/>
      <w:bookmarkEnd w:id="5"/>
      <w:r w:rsidDel="00000000" w:rsidR="00000000" w:rsidRPr="00000000">
        <w:rPr>
          <w:rtl w:val="0"/>
        </w:rPr>
        <w:t xml:space="preserve">3. Arquitetura de Implantação com Nix Flakes e Colmena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configuração deve ser tratada como código auditável. Para gerenciar frotas que variam de "pets" (servidores únicos) a "cattle" (nós de processamento idênticos), a modularização via specialArgs é essencial.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pymem0kmgner" w:id="6"/>
      <w:bookmarkEnd w:id="6"/>
      <w:r w:rsidDel="00000000" w:rsidR="00000000" w:rsidRPr="00000000">
        <w:rPr>
          <w:rtl w:val="0"/>
        </w:rPr>
        <w:t xml:space="preserve">Estrutura Centralizada do Flake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Exemplo de arquitetura modular para gerenciar múltiplos hosts e arquiteturas:</w:t>
        <w:br w:type="textWrapping"/>
        <w:t xml:space="preserve">{</w:t>
        <w:br w:type="textWrapping"/>
        <w:t xml:space="preserve">outputs = { self, nixpkgs, colmena, ... } @ inputs:</w:t>
        <w:br w:type="textWrapping"/>
        <w:t xml:space="preserve">let</w:t>
        <w:br w:type="textWrapping"/>
        <w:t xml:space="preserve">hostConfigs = {</w:t>
        <w:br w:type="textWrapping"/>
        <w:t xml:space="preserve"># Parâmetros comuns para "cattle"</w:t>
        <w:br w:type="textWrapping"/>
        <w:t xml:space="preserve">deployment.targetUser = "root";</w:t>
        <w:br w:type="textWrapping"/>
        <w:t xml:space="preserve">networking.firewall.enable = true;</w:t>
        <w:br w:type="textWrapping"/>
        <w:t xml:space="preserve">};</w:t>
        <w:br w:type="textWrapping"/>
        <w:t xml:space="preserve">in {</w:t>
        <w:br w:type="textWrapping"/>
        <w:t xml:space="preserve">colmena = {</w:t>
        <w:br w:type="textWrapping"/>
        <w:t xml:space="preserve">meta = {</w:t>
        <w:br w:type="textWrapping"/>
        <w:t xml:space="preserve">nixpkgs = import nixpkgs { system = "x86_64-linux"; };</w:t>
        <w:br w:type="textWrapping"/>
        <w:t xml:space="preserve">specialArgs = { inherit inputs; };</w:t>
        <w:br w:type="textWrapping"/>
        <w:t xml:space="preserve">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srv-producao-01 \= { ... }: {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imports \= \[ ./hosts/production.nix \];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deployment.targetHost \= "200.1.2.3";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inherit hostConfigs;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};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devShells.x86\_64-linux.default \= nixpkgs.legacyPackages.x86\_64-linux.mkShell {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buildInputs \= with nixpkgs.legacyPackages.x86\_64-linux; \[ colmena git pass \];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};</w:t>
        <w:br w:type="textWrapping"/>
        <w:t xml:space="preserve">}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afhklhgdx25q" w:id="7"/>
      <w:bookmarkEnd w:id="7"/>
      <w:r w:rsidDel="00000000" w:rsidR="00000000" w:rsidRPr="00000000">
        <w:rPr>
          <w:rtl w:val="0"/>
        </w:rPr>
        <w:t xml:space="preserve">4. Gestão de Segredos e Injeção em Runtime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Segredos descriptografados em Git são falhas críticas de conformidade. A integração com o pass (password store) permite a injeção dinâmica de chaves.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b5mifcvqu69p" w:id="8"/>
      <w:bookmarkEnd w:id="8"/>
      <w:r w:rsidDel="00000000" w:rsidR="00000000" w:rsidRPr="00000000">
        <w:rPr>
          <w:rtl w:val="0"/>
        </w:rPr>
        <w:t xml:space="preserve">Implementação de keyCommand e Validação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Utilize o Colmena para recuperar segredos no momento da aplicação.  </w:t>
      </w:r>
      <w:r w:rsidDel="00000000" w:rsidR="00000000" w:rsidRPr="00000000">
        <w:rPr>
          <w:b w:val="1"/>
          <w:bCs w:val="1"/>
          <w:rtl w:val="0"/>
        </w:rPr>
        <w:t xml:space="preserve">Truque Operacional:</w:t>
      </w:r>
      <w:r w:rsidDel="00000000" w:rsidR="00000000" w:rsidRPr="00000000">
        <w:rPr>
          <w:rtl w:val="0"/>
        </w:rPr>
        <w:t xml:space="preserve">  Para evitar falhas de timeout durante o apply, execute um comando "dummy" no pass para desbloquear o gpg-agent antes da execução: pass dummy &gt; /dev/null.</w:t>
        <w:br w:type="textWrapping"/>
        <w:t xml:space="preserve">deployment.keys."db-password" = {</w:t>
        <w:br w:type="textWrapping"/>
        <w:t xml:space="preserve">keyCommand = [ "pass" "infra/prod/db-pass" ];</w:t>
        <w:br w:type="textWrapping"/>
        <w:t xml:space="preserve">user = "database-service";</w:t>
        <w:br w:type="textWrapping"/>
        <w:t xml:space="preserve">group = "nogroup";</w:t>
        <w:br w:type="textWrapping"/>
        <w:t xml:space="preserve">permissions = "0600";</w:t>
        <w:br w:type="textWrapping"/>
        <w:t xml:space="preserve">};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38uwm6lju14y" w:id="9"/>
      <w:bookmarkEnd w:id="9"/>
      <w:r w:rsidDel="00000000" w:rsidR="00000000" w:rsidRPr="00000000">
        <w:rPr>
          <w:rtl w:val="0"/>
        </w:rPr>
        <w:t xml:space="preserve">Checklist de Validação Pós-Implantação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Após o colmena apply, é mandatório verificar: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arquivo existe em /run/keys/db-password.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Permissões estão definidas exatamente como 0600.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proprietário (user) do arquivo está correto.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segredo não está visível no nix-store (verificar via ls -l /nix/store | grep db-pass).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s7rnwpowxk21" w:id="10"/>
      <w:bookmarkEnd w:id="10"/>
      <w:r w:rsidDel="00000000" w:rsidR="00000000" w:rsidRPr="00000000">
        <w:rPr>
          <w:rtl w:val="0"/>
        </w:rPr>
        <w:t xml:space="preserve">5. Módulos de Manutenção Preventiva e Proteção de Recursos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NixOS acumula gerações por design. Sem manutenção, a exaustão de disco paralisará o sistema.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fffvdukbqro0" w:id="11"/>
      <w:bookmarkEnd w:id="11"/>
      <w:r w:rsidDel="00000000" w:rsidR="00000000" w:rsidRPr="00000000">
        <w:rPr>
          <w:rtl w:val="0"/>
        </w:rPr>
        <w:t xml:space="preserve">Otimização do Store e Coleta de Lixo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É mandatório ativar a otimização por hardlinks para reduzir drasticamente o consumo de espaço:</w:t>
        <w:br w:type="textWrapping"/>
        <w:t xml:space="preserve">nix.settings.auto-optimise-store = true;</w:t>
        <w:br w:type="textWrapping"/>
        <w:t xml:space="preserve">nix.gc = {</w:t>
        <w:br w:type="textWrapping"/>
        <w:t xml:space="preserve">automatic = true;</w:t>
        <w:br w:type="textWrapping"/>
        <w:t xml:space="preserve">dates = "weekly";</w:t>
        <w:br w:type="textWrapping"/>
        <w:t xml:space="preserve">options = "--delete-older-than 14d";</w:t>
        <w:br w:type="textWrapping"/>
        <w:t xml:space="preserve">};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vm44p7da0usu" w:id="12"/>
      <w:bookmarkEnd w:id="12"/>
      <w:r w:rsidDel="00000000" w:rsidR="00000000" w:rsidRPr="00000000">
        <w:rPr>
          <w:rtl w:val="0"/>
        </w:rPr>
        <w:t xml:space="preserve">Proteção de Partição de Boot e Logs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Limite o número de gerações no bootloader para evitar que kernels antigos lotem a partição /boot.| Recurso | Parâmetro NixOS | Configuração Recomendada || ------ | ------ | ------ || </w:t>
      </w:r>
      <w:r w:rsidDel="00000000" w:rsidR="00000000" w:rsidRPr="00000000">
        <w:rPr>
          <w:b w:val="1"/>
          <w:bCs w:val="1"/>
          <w:rtl w:val="0"/>
        </w:rPr>
        <w:t xml:space="preserve">systemd-boot</w:t>
      </w:r>
      <w:r w:rsidDel="00000000" w:rsidR="00000000" w:rsidRPr="00000000">
        <w:rPr>
          <w:rtl w:val="0"/>
        </w:rPr>
        <w:t xml:space="preserve"> | loader.systemd-boot.configurationLimit | 10 || </w:t>
      </w:r>
      <w:r w:rsidDel="00000000" w:rsidR="00000000" w:rsidRPr="00000000">
        <w:rPr>
          <w:b w:val="1"/>
          <w:bCs w:val="1"/>
          <w:rtl w:val="0"/>
        </w:rPr>
        <w:t xml:space="preserve">GRUB</w:t>
      </w:r>
      <w:r w:rsidDel="00000000" w:rsidR="00000000" w:rsidRPr="00000000">
        <w:rPr>
          <w:rtl w:val="0"/>
        </w:rPr>
        <w:t xml:space="preserve"> | loader.grub.configurationLimit | 5 ||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| services.journald.extraConfig | SystemMaxUse=500M |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dtjoi4x5lrsd" w:id="13"/>
      <w:bookmarkEnd w:id="13"/>
      <w:r w:rsidDel="00000000" w:rsidR="00000000" w:rsidRPr="00000000">
        <w:rPr>
          <w:rtl w:val="0"/>
        </w:rPr>
        <w:t xml:space="preserve">6. Implementação de Resiliência via Hardware Watchdog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Watchdogs de hardware são cruciais para a recuperação automática de travamentos (freezing). O systemd deve atuar como o "kicker" do timer.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dl71pmfdw5xy" w:id="14"/>
      <w:bookmarkEnd w:id="14"/>
      <w:r w:rsidDel="00000000" w:rsidR="00000000" w:rsidRPr="00000000">
        <w:rPr>
          <w:rtl w:val="0"/>
        </w:rPr>
        <w:t xml:space="preserve">Configuração de Resiliência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arquivo de configuração do host, defina:</w:t>
        <w:br w:type="textWrapping"/>
        <w:t xml:space="preserve">systemd.extraConfig = ''</w:t>
        <w:br w:type="textWrapping"/>
        <w:t xml:space="preserve">RuntimeWatchdogSec=30</w:t>
        <w:br w:type="textWrapping"/>
        <w:t xml:space="preserve">RebootWatchdogSec=10min</w:t>
        <w:br w:type="textWrapping"/>
        <w:t xml:space="preserve">'';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 Hardwares como o  </w:t>
      </w: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 possuem limites rígidos.  </w:t>
      </w:r>
      <w:r w:rsidDel="00000000" w:rsidR="00000000" w:rsidRPr="00000000">
        <w:rPr>
          <w:b w:val="1"/>
          <w:bCs w:val="1"/>
          <w:rtl w:val="0"/>
        </w:rPr>
        <w:t xml:space="preserve">É mandatório não exceder 15 segundos</w:t>
      </w:r>
      <w:r w:rsidDel="00000000" w:rsidR="00000000" w:rsidRPr="00000000">
        <w:rPr>
          <w:rtl w:val="0"/>
        </w:rPr>
        <w:t xml:space="preserve">  em dispositivos Pi, sob risco de falha na ativação do watchdog.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q3fi6jm214p5" w:id="15"/>
      <w:bookmarkEnd w:id="15"/>
      <w:r w:rsidDel="00000000" w:rsidR="00000000" w:rsidRPr="00000000">
        <w:rPr>
          <w:rtl w:val="0"/>
        </w:rPr>
        <w:t xml:space="preserve">Auditoria de Funcionamento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verificar se o watchdog está sendo "alimentado" corretamente pelo kernel e systemd: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wdctl para listar suporte de hardware.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 o comando de auditoria de runtime: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 o comando retornar chamadas periódicas, o watchdog está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plvvdiof5zz" w:id="16"/>
      <w:bookmarkEnd w:id="16"/>
      <w:r w:rsidDel="00000000" w:rsidR="00000000" w:rsidRPr="00000000">
        <w:rPr>
          <w:rtl w:val="0"/>
        </w:rPr>
        <w:t xml:space="preserve">7. Protocolos de Troubleshooting e "Runtime Truth"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verdade do sistema não é o que está no repositório, mas o que ocorre no runtime. "Shadow Agents" ou configurações órfãs podem persistir se não houver auditoria.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n7t192zgjzz8" w:id="17"/>
      <w:bookmarkEnd w:id="17"/>
      <w:r w:rsidDel="00000000" w:rsidR="00000000" w:rsidRPr="00000000">
        <w:rPr>
          <w:rtl w:val="0"/>
        </w:rPr>
        <w:t xml:space="preserve">Rollback e Reversão de Estado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Local:</w:t>
      </w:r>
      <w:r w:rsidDel="00000000" w:rsidR="00000000" w:rsidRPr="00000000">
        <w:rPr>
          <w:rtl w:val="0"/>
        </w:rPr>
        <w:t xml:space="preserve">  nixos-rebuild --rollback reverte apenas o symlink local /nix/var/nix/profiles/system.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Colmena:</w:t>
      </w:r>
      <w:r w:rsidDel="00000000" w:rsidR="00000000" w:rsidRPr="00000000">
        <w:rPr>
          <w:rtl w:val="0"/>
        </w:rPr>
        <w:t xml:space="preserve">  Para reverter a frota, identifique a geração funcional anterior e aplique-a explicitamente.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 de Estados Órfãos:</w:t>
      </w:r>
      <w:r w:rsidDel="00000000" w:rsidR="00000000" w:rsidRPr="00000000">
        <w:rPr>
          <w:rtl w:val="0"/>
        </w:rPr>
        <w:t xml:space="preserve">  Caso o nó apresente divergências, force a sincronização total: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8neljdm942qq" w:id="18"/>
      <w:bookmarkEnd w:id="18"/>
      <w:r w:rsidDel="00000000" w:rsidR="00000000" w:rsidRPr="00000000">
        <w:rPr>
          <w:rtl w:val="0"/>
        </w:rPr>
        <w:t xml:space="preserve">Conclusão do Documento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robustez de uma infraestrutura gerenciada por este POP reside na transição da confiança probabilística para o controle determinístico. Ao garantir que cada alteração seja atômica e que segredos e hardware sejam monitorados rigorosamente, a equipe de DevSecOps estabelece um ambiente resiliente contra falhas operacionais e ameaças de segurança modernas.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