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Arial" w:hAnsi="Arial" w:eastAsia="Arial"/>
          <w:b/>
          <w:sz w:val="32"/>
        </w:rPr>
        <w:t>Script-Controlled ACL – Restrict Record Access Based on Field Value</w:t>
      </w:r>
    </w:p>
    <w:p>
      <w:pPr>
        <w:spacing w:before="0" w:after="100" w:line="240" w:lineRule="auto"/>
        <w:jc w:val="center"/>
      </w:pPr>
      <w:r>
        <w:rPr>
          <w:rFonts w:ascii="Arial" w:hAnsi="Arial" w:eastAsia="Arial"/>
          <w:b/>
          <w:sz w:val="26"/>
        </w:rPr>
        <w:t>2. Requirement Analysis</w:t>
      </w:r>
    </w:p>
    <w:p>
      <w:pPr>
        <w:spacing w:before="0" w:after="300" w:line="240" w:lineRule="auto"/>
        <w:jc w:val="center"/>
      </w:pPr>
      <w:r>
        <w:rPr>
          <w:rFonts w:ascii="Arial" w:hAnsi="Arial" w:eastAsia="Arial"/>
          <w:b w:val="0"/>
          <w:sz w:val="21"/>
        </w:rPr>
        <w:t>Team ID : SWTID-2026-7417</w:t>
      </w:r>
    </w:p>
    <w:p>
      <w:pPr>
        <w:spacing w:before="100" w:after="60" w:line="240" w:lineRule="auto"/>
      </w:pPr>
      <w:r>
        <w:rPr>
          <w:rFonts w:ascii="Arial" w:hAnsi="Arial" w:eastAsia="Arial"/>
          <w:b/>
          <w:color w:val="1F4E79"/>
          <w:sz w:val="23"/>
        </w:rPr>
        <w:t>2.1 Requirement Overview</w:t>
      </w:r>
    </w:p>
    <w:p>
      <w:pPr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The requirements are derived from the supplied lab specification. The system must support a custom Institution Details table, branch-specific records, multiple custom roles, and ACLs for Read, Create, Write, and Delete operations.</w:t>
      </w:r>
    </w:p>
    <w:p/>
    <w:p>
      <w:pPr>
        <w:spacing w:before="100" w:after="60" w:line="240" w:lineRule="auto"/>
      </w:pPr>
      <w:r>
        <w:rPr>
          <w:rFonts w:ascii="Arial" w:hAnsi="Arial" w:eastAsia="Arial"/>
          <w:b/>
          <w:color w:val="1F4E79"/>
          <w:sz w:val="23"/>
        </w:rPr>
        <w:t>2.2 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12"/>
            <w:vAlign w:val="center"/>
            <w:shd w:fill="DDEB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ID</w:t>
            </w:r>
          </w:p>
        </w:tc>
        <w:tc>
          <w:tcPr>
            <w:tcW w:type="dxa" w:w="2952"/>
            <w:vAlign w:val="center"/>
            <w:shd w:fill="DDEB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Requirement</w:t>
            </w:r>
          </w:p>
        </w:tc>
        <w:tc>
          <w:tcPr>
            <w:tcW w:type="dxa" w:w="5400"/>
            <w:vAlign w:val="center"/>
            <w:shd w:fill="DDEB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Expected Behavior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FR-01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User creation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Create EEE User with the specified identification and email details.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FR-02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Role creation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Create bb1, bb2, bb3, and bb4 custom roles.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FR-03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Role assignment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Assign the required roles to EEE User.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FR-04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Table creation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Create u_institution_details with label Institution Details.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FR-05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Field definition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Provide roll number, student, faculty, branch, email, phone and description fields.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FR-06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Record creation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Create multiple records using ECE, EEE and CSE branch values.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FR-07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Read security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Use bb1, Branch=EEE, and the supplied script logic for Read access.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FR-08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Create security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Use bb2 for Create permission.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FR-09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Write security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Use bb3 for Write permission.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FR-10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Delete security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Use bb4 for Delete permission.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FR-11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Verification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Test permissions using impersonation and list access.</w:t>
            </w:r>
          </w:p>
        </w:tc>
      </w:tr>
    </w:tbl>
    <w:p>
      <w:pPr>
        <w:spacing w:after="0"/>
      </w:pPr>
    </w:p>
    <w:p>
      <w:pPr>
        <w:spacing w:before="100" w:after="60" w:line="240" w:lineRule="auto"/>
      </w:pPr>
      <w:r>
        <w:rPr>
          <w:rFonts w:ascii="Arial" w:hAnsi="Arial" w:eastAsia="Arial"/>
          <w:b/>
          <w:color w:val="1F4E79"/>
          <w:sz w:val="23"/>
        </w:rPr>
        <w:t>2.3 Non-Functional Requirements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1"/>
        </w:rPr>
        <w:t>• Security: unauthorized users must not receive access through the configured ACL rules.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1"/>
        </w:rPr>
        <w:t>• Consistency: role names and table/field names must match the implementation specification.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1"/>
        </w:rPr>
        <w:t>• Maintainability: permissions should be separated into individual ACL records.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1"/>
        </w:rPr>
        <w:t>• Traceability: each requirement should map to a configuration or verification step.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1"/>
        </w:rPr>
        <w:t>• Usability: the demonstration should be understandable to a learner reviewing the project.</w:t>
      </w:r>
    </w:p>
    <w:p/>
    <w:p>
      <w:pPr>
        <w:spacing w:before="100" w:after="60" w:line="240" w:lineRule="auto"/>
      </w:pPr>
      <w:r>
        <w:rPr>
          <w:rFonts w:ascii="Arial" w:hAnsi="Arial" w:eastAsia="Arial"/>
          <w:b/>
          <w:color w:val="1F4E79"/>
          <w:sz w:val="23"/>
        </w:rPr>
        <w:t>2.4 User and Role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vAlign w:val="center"/>
            <w:shd w:fill="DDEB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Role</w:t>
            </w:r>
          </w:p>
        </w:tc>
        <w:tc>
          <w:tcPr>
            <w:tcW w:type="dxa" w:w="4320"/>
            <w:vAlign w:val="center"/>
            <w:shd w:fill="DDEB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Purpose in supplied design</w:t>
            </w:r>
          </w:p>
        </w:tc>
        <w:tc>
          <w:tcPr>
            <w:tcW w:type="dxa" w:w="3672"/>
            <w:vAlign w:val="center"/>
            <w:shd w:fill="DDEB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Permission layer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bb1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Required for the Read ACL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Read EEE records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bb2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Required for the Create ACL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Create records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bb3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Required for the Write ACL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Edit records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bb4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Required for the Delete ACL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Delete records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admin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Administrative override in the script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Full access in Read logic</w:t>
            </w:r>
          </w:p>
        </w:tc>
      </w:tr>
    </w:tbl>
    <w:p>
      <w:pPr>
        <w:spacing w:after="0"/>
      </w:pPr>
    </w:p>
    <w:p>
      <w:pPr>
        <w:spacing w:before="100" w:after="60" w:line="240" w:lineRule="auto"/>
      </w:pPr>
      <w:r>
        <w:rPr>
          <w:rFonts w:ascii="Arial" w:hAnsi="Arial" w:eastAsia="Arial"/>
          <w:b/>
          <w:color w:val="1F4E79"/>
          <w:sz w:val="23"/>
        </w:rPr>
        <w:t>2.5 Data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600"/>
            <w:vAlign w:val="center"/>
            <w:shd w:fill="DDEB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Field</w:t>
            </w:r>
          </w:p>
        </w:tc>
        <w:tc>
          <w:tcPr>
            <w:tcW w:type="dxa" w:w="2448"/>
            <w:vAlign w:val="center"/>
            <w:shd w:fill="DDEB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Type</w:t>
            </w:r>
          </w:p>
        </w:tc>
        <w:tc>
          <w:tcPr>
            <w:tcW w:type="dxa" w:w="3816"/>
            <w:vAlign w:val="center"/>
            <w:shd w:fill="DDEB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Purpose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Student Roll Number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Auto Number</w:t>
            </w:r>
          </w:p>
        </w:tc>
        <w:tc>
          <w:tcPr>
            <w:tcW w:type="dxa" w:w="38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Unique student record identifier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Student Name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Reference – User</w:t>
            </w:r>
          </w:p>
        </w:tc>
        <w:tc>
          <w:tcPr>
            <w:tcW w:type="dxa" w:w="38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Links the record to a ServiceNow user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Faculty Name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Reference – User</w:t>
            </w:r>
          </w:p>
        </w:tc>
        <w:tc>
          <w:tcPr>
            <w:tcW w:type="dxa" w:w="38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Stores the faculty/user reference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Branch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Choice</w:t>
            </w:r>
          </w:p>
        </w:tc>
        <w:tc>
          <w:tcPr>
            <w:tcW w:type="dxa" w:w="38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Stores ECE, EEE, or CSE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Email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String</w:t>
            </w:r>
          </w:p>
        </w:tc>
        <w:tc>
          <w:tcPr>
            <w:tcW w:type="dxa" w:w="38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Stores email information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Phone Number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String</w:t>
            </w:r>
          </w:p>
        </w:tc>
        <w:tc>
          <w:tcPr>
            <w:tcW w:type="dxa" w:w="38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Stores phone information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Description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Multi String</w:t>
            </w:r>
          </w:p>
        </w:tc>
        <w:tc>
          <w:tcPr>
            <w:tcW w:type="dxa" w:w="38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Stores additional record details</w:t>
            </w:r>
          </w:p>
        </w:tc>
      </w:tr>
    </w:tbl>
    <w:p>
      <w:pPr>
        <w:spacing w:after="0"/>
      </w:pPr>
    </w:p>
    <w:p>
      <w:pPr>
        <w:spacing w:before="100" w:after="60" w:line="240" w:lineRule="auto"/>
      </w:pPr>
      <w:r>
        <w:rPr>
          <w:rFonts w:ascii="Arial" w:hAnsi="Arial" w:eastAsia="Arial"/>
          <w:b/>
          <w:color w:val="1F4E79"/>
          <w:sz w:val="23"/>
        </w:rPr>
        <w:t>2.6 Acceptance Criteria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1"/>
        </w:rPr>
        <w:t>• bb1 user can view only EEE branch records according to the supplied verification.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1"/>
        </w:rPr>
        <w:t>• A user without the required Read role cannot view the protected records.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1"/>
        </w:rPr>
        <w:t>• An administrator can view all records.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1"/>
        </w:rPr>
        <w:t>• A user with bb1 and bb2 receives the Create capability described in the lab.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1"/>
        </w:rPr>
        <w:t>• A user with bb1, bb2 and bb3 can view and edit EEE records.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1"/>
        </w:rPr>
        <w:t>• A user with bb1, bb2, bb3 and bb4 can additionally delete EEE records.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