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E407C"/>
          <w:sz w:val="56"/>
        </w:rPr>
        <w:t>CardioKB Complete Study Guide</w:t>
      </w:r>
    </w:p>
    <w:p>
      <w:pPr>
        <w:jc w:val="center"/>
      </w:pPr>
      <w:r>
        <w:rPr>
          <w:color w:val="64748B"/>
          <w:sz w:val="28"/>
        </w:rPr>
        <w:t>Comprehensive Reference — Session Build July 10, 2026</w:t>
      </w:r>
    </w:p>
    <w:p/>
    <w:p>
      <w:pPr>
        <w:jc w:val="center"/>
      </w:pPr>
      <w:r>
        <w:rPr>
          <w:b/>
          <w:sz w:val="26"/>
        </w:rPr>
        <w:t>Asma Nawaz</w:t>
      </w:r>
    </w:p>
    <w:p>
      <w:pPr>
        <w:jc w:val="center"/>
      </w:pPr>
      <w:r>
        <w:rPr>
          <w:color w:val="64748B"/>
          <w:sz w:val="22"/>
        </w:rPr>
        <w:t>Ph.D. Project: 2026</w:t>
        <w:br/>
        <w:t>Moore Lab, Cedars-Sinai Medical Center</w:t>
      </w:r>
    </w:p>
    <w:p>
      <w:r>
        <w:br w:type="page"/>
      </w:r>
    </w:p>
    <w:p>
      <w:pPr>
        <w:pStyle w:val="Heading1"/>
      </w:pPr>
      <w:r>
        <w:t>Table of Contents</w:t>
      </w:r>
    </w:p>
    <w:p>
      <w:pPr>
        <w:spacing w:after="40"/>
      </w:pPr>
      <w:r>
        <w:t>1. What is CardioKB and Why It Exists</w:t>
      </w:r>
    </w:p>
    <w:p>
      <w:pPr>
        <w:spacing w:after="40"/>
      </w:pPr>
      <w:r>
        <w:t>2. Graph Overview — Current State</w:t>
      </w:r>
    </w:p>
    <w:p>
      <w:pPr>
        <w:spacing w:after="40"/>
        <w:ind w:left="720"/>
      </w:pPr>
      <w:r>
        <w:t>2.1 Scale and Structure</w:t>
      </w:r>
    </w:p>
    <w:p>
      <w:pPr>
        <w:spacing w:after="40"/>
        <w:ind w:left="720"/>
      </w:pPr>
      <w:r>
        <w:t>2.2 Node Types (17)</w:t>
      </w:r>
    </w:p>
    <w:p>
      <w:pPr>
        <w:spacing w:after="40"/>
        <w:ind w:left="720"/>
      </w:pPr>
      <w:r>
        <w:t>2.3 Relationship Types (28)</w:t>
      </w:r>
    </w:p>
    <w:p>
      <w:pPr>
        <w:spacing w:after="40"/>
        <w:ind w:left="720"/>
      </w:pPr>
      <w:r>
        <w:t>2.4 Data Sources (23 + 2 ML)</w:t>
      </w:r>
    </w:p>
    <w:p>
      <w:pPr>
        <w:spacing w:after="40"/>
        <w:ind w:left="720"/>
      </w:pPr>
      <w:r>
        <w:t>2.5 Orphan Nodes</w:t>
      </w:r>
    </w:p>
    <w:p>
      <w:pPr>
        <w:spacing w:after="40"/>
      </w:pPr>
      <w:r>
        <w:t>3. How the Graph Was Built — BaseAgent Pipeline</w:t>
      </w:r>
    </w:p>
    <w:p>
      <w:pPr>
        <w:spacing w:after="40"/>
        <w:ind w:left="720"/>
      </w:pPr>
      <w:r>
        <w:t>3.1 What BaseAgent Is</w:t>
      </w:r>
    </w:p>
    <w:p>
      <w:pPr>
        <w:spacing w:after="40"/>
        <w:ind w:left="720"/>
      </w:pPr>
      <w:r>
        <w:t>3.2 The Multi-Agent System</w:t>
      </w:r>
    </w:p>
    <w:p>
      <w:pPr>
        <w:spacing w:after="40"/>
        <w:ind w:left="720"/>
      </w:pPr>
      <w:r>
        <w:t>3.3 Pipeline Phases</w:t>
      </w:r>
    </w:p>
    <w:p>
      <w:pPr>
        <w:spacing w:after="40"/>
        <w:ind w:left="720"/>
      </w:pPr>
      <w:r>
        <w:t>3.4 HPC and SLURM</w:t>
      </w:r>
    </w:p>
    <w:p>
      <w:pPr>
        <w:spacing w:after="40"/>
      </w:pPr>
      <w:r>
        <w:t>4. Data Sources — All 23 in Detail</w:t>
      </w:r>
    </w:p>
    <w:p>
      <w:pPr>
        <w:spacing w:after="40"/>
        <w:ind w:left="720"/>
      </w:pPr>
      <w:r>
        <w:t>4.1 Direct Parsers (5)</w:t>
      </w:r>
    </w:p>
    <w:p>
      <w:pPr>
        <w:spacing w:after="40"/>
        <w:ind w:left="720"/>
      </w:pPr>
      <w:r>
        <w:t>4.2 Hetionet-Derived Component Parsers (15)</w:t>
      </w:r>
    </w:p>
    <w:p>
      <w:pPr>
        <w:spacing w:after="40"/>
        <w:ind w:left="720"/>
      </w:pPr>
      <w:r>
        <w:t>4.3 Additional Sources (3)</w:t>
      </w:r>
    </w:p>
    <w:p>
      <w:pPr>
        <w:spacing w:after="40"/>
        <w:ind w:left="720"/>
      </w:pPr>
      <w:r>
        <w:t>4.4 drugTreatsDisease Edge Aggregation</w:t>
      </w:r>
    </w:p>
    <w:p>
      <w:pPr>
        <w:spacing w:after="40"/>
      </w:pPr>
      <w:r>
        <w:t>5. ML Pipeline — Drug Repurposing Link Prediction</w:t>
      </w:r>
    </w:p>
    <w:p>
      <w:pPr>
        <w:spacing w:after="40"/>
        <w:ind w:left="720"/>
      </w:pPr>
      <w:r>
        <w:t>5.1 Why Link Prediction for Drug Repurposing</w:t>
      </w:r>
    </w:p>
    <w:p>
      <w:pPr>
        <w:spacing w:after="40"/>
        <w:ind w:left="720"/>
      </w:pPr>
      <w:r>
        <w:t>5.2 Data Preparation</w:t>
      </w:r>
    </w:p>
    <w:p>
      <w:pPr>
        <w:spacing w:after="40"/>
        <w:ind w:left="720"/>
      </w:pPr>
      <w:r>
        <w:t>5.3 RotatE</w:t>
      </w:r>
    </w:p>
    <w:p>
      <w:pPr>
        <w:spacing w:after="40"/>
        <w:ind w:left="720"/>
      </w:pPr>
      <w:r>
        <w:t>5.4 CompGCN (Graph Neural Network)</w:t>
      </w:r>
    </w:p>
    <w:p>
      <w:pPr>
        <w:spacing w:after="40"/>
        <w:ind w:left="720"/>
      </w:pPr>
      <w:r>
        <w:t>5.5 Decoders Compared</w:t>
      </w:r>
    </w:p>
    <w:p>
      <w:pPr>
        <w:spacing w:after="40"/>
        <w:ind w:left="720"/>
      </w:pPr>
      <w:r>
        <w:t>5.6 Full Results and Evaluation Metrics</w:t>
      </w:r>
    </w:p>
    <w:p>
      <w:pPr>
        <w:spacing w:after="40"/>
        <w:ind w:left="720"/>
      </w:pPr>
      <w:r>
        <w:t>5.7 Feature Importance</w:t>
      </w:r>
    </w:p>
    <w:p>
      <w:pPr>
        <w:spacing w:after="40"/>
        <w:ind w:left="720"/>
      </w:pPr>
      <w:r>
        <w:t>5.8 Clinical Validation</w:t>
      </w:r>
    </w:p>
    <w:p>
      <w:pPr>
        <w:spacing w:after="40"/>
        <w:ind w:left="720"/>
      </w:pPr>
      <w:r>
        <w:t>5.9 Why CompGCN Is the Primary UI Model</w:t>
      </w:r>
    </w:p>
    <w:p>
      <w:pPr>
        <w:spacing w:after="40"/>
        <w:ind w:left="720"/>
      </w:pPr>
      <w:r>
        <w:t>5.10 Confidence Score Interpretation</w:t>
      </w:r>
    </w:p>
    <w:p>
      <w:pPr>
        <w:spacing w:after="40"/>
        <w:ind w:left="720"/>
      </w:pPr>
      <w:r>
        <w:t>5.11 Prediction Coverage Analysis</w:t>
      </w:r>
    </w:p>
    <w:p>
      <w:pPr>
        <w:spacing w:after="40"/>
      </w:pPr>
      <w:r>
        <w:t>6. Bugs Found and Fixed</w:t>
      </w:r>
    </w:p>
    <w:p>
      <w:pPr>
        <w:spacing w:after="40"/>
        <w:ind w:left="720"/>
      </w:pPr>
      <w:r>
        <w:t>6.1 ClinicalTrials.gov Cartesian-Product Inference</w:t>
      </w:r>
    </w:p>
    <w:p>
      <w:pPr>
        <w:spacing w:after="40"/>
        <w:ind w:left="720"/>
      </w:pPr>
      <w:r>
        <w:t>6.2 Train/Test Data Leakage from Duplicate Rows</w:t>
      </w:r>
    </w:p>
    <w:p>
      <w:pPr>
        <w:spacing w:after="40"/>
        <w:ind w:left="720"/>
      </w:pPr>
      <w:r>
        <w:t>6.3 Self-Prediction Contamination</w:t>
      </w:r>
    </w:p>
    <w:p>
      <w:pPr>
        <w:spacing w:after="40"/>
        <w:ind w:left="720"/>
      </w:pPr>
      <w:r>
        <w:t>6.4 Predicted-Edge Duplication in Core Query</w:t>
      </w:r>
    </w:p>
    <w:p>
      <w:pPr>
        <w:spacing w:after="40"/>
        <w:ind w:left="720"/>
      </w:pPr>
      <w:r>
        <w:t>6.5 diseaseIsSubtypeOf Hierarchy Duplication</w:t>
      </w:r>
    </w:p>
    <w:p>
      <w:pPr>
        <w:spacing w:after="40"/>
        <w:ind w:left="720"/>
      </w:pPr>
      <w:r>
        <w:t>6.6 TOP_K Increase and Near-Data-Loss Incident</w:t>
      </w:r>
    </w:p>
    <w:p>
      <w:pPr>
        <w:spacing w:after="40"/>
      </w:pPr>
      <w:r>
        <w:t>7. UI/UX — Current State and Fixes</w:t>
      </w:r>
    </w:p>
    <w:p>
      <w:pPr>
        <w:spacing w:after="40"/>
        <w:ind w:left="720"/>
      </w:pPr>
      <w:r>
        <w:t>7.1 Explore Tab</w:t>
      </w:r>
    </w:p>
    <w:p>
      <w:pPr>
        <w:spacing w:after="40"/>
        <w:ind w:left="720"/>
      </w:pPr>
      <w:r>
        <w:t>7.2 Query Tab</w:t>
      </w:r>
    </w:p>
    <w:p>
      <w:pPr>
        <w:spacing w:after="40"/>
        <w:ind w:left="720"/>
      </w:pPr>
      <w:r>
        <w:t>7.3 ML Predicted Edges in the UI</w:t>
      </w:r>
    </w:p>
    <w:p>
      <w:pPr>
        <w:spacing w:after="40"/>
        <w:ind w:left="720"/>
      </w:pPr>
      <w:r>
        <w:t>7.4 RotatE Toggle Removal and API Filtering</w:t>
      </w:r>
    </w:p>
    <w:p>
      <w:pPr>
        <w:spacing w:after="40"/>
        <w:ind w:left="720"/>
      </w:pPr>
      <w:r>
        <w:t>7.5 Export Metadata and Truncation Indicators</w:t>
      </w:r>
    </w:p>
    <w:p>
      <w:pPr>
        <w:spacing w:after="40"/>
        <w:ind w:left="720"/>
      </w:pPr>
      <w:r>
        <w:t>7.6 Edge Provenance Panel</w:t>
      </w:r>
    </w:p>
    <w:p>
      <w:pPr>
        <w:spacing w:after="40"/>
        <w:ind w:left="720"/>
      </w:pPr>
      <w:r>
        <w:t>7.7 Admin Panel and System Check</w:t>
      </w:r>
    </w:p>
    <w:p>
      <w:pPr>
        <w:spacing w:after="40"/>
      </w:pPr>
      <w:r>
        <w:t>8. Known Limitations (Expected/Acceptable)</w:t>
      </w:r>
    </w:p>
    <w:p>
      <w:pPr>
        <w:spacing w:after="40"/>
      </w:pPr>
      <w:r>
        <w:t>9. Deployment</w:t>
      </w:r>
    </w:p>
    <w:p>
      <w:pPr>
        <w:spacing w:after="40"/>
        <w:ind w:left="720"/>
      </w:pPr>
      <w:r>
        <w:t>9.1 Current Deployment State</w:t>
      </w:r>
    </w:p>
    <w:p>
      <w:pPr>
        <w:spacing w:after="40"/>
        <w:ind w:left="720"/>
      </w:pPr>
      <w:r>
        <w:t>9.2 What Jay Needs to Do</w:t>
      </w:r>
    </w:p>
    <w:p>
      <w:pPr>
        <w:spacing w:after="40"/>
      </w:pPr>
      <w:r>
        <w:t>10. Open Questions / Revisit Later</w:t>
      </w:r>
    </w:p>
    <w:p>
      <w:r>
        <w:br w:type="page"/>
      </w:r>
    </w:p>
    <w:p>
      <w:pPr>
        <w:pStyle w:val="Heading1"/>
      </w:pPr>
      <w:r>
        <w:t>1. What is CardioKB and Why It Exists</w:t>
      </w:r>
    </w:p>
    <w:p>
      <w:pPr>
        <w:pStyle w:val="Heading2"/>
      </w:pPr>
      <w:r>
        <w:t>The Problem It Solves</w:t>
      </w:r>
    </w:p>
    <w:p>
      <w:r>
        <w:t>Cardiovascular disease (CVD) is the leading cause of death globally, responsible for approximately 17.9 million deaths per year. Researchers studying CVD need to understand complex relationships between genes, drugs, diseases, clinical trials, protein interactions, gene expression, and phenotypes. This information is scattered across dozens of separate databases, each with different formats, identifiers, and access methods.</w:t>
      </w:r>
    </w:p>
    <w:p>
      <w:r>
        <w:t>A researcher investigating whether a diabetes drug could be repurposed for heart failure would need to manually query DrugBank for drug targets, STRING for protein interactions, ClinicalTrials.gov for ongoing trials, CTD for chemical-gene expression effects, and many more. This process is slow, error-prone, and makes it nearly impossible to discover non-obvious multi-hop connections across data sources.</w:t>
      </w:r>
    </w:p>
    <w:p>
      <w:pPr>
        <w:pStyle w:val="Heading2"/>
      </w:pPr>
      <w:r>
        <w:t>What CardioKB Does</w:t>
      </w:r>
    </w:p>
    <w:p>
      <w:r>
        <w:t>CardioKB is a CVD-focused biomedical knowledge graph that integrates 23 deduplicated data sources into a single queryable graph database (Memgraph). The current graph contains:</w:t>
      </w:r>
    </w:p>
    <w:p>
      <w:pPr>
        <w:pStyle w:val="ListBullet"/>
        <w:ind w:left="720"/>
      </w:pPr>
      <w:r>
        <w:t>459,092 nodes across 17 distinct node types</w:t>
      </w:r>
    </w:p>
    <w:p>
      <w:pPr>
        <w:pStyle w:val="ListBullet"/>
        <w:ind w:left="720"/>
      </w:pPr>
      <w:r>
        <w:t>5,474,744 relationships across 28 relationship types</w:t>
      </w:r>
    </w:p>
    <w:p>
      <w:pPr>
        <w:pStyle w:val="ListBullet"/>
        <w:ind w:left="720"/>
      </w:pPr>
      <w:r>
        <w:t>23 data sources + 2 ML prediction sources (CompGCN, RotatE)</w:t>
      </w:r>
    </w:p>
    <w:p>
      <w:pPr>
        <w:pStyle w:val="ListBullet"/>
        <w:ind w:left="720"/>
      </w:pPr>
      <w:r>
        <w:t>Every relationship carries a source property identifying its originating database</w:t>
      </w:r>
    </w:p>
    <w:p>
      <w:r>
        <w:t>It provides four core capabilities:</w:t>
      </w:r>
    </w:p>
    <w:p>
      <w:pPr>
        <w:pStyle w:val="ListBullet"/>
        <w:ind w:left="720"/>
      </w:pPr>
      <w:r>
        <w:t>A unified graph where a single Cypher query can traverse from a drug to its gene targets to associated diseases to clinical trials testing those drugs</w:t>
      </w:r>
    </w:p>
    <w:p>
      <w:pPr>
        <w:pStyle w:val="ListBullet"/>
        <w:ind w:left="720"/>
      </w:pPr>
      <w:r>
        <w:t>An automated ETL pipeline that can rebuild the entire graph from source data in approximately 5 minutes using BaseAgent multi-agent orchestration</w:t>
      </w:r>
    </w:p>
    <w:p>
      <w:pPr>
        <w:pStyle w:val="ListBullet"/>
        <w:ind w:left="720"/>
      </w:pPr>
      <w:r>
        <w:t>A web interface for interactive exploration, AI-powered natural language querying, and disease subgraph extraction with JSON/CSV export</w:t>
      </w:r>
    </w:p>
    <w:p>
      <w:pPr>
        <w:pStyle w:val="ListBullet"/>
        <w:ind w:left="720"/>
      </w:pPr>
      <w:r>
        <w:t>An ML-based drug repurposing pipeline that uses knowledge graph embeddings (CompGCN, RotatE) to predict new drug-disease treatment relationships with AUROC up to 0.9865</w:t>
      </w:r>
    </w:p>
    <w:p>
      <w:pPr>
        <w:pStyle w:val="Heading2"/>
      </w:pPr>
      <w:r>
        <w:t>Why CVD Specifically</w:t>
      </w:r>
    </w:p>
    <w:p>
      <w:pPr>
        <w:pStyle w:val="ListBullet"/>
        <w:ind w:left="720"/>
      </w:pPr>
      <w:r>
        <w:t>Highest global mortality of any disease category (17.9 million deaths/year)</w:t>
      </w:r>
    </w:p>
    <w:p>
      <w:pPr>
        <w:pStyle w:val="ListBullet"/>
        <w:ind w:left="720"/>
      </w:pPr>
      <w:r>
        <w:t>Rich existing data ecosystem: extensive clinical trial data, well-characterized gene-disease associations, established drug targets</w:t>
      </w:r>
    </w:p>
    <w:p>
      <w:pPr>
        <w:pStyle w:val="ListBullet"/>
        <w:ind w:left="720"/>
      </w:pPr>
      <w:r>
        <w:t>Strong drug repurposing potential: many CVD drugs have complex polypharmacology, and the graph structure can reveal non-obvious therapeutic connections</w:t>
      </w:r>
    </w:p>
    <w:p>
      <w:r>
        <w:t>The knowledge graph architecture is disease-agnostic. Alternative disease filter files exist for Alzheimer's (35 terms), cancer (70 terms), asthma (48 terms), and diabetes (52 terms). Switching the disease focus requires only changing a symlink (ontology/disease_filter.txt). The current CVD filter contains 184 cardiovascular disease terms.</w:t>
      </w:r>
    </w:p>
    <w:p>
      <w:pPr>
        <w:pStyle w:val="Heading2"/>
      </w:pPr>
      <w:r>
        <w:t>How It Differs from Existing Resources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Differentiator</w:t>
            </w:r>
          </w:p>
        </w:tc>
        <w:tc>
          <w:tcPr>
            <w:tcW w:type="dxa" w:w="3685"/>
          </w:tcPr>
          <w:p>
            <w:r>
              <w:rPr>
                <w:b/>
                <w:sz w:val="18"/>
              </w:rPr>
              <w:t>CardioKB</w:t>
            </w:r>
          </w:p>
        </w:tc>
        <w:tc>
          <w:tcPr>
            <w:tcW w:type="dxa" w:w="3685"/>
          </w:tcPr>
          <w:p>
            <w:r>
              <w:rPr>
                <w:b/>
                <w:sz w:val="18"/>
              </w:rPr>
              <w:t>Existing KGs (Hetionet, DRKG, PrimeKG)</w:t>
            </w:r>
          </w:p>
        </w:tc>
      </w:tr>
      <w:tr>
        <w:tc>
          <w:tcPr>
            <w:tcW w:type="dxa" w:w="1701"/>
          </w:tcPr>
          <w:p>
            <w:r>
              <w:rPr>
                <w:sz w:val="18"/>
              </w:rPr>
              <w:t>Disease focus</w:t>
            </w:r>
          </w:p>
        </w:tc>
        <w:tc>
          <w:tcPr>
            <w:tcW w:type="dxa" w:w="3685"/>
          </w:tcPr>
          <w:p>
            <w:r>
              <w:rPr>
                <w:sz w:val="18"/>
              </w:rPr>
              <w:t>184-term CVD filter ensures relevant edges, reduces noise</w:t>
            </w:r>
          </w:p>
        </w:tc>
        <w:tc>
          <w:tcPr>
            <w:tcW w:type="dxa" w:w="3685"/>
          </w:tcPr>
          <w:p>
            <w:r>
              <w:rPr>
                <w:sz w:val="18"/>
              </w:rPr>
              <w:t>General-purpose, no filtering</w:t>
            </w:r>
          </w:p>
        </w:tc>
      </w:tr>
      <w:tr>
        <w:tc>
          <w:tcPr>
            <w:tcW w:type="dxa" w:w="1701"/>
          </w:tcPr>
          <w:p>
            <w:r>
              <w:rPr>
                <w:sz w:val="18"/>
              </w:rPr>
              <w:t>Automated rebuild</w:t>
            </w:r>
          </w:p>
        </w:tc>
        <w:tc>
          <w:tcPr>
            <w:tcW w:type="dxa" w:w="3685"/>
          </w:tcPr>
          <w:p>
            <w:r>
              <w:rPr>
                <w:sz w:val="18"/>
              </w:rPr>
              <w:t>BaseAgent multi-agent pipeline rebuilds in ~5 min</w:t>
            </w:r>
          </w:p>
        </w:tc>
        <w:tc>
          <w:tcPr>
            <w:tcW w:type="dxa" w:w="3685"/>
          </w:tcPr>
          <w:p>
            <w:r>
              <w:rPr>
                <w:sz w:val="18"/>
              </w:rPr>
              <w:t>Manual builds take weeks/months</w:t>
            </w:r>
          </w:p>
        </w:tc>
      </w:tr>
      <w:tr>
        <w:tc>
          <w:tcPr>
            <w:tcW w:type="dxa" w:w="1701"/>
          </w:tcPr>
          <w:p>
            <w:r>
              <w:rPr>
                <w:sz w:val="18"/>
              </w:rPr>
              <w:t>Integrated ML</w:t>
            </w:r>
          </w:p>
        </w:tc>
        <w:tc>
          <w:tcPr>
            <w:tcW w:type="dxa" w:w="3685"/>
          </w:tcPr>
          <w:p>
            <w:r>
              <w:rPr>
                <w:sz w:val="18"/>
              </w:rPr>
              <w:t>20,000 predicted drug-disease edges in graph with confidence scores</w:t>
            </w:r>
          </w:p>
        </w:tc>
        <w:tc>
          <w:tcPr>
            <w:tcW w:type="dxa" w:w="3685"/>
          </w:tcPr>
          <w:p>
            <w:r>
              <w:rPr>
                <w:sz w:val="18"/>
              </w:rPr>
              <w:t>ML predictions separate from graph</w:t>
            </w:r>
          </w:p>
        </w:tc>
      </w:tr>
      <w:tr>
        <w:tc>
          <w:tcPr>
            <w:tcW w:type="dxa" w:w="1701"/>
          </w:tcPr>
          <w:p>
            <w:r>
              <w:rPr>
                <w:sz w:val="18"/>
              </w:rPr>
              <w:t>Provenance tracking</w:t>
            </w:r>
          </w:p>
        </w:tc>
        <w:tc>
          <w:tcPr>
            <w:tcW w:type="dxa" w:w="3685"/>
          </w:tcPr>
          <w:p>
            <w:r>
              <w:rPr>
                <w:sz w:val="18"/>
              </w:rPr>
              <w:t>Every edge carries source property</w:t>
            </w:r>
          </w:p>
        </w:tc>
        <w:tc>
          <w:tcPr>
            <w:tcW w:type="dxa" w:w="3685"/>
          </w:tcPr>
          <w:p>
            <w:r>
              <w:rPr>
                <w:sz w:val="18"/>
              </w:rPr>
              <w:t>Limited or no per-edge provenance</w:t>
            </w:r>
          </w:p>
        </w:tc>
      </w:tr>
      <w:tr>
        <w:tc>
          <w:tcPr>
            <w:tcW w:type="dxa" w:w="1701"/>
          </w:tcPr>
          <w:p>
            <w:r>
              <w:rPr>
                <w:sz w:val="18"/>
              </w:rPr>
              <w:t>Deduplication</w:t>
            </w:r>
          </w:p>
        </w:tc>
        <w:tc>
          <w:tcPr>
            <w:tcW w:type="dxa" w:w="3685"/>
          </w:tcPr>
          <w:p>
            <w:r>
              <w:rPr>
                <w:sz w:val="18"/>
              </w:rPr>
              <w:t>14 redundant sources removed after systematic audit</w:t>
            </w:r>
          </w:p>
        </w:tc>
        <w:tc>
          <w:tcPr>
            <w:tcW w:type="dxa" w:w="3685"/>
          </w:tcPr>
          <w:p>
            <w:r>
              <w:rPr>
                <w:sz w:val="18"/>
              </w:rPr>
              <w:t>Often include overlapping sources</w:t>
            </w:r>
          </w:p>
        </w:tc>
      </w:tr>
    </w:tbl>
    <w:p/>
    <w:p>
      <w:r>
        <w:br w:type="page"/>
      </w:r>
    </w:p>
    <w:p>
      <w:pPr>
        <w:pStyle w:val="Heading1"/>
      </w:pPr>
      <w:r>
        <w:t>2. Graph Overview — Current State (Live from Memgraph, July 10 2026)</w:t>
      </w:r>
    </w:p>
    <w:p>
      <w:pPr>
        <w:pStyle w:val="Heading2"/>
      </w:pPr>
      <w:r>
        <w:t>2.1 Scale and Structure</w:t>
      </w:r>
    </w:p>
    <w:p>
      <w:r>
        <w:t>The current CardioKB graph contains 459,092 nodes across 17 distinct node types and 5,474,744 relationships across 28 relationship types. There are 22 distinct source labels (20 database sources + 2 ML prediction sources). Every single relationship in the graph carries a source property identifying which database or model produced it. The graph is stored in Memgraph, an in-memory graph database occupying ~14 GB RAM.</w:t>
      </w:r>
    </w:p>
    <w:p>
      <w:pPr>
        <w:pStyle w:val="Heading2"/>
      </w:pPr>
      <w:r>
        <w:t>2.2 Node Types (17)</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7"/>
          </w:tcPr>
          <w:p>
            <w:r>
              <w:rPr>
                <w:b/>
                <w:sz w:val="18"/>
              </w:rPr>
              <w:t>Node Type</w:t>
            </w:r>
          </w:p>
        </w:tc>
        <w:tc>
          <w:tcPr>
            <w:tcW w:type="dxa" w:w="850"/>
          </w:tcPr>
          <w:p>
            <w:r>
              <w:rPr>
                <w:b/>
                <w:sz w:val="18"/>
              </w:rPr>
              <w:t>Count</w:t>
            </w:r>
          </w:p>
        </w:tc>
        <w:tc>
          <w:tcPr>
            <w:tcW w:type="dxa" w:w="1247"/>
          </w:tcPr>
          <w:p>
            <w:r>
              <w:rPr>
                <w:b/>
                <w:sz w:val="18"/>
              </w:rPr>
              <w:t>Primary Source</w:t>
            </w:r>
          </w:p>
        </w:tc>
        <w:tc>
          <w:tcPr>
            <w:tcW w:type="dxa" w:w="5669"/>
          </w:tcPr>
          <w:p>
            <w:r>
              <w:rPr>
                <w:b/>
                <w:sz w:val="18"/>
              </w:rPr>
              <w:t>Biological Meaning</w:t>
            </w:r>
          </w:p>
        </w:tc>
      </w:tr>
      <w:tr>
        <w:tc>
          <w:tcPr>
            <w:tcW w:type="dxa" w:w="1587"/>
          </w:tcPr>
          <w:p>
            <w:r>
              <w:rPr>
                <w:sz w:val="18"/>
              </w:rPr>
              <w:t>Gene</w:t>
            </w:r>
          </w:p>
        </w:tc>
        <w:tc>
          <w:tcPr>
            <w:tcW w:type="dxa" w:w="850"/>
          </w:tcPr>
          <w:p>
            <w:r>
              <w:rPr>
                <w:sz w:val="18"/>
              </w:rPr>
              <w:t>193,795</w:t>
            </w:r>
          </w:p>
        </w:tc>
        <w:tc>
          <w:tcPr>
            <w:tcW w:type="dxa" w:w="1247"/>
          </w:tcPr>
          <w:p>
            <w:r>
              <w:rPr>
                <w:sz w:val="18"/>
              </w:rPr>
              <w:t>NCBI Gene</w:t>
            </w:r>
          </w:p>
        </w:tc>
        <w:tc>
          <w:tcPr>
            <w:tcW w:type="dxa" w:w="5669"/>
          </w:tcPr>
          <w:p>
            <w:r>
              <w:rPr>
                <w:sz w:val="18"/>
              </w:rPr>
              <w:t>DNA segment encoding a protein/RNA. Central hub — most entities connect through genes.</w:t>
            </w:r>
          </w:p>
        </w:tc>
      </w:tr>
      <w:tr>
        <w:tc>
          <w:tcPr>
            <w:tcW w:type="dxa" w:w="1587"/>
          </w:tcPr>
          <w:p>
            <w:r>
              <w:rPr>
                <w:sz w:val="18"/>
              </w:rPr>
              <w:t>Variant</w:t>
            </w:r>
          </w:p>
        </w:tc>
        <w:tc>
          <w:tcPr>
            <w:tcW w:type="dxa" w:w="850"/>
          </w:tcPr>
          <w:p>
            <w:r>
              <w:rPr>
                <w:sz w:val="18"/>
              </w:rPr>
              <w:t>135,555</w:t>
            </w:r>
          </w:p>
        </w:tc>
        <w:tc>
          <w:tcPr>
            <w:tcW w:type="dxa" w:w="1247"/>
          </w:tcPr>
          <w:p>
            <w:r>
              <w:rPr>
                <w:sz w:val="18"/>
              </w:rPr>
              <w:t>ClinVar</w:t>
            </w:r>
          </w:p>
        </w:tc>
        <w:tc>
          <w:tcPr>
            <w:tcW w:type="dxa" w:w="5669"/>
          </w:tcPr>
          <w:p>
            <w:r>
              <w:rPr>
                <w:sz w:val="18"/>
              </w:rPr>
              <w:t>Genetic mutation/polymorphism (e.g., rs429358). Carries clinicalSignificance.</w:t>
            </w:r>
          </w:p>
        </w:tc>
      </w:tr>
      <w:tr>
        <w:tc>
          <w:tcPr>
            <w:tcW w:type="dxa" w:w="1587"/>
          </w:tcPr>
          <w:p>
            <w:r>
              <w:rPr>
                <w:sz w:val="18"/>
              </w:rPr>
              <w:t>Drug</w:t>
            </w:r>
          </w:p>
        </w:tc>
        <w:tc>
          <w:tcPr>
            <w:tcW w:type="dxa" w:w="850"/>
          </w:tcPr>
          <w:p>
            <w:r>
              <w:rPr>
                <w:sz w:val="18"/>
              </w:rPr>
              <w:t>32,849</w:t>
            </w:r>
          </w:p>
        </w:tc>
        <w:tc>
          <w:tcPr>
            <w:tcW w:type="dxa" w:w="1247"/>
          </w:tcPr>
          <w:p>
            <w:r>
              <w:rPr>
                <w:sz w:val="18"/>
              </w:rPr>
              <w:t>DrugBank + CTD</w:t>
            </w:r>
          </w:p>
        </w:tc>
        <w:tc>
          <w:tcPr>
            <w:tcW w:type="dxa" w:w="5669"/>
          </w:tcPr>
          <w:p>
            <w:r>
              <w:rPr>
                <w:sz w:val="18"/>
              </w:rPr>
              <w:t>Chemical compound with pharmacological activity. Identified by DrugBank ID.</w:t>
            </w:r>
          </w:p>
        </w:tc>
      </w:tr>
      <w:tr>
        <w:tc>
          <w:tcPr>
            <w:tcW w:type="dxa" w:w="1587"/>
          </w:tcPr>
          <w:p>
            <w:r>
              <w:rPr>
                <w:sz w:val="18"/>
              </w:rPr>
              <w:t>BiologicalProcess</w:t>
            </w:r>
          </w:p>
        </w:tc>
        <w:tc>
          <w:tcPr>
            <w:tcW w:type="dxa" w:w="850"/>
          </w:tcPr>
          <w:p>
            <w:r>
              <w:rPr>
                <w:sz w:val="18"/>
              </w:rPr>
              <w:t>24,428</w:t>
            </w:r>
          </w:p>
        </w:tc>
        <w:tc>
          <w:tcPr>
            <w:tcW w:type="dxa" w:w="1247"/>
          </w:tcPr>
          <w:p>
            <w:r>
              <w:rPr>
                <w:sz w:val="18"/>
              </w:rPr>
              <w:t>Gene Ontology</w:t>
            </w:r>
          </w:p>
        </w:tc>
        <w:tc>
          <w:tcPr>
            <w:tcW w:type="dxa" w:w="5669"/>
          </w:tcPr>
          <w:p>
            <w:r>
              <w:rPr>
                <w:sz w:val="18"/>
              </w:rPr>
              <w:t>Recognized biological activity (e.g., "apoptotic process"). GO BP ontology.</w:t>
            </w:r>
          </w:p>
        </w:tc>
      </w:tr>
      <w:tr>
        <w:tc>
          <w:tcPr>
            <w:tcW w:type="dxa" w:w="1587"/>
          </w:tcPr>
          <w:p>
            <w:r>
              <w:rPr>
                <w:sz w:val="18"/>
              </w:rPr>
              <w:t>ClinicalTrial</w:t>
            </w:r>
          </w:p>
        </w:tc>
        <w:tc>
          <w:tcPr>
            <w:tcW w:type="dxa" w:w="850"/>
          </w:tcPr>
          <w:p>
            <w:r>
              <w:rPr>
                <w:sz w:val="18"/>
              </w:rPr>
              <w:t>21,578</w:t>
            </w:r>
          </w:p>
        </w:tc>
        <w:tc>
          <w:tcPr>
            <w:tcW w:type="dxa" w:w="1247"/>
          </w:tcPr>
          <w:p>
            <w:r>
              <w:rPr>
                <w:sz w:val="18"/>
              </w:rPr>
              <w:t>ClinicalTrials.gov</w:t>
            </w:r>
          </w:p>
        </w:tc>
        <w:tc>
          <w:tcPr>
            <w:tcW w:type="dxa" w:w="5669"/>
          </w:tcPr>
          <w:p>
            <w:r>
              <w:rPr>
                <w:sz w:val="18"/>
              </w:rPr>
              <w:t>Registered clinical study with phase, status, sponsor, NCT number.</w:t>
            </w:r>
          </w:p>
        </w:tc>
      </w:tr>
      <w:tr>
        <w:tc>
          <w:tcPr>
            <w:tcW w:type="dxa" w:w="1587"/>
          </w:tcPr>
          <w:p>
            <w:r>
              <w:rPr>
                <w:sz w:val="18"/>
              </w:rPr>
              <w:t>Phenotype</w:t>
            </w:r>
          </w:p>
        </w:tc>
        <w:tc>
          <w:tcPr>
            <w:tcW w:type="dxa" w:w="850"/>
          </w:tcPr>
          <w:p>
            <w:r>
              <w:rPr>
                <w:sz w:val="18"/>
              </w:rPr>
              <w:t>19,389</w:t>
            </w:r>
          </w:p>
        </w:tc>
        <w:tc>
          <w:tcPr>
            <w:tcW w:type="dxa" w:w="1247"/>
          </w:tcPr>
          <w:p>
            <w:r>
              <w:rPr>
                <w:sz w:val="18"/>
              </w:rPr>
              <w:t>HPO</w:t>
            </w:r>
          </w:p>
        </w:tc>
        <w:tc>
          <w:tcPr>
            <w:tcW w:type="dxa" w:w="5669"/>
          </w:tcPr>
          <w:p>
            <w:r>
              <w:rPr>
                <w:sz w:val="18"/>
              </w:rPr>
              <w:t>Observable clinical feature (e.g., "cardiomegaly"). Human Phenotype Ontology.</w:t>
            </w:r>
          </w:p>
        </w:tc>
      </w:tr>
      <w:tr>
        <w:tc>
          <w:tcPr>
            <w:tcW w:type="dxa" w:w="1587"/>
          </w:tcPr>
          <w:p>
            <w:r>
              <w:rPr>
                <w:sz w:val="18"/>
              </w:rPr>
              <w:t>MolecularFunction</w:t>
            </w:r>
          </w:p>
        </w:tc>
        <w:tc>
          <w:tcPr>
            <w:tcW w:type="dxa" w:w="850"/>
          </w:tcPr>
          <w:p>
            <w:r>
              <w:rPr>
                <w:sz w:val="18"/>
              </w:rPr>
              <w:t>10,056</w:t>
            </w:r>
          </w:p>
        </w:tc>
        <w:tc>
          <w:tcPr>
            <w:tcW w:type="dxa" w:w="1247"/>
          </w:tcPr>
          <w:p>
            <w:r>
              <w:rPr>
                <w:sz w:val="18"/>
              </w:rPr>
              <w:t>Gene Ontology</w:t>
            </w:r>
          </w:p>
        </w:tc>
        <w:tc>
          <w:tcPr>
            <w:tcW w:type="dxa" w:w="5669"/>
          </w:tcPr>
          <w:p>
            <w:r>
              <w:rPr>
                <w:sz w:val="18"/>
              </w:rPr>
              <w:t>What a gene product does at molecular level (e.g., "kinase activity").</w:t>
            </w:r>
          </w:p>
        </w:tc>
      </w:tr>
      <w:tr>
        <w:tc>
          <w:tcPr>
            <w:tcW w:type="dxa" w:w="1587"/>
          </w:tcPr>
          <w:p>
            <w:r>
              <w:rPr>
                <w:sz w:val="18"/>
              </w:rPr>
              <w:t>GeneFamily</w:t>
            </w:r>
          </w:p>
        </w:tc>
        <w:tc>
          <w:tcPr>
            <w:tcW w:type="dxa" w:w="850"/>
          </w:tcPr>
          <w:p>
            <w:r>
              <w:rPr>
                <w:sz w:val="18"/>
              </w:rPr>
              <w:t>4,257</w:t>
            </w:r>
          </w:p>
        </w:tc>
        <w:tc>
          <w:tcPr>
            <w:tcW w:type="dxa" w:w="1247"/>
          </w:tcPr>
          <w:p>
            <w:r>
              <w:rPr>
                <w:sz w:val="18"/>
              </w:rPr>
              <w:t>HGNC</w:t>
            </w:r>
          </w:p>
        </w:tc>
        <w:tc>
          <w:tcPr>
            <w:tcW w:type="dxa" w:w="5669"/>
          </w:tcPr>
          <w:p>
            <w:r>
              <w:rPr>
                <w:sz w:val="18"/>
              </w:rPr>
              <w:t>Group of genes sharing common ancestor/function (e.g., ABC transporters).</w:t>
            </w:r>
          </w:p>
        </w:tc>
      </w:tr>
      <w:tr>
        <w:tc>
          <w:tcPr>
            <w:tcW w:type="dxa" w:w="1587"/>
          </w:tcPr>
          <w:p>
            <w:r>
              <w:rPr>
                <w:sz w:val="18"/>
              </w:rPr>
              <w:t>CellularComponent</w:t>
            </w:r>
          </w:p>
        </w:tc>
        <w:tc>
          <w:tcPr>
            <w:tcW w:type="dxa" w:w="850"/>
          </w:tcPr>
          <w:p>
            <w:r>
              <w:rPr>
                <w:sz w:val="18"/>
              </w:rPr>
              <w:t>4,076</w:t>
            </w:r>
          </w:p>
        </w:tc>
        <w:tc>
          <w:tcPr>
            <w:tcW w:type="dxa" w:w="1247"/>
          </w:tcPr>
          <w:p>
            <w:r>
              <w:rPr>
                <w:sz w:val="18"/>
              </w:rPr>
              <w:t>Gene Ontology</w:t>
            </w:r>
          </w:p>
        </w:tc>
        <w:tc>
          <w:tcPr>
            <w:tcW w:type="dxa" w:w="5669"/>
          </w:tcPr>
          <w:p>
            <w:r>
              <w:rPr>
                <w:sz w:val="18"/>
              </w:rPr>
              <w:t>Where gene product is located in cell (e.g., "mitochondria").</w:t>
            </w:r>
          </w:p>
        </w:tc>
      </w:tr>
      <w:tr>
        <w:tc>
          <w:tcPr>
            <w:tcW w:type="dxa" w:w="1587"/>
          </w:tcPr>
          <w:p>
            <w:r>
              <w:rPr>
                <w:sz w:val="18"/>
              </w:rPr>
              <w:t>Disease</w:t>
            </w:r>
          </w:p>
        </w:tc>
        <w:tc>
          <w:tcPr>
            <w:tcW w:type="dxa" w:w="850"/>
          </w:tcPr>
          <w:p>
            <w:r>
              <w:rPr>
                <w:sz w:val="18"/>
              </w:rPr>
              <w:t>3,442</w:t>
            </w:r>
          </w:p>
        </w:tc>
        <w:tc>
          <w:tcPr>
            <w:tcW w:type="dxa" w:w="1247"/>
          </w:tcPr>
          <w:p>
            <w:r>
              <w:rPr>
                <w:sz w:val="18"/>
              </w:rPr>
              <w:t>Disease Ontology</w:t>
            </w:r>
          </w:p>
        </w:tc>
        <w:tc>
          <w:tcPr>
            <w:tcW w:type="dxa" w:w="5669"/>
          </w:tcPr>
          <w:p>
            <w:r>
              <w:rPr>
                <w:sz w:val="18"/>
              </w:rPr>
              <w:t>Disease entity with DOID identifier. Hierarchical subtype relationships.</w:t>
            </w:r>
          </w:p>
        </w:tc>
      </w:tr>
      <w:tr>
        <w:tc>
          <w:tcPr>
            <w:tcW w:type="dxa" w:w="1587"/>
          </w:tcPr>
          <w:p>
            <w:r>
              <w:rPr>
                <w:sz w:val="18"/>
              </w:rPr>
              <w:t>Pathway</w:t>
            </w:r>
          </w:p>
        </w:tc>
        <w:tc>
          <w:tcPr>
            <w:tcW w:type="dxa" w:w="850"/>
          </w:tcPr>
          <w:p>
            <w:r>
              <w:rPr>
                <w:sz w:val="18"/>
              </w:rPr>
              <w:t>2,870</w:t>
            </w:r>
          </w:p>
        </w:tc>
        <w:tc>
          <w:tcPr>
            <w:tcW w:type="dxa" w:w="1247"/>
          </w:tcPr>
          <w:p>
            <w:r>
              <w:rPr>
                <w:sz w:val="18"/>
              </w:rPr>
              <w:t>Reactome</w:t>
            </w:r>
          </w:p>
        </w:tc>
        <w:tc>
          <w:tcPr>
            <w:tcW w:type="dxa" w:w="5669"/>
          </w:tcPr>
          <w:p>
            <w:r>
              <w:rPr>
                <w:sz w:val="18"/>
              </w:rPr>
              <w:t>Molecular interaction series leading to biological outcome.</w:t>
            </w:r>
          </w:p>
        </w:tc>
      </w:tr>
      <w:tr>
        <w:tc>
          <w:tcPr>
            <w:tcW w:type="dxa" w:w="1587"/>
          </w:tcPr>
          <w:p>
            <w:r>
              <w:rPr>
                <w:sz w:val="18"/>
              </w:rPr>
              <w:t>PharmacologicClass</w:t>
            </w:r>
          </w:p>
        </w:tc>
        <w:tc>
          <w:tcPr>
            <w:tcW w:type="dxa" w:w="850"/>
          </w:tcPr>
          <w:p>
            <w:r>
              <w:rPr>
                <w:sz w:val="18"/>
              </w:rPr>
              <w:t>2,359</w:t>
            </w:r>
          </w:p>
        </w:tc>
        <w:tc>
          <w:tcPr>
            <w:tcW w:type="dxa" w:w="1247"/>
          </w:tcPr>
          <w:p>
            <w:r>
              <w:rPr>
                <w:sz w:val="18"/>
              </w:rPr>
              <w:t>DrugCentral</w:t>
            </w:r>
          </w:p>
        </w:tc>
        <w:tc>
          <w:tcPr>
            <w:tcW w:type="dxa" w:w="5669"/>
          </w:tcPr>
          <w:p>
            <w:r>
              <w:rPr>
                <w:sz w:val="18"/>
              </w:rPr>
              <w:t>FDA-defined drug class (e.g., "HMG-CoA Reductase Inhibitor").</w:t>
            </w:r>
          </w:p>
        </w:tc>
      </w:tr>
      <w:tr>
        <w:tc>
          <w:tcPr>
            <w:tcW w:type="dxa" w:w="1587"/>
          </w:tcPr>
          <w:p>
            <w:r>
              <w:rPr>
                <w:sz w:val="18"/>
              </w:rPr>
              <w:t>SideEffect</w:t>
            </w:r>
          </w:p>
        </w:tc>
        <w:tc>
          <w:tcPr>
            <w:tcW w:type="dxa" w:w="850"/>
          </w:tcPr>
          <w:p>
            <w:r>
              <w:rPr>
                <w:sz w:val="18"/>
              </w:rPr>
              <w:t>2,227</w:t>
            </w:r>
          </w:p>
        </w:tc>
        <w:tc>
          <w:tcPr>
            <w:tcW w:type="dxa" w:w="1247"/>
          </w:tcPr>
          <w:p>
            <w:r>
              <w:rPr>
                <w:sz w:val="18"/>
              </w:rPr>
              <w:t>SIDER</w:t>
            </w:r>
          </w:p>
        </w:tc>
        <w:tc>
          <w:tcPr>
            <w:tcW w:type="dxa" w:w="5669"/>
          </w:tcPr>
          <w:p>
            <w:r>
              <w:rPr>
                <w:sz w:val="18"/>
              </w:rPr>
              <w:t>Adverse drug reaction (e.g., "headache", "nausea").</w:t>
            </w:r>
          </w:p>
        </w:tc>
      </w:tr>
      <w:tr>
        <w:tc>
          <w:tcPr>
            <w:tcW w:type="dxa" w:w="1587"/>
          </w:tcPr>
          <w:p>
            <w:r>
              <w:rPr>
                <w:sz w:val="18"/>
              </w:rPr>
              <w:t>BodyPart</w:t>
            </w:r>
          </w:p>
        </w:tc>
        <w:tc>
          <w:tcPr>
            <w:tcW w:type="dxa" w:w="850"/>
          </w:tcPr>
          <w:p>
            <w:r>
              <w:rPr>
                <w:sz w:val="18"/>
              </w:rPr>
              <w:t>1,400</w:t>
            </w:r>
          </w:p>
        </w:tc>
        <w:tc>
          <w:tcPr>
            <w:tcW w:type="dxa" w:w="1247"/>
          </w:tcPr>
          <w:p>
            <w:r>
              <w:rPr>
                <w:sz w:val="18"/>
              </w:rPr>
              <w:t>Uberon</w:t>
            </w:r>
          </w:p>
        </w:tc>
        <w:tc>
          <w:tcPr>
            <w:tcW w:type="dxa" w:w="5669"/>
          </w:tcPr>
          <w:p>
            <w:r>
              <w:rPr>
                <w:sz w:val="18"/>
              </w:rPr>
              <w:t>Anatomical structure (e.g., "heart", "aorta"). Connected via Bgee expression.</w:t>
            </w:r>
          </w:p>
        </w:tc>
      </w:tr>
      <w:tr>
        <w:tc>
          <w:tcPr>
            <w:tcW w:type="dxa" w:w="1587"/>
          </w:tcPr>
          <w:p>
            <w:r>
              <w:rPr>
                <w:sz w:val="18"/>
              </w:rPr>
              <w:t>Symptom</w:t>
            </w:r>
          </w:p>
        </w:tc>
        <w:tc>
          <w:tcPr>
            <w:tcW w:type="dxa" w:w="850"/>
          </w:tcPr>
          <w:p>
            <w:r>
              <w:rPr>
                <w:sz w:val="18"/>
              </w:rPr>
              <w:t>415</w:t>
            </w:r>
          </w:p>
        </w:tc>
        <w:tc>
          <w:tcPr>
            <w:tcW w:type="dxa" w:w="1247"/>
          </w:tcPr>
          <w:p>
            <w:r>
              <w:rPr>
                <w:sz w:val="18"/>
              </w:rPr>
              <w:t>MeSH</w:t>
            </w:r>
          </w:p>
        </w:tc>
        <w:tc>
          <w:tcPr>
            <w:tcW w:type="dxa" w:w="5669"/>
          </w:tcPr>
          <w:p>
            <w:r>
              <w:rPr>
                <w:sz w:val="18"/>
              </w:rPr>
              <w:t>Clinical symptom from NCBI Medical Subject Headings. Currently ~100% orphans.</w:t>
            </w:r>
          </w:p>
        </w:tc>
      </w:tr>
      <w:tr>
        <w:tc>
          <w:tcPr>
            <w:tcW w:type="dxa" w:w="1587"/>
          </w:tcPr>
          <w:p>
            <w:r>
              <w:rPr>
                <w:sz w:val="18"/>
              </w:rPr>
              <w:t>TranscriptionFactor</w:t>
            </w:r>
          </w:p>
        </w:tc>
        <w:tc>
          <w:tcPr>
            <w:tcW w:type="dxa" w:w="850"/>
          </w:tcPr>
          <w:p>
            <w:r>
              <w:rPr>
                <w:sz w:val="18"/>
              </w:rPr>
              <w:t>367</w:t>
            </w:r>
          </w:p>
        </w:tc>
        <w:tc>
          <w:tcPr>
            <w:tcW w:type="dxa" w:w="1247"/>
          </w:tcPr>
          <w:p>
            <w:r>
              <w:rPr>
                <w:sz w:val="18"/>
              </w:rPr>
              <w:t>DoRothEA</w:t>
            </w:r>
          </w:p>
        </w:tc>
        <w:tc>
          <w:tcPr>
            <w:tcW w:type="dxa" w:w="5669"/>
          </w:tcPr>
          <w:p>
            <w:r>
              <w:rPr>
                <w:sz w:val="18"/>
              </w:rPr>
              <w:t>Protein regulating gene expression. morScore: +1=activates, -1=represses.</w:t>
            </w:r>
          </w:p>
        </w:tc>
      </w:tr>
      <w:tr>
        <w:tc>
          <w:tcPr>
            <w:tcW w:type="dxa" w:w="1587"/>
          </w:tcPr>
          <w:p>
            <w:r>
              <w:rPr>
                <w:sz w:val="18"/>
              </w:rPr>
              <w:t>DrugLabel</w:t>
            </w:r>
          </w:p>
        </w:tc>
        <w:tc>
          <w:tcPr>
            <w:tcW w:type="dxa" w:w="850"/>
          </w:tcPr>
          <w:p>
            <w:r>
              <w:rPr>
                <w:sz w:val="18"/>
              </w:rPr>
              <w:t>29</w:t>
            </w:r>
          </w:p>
        </w:tc>
        <w:tc>
          <w:tcPr>
            <w:tcW w:type="dxa" w:w="1247"/>
          </w:tcPr>
          <w:p>
            <w:r>
              <w:rPr>
                <w:sz w:val="18"/>
              </w:rPr>
              <w:t>ClinPGx</w:t>
            </w:r>
          </w:p>
        </w:tc>
        <w:tc>
          <w:tcPr>
            <w:tcW w:type="dxa" w:w="5669"/>
          </w:tcPr>
          <w:p>
            <w:r>
              <w:rPr>
                <w:sz w:val="18"/>
              </w:rPr>
              <w:t>FDA pharmacogenomic drug label annotation.</w:t>
            </w:r>
          </w:p>
        </w:tc>
      </w:tr>
    </w:tbl>
    <w:p/>
    <w:p>
      <w:pPr>
        <w:pStyle w:val="Heading2"/>
      </w:pPr>
      <w:r>
        <w:t>2.3 Relationship Types (28)</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14"/>
          </w:tcPr>
          <w:p>
            <w:r>
              <w:rPr>
                <w:b/>
                <w:sz w:val="18"/>
              </w:rPr>
              <w:t>Relationship</w:t>
            </w:r>
          </w:p>
        </w:tc>
        <w:tc>
          <w:tcPr>
            <w:tcW w:type="dxa" w:w="850"/>
          </w:tcPr>
          <w:p>
            <w:r>
              <w:rPr>
                <w:b/>
                <w:sz w:val="18"/>
              </w:rPr>
              <w:t>Count</w:t>
            </w:r>
          </w:p>
        </w:tc>
        <w:tc>
          <w:tcPr>
            <w:tcW w:type="dxa" w:w="1134"/>
          </w:tcPr>
          <w:p>
            <w:r>
              <w:rPr>
                <w:b/>
                <w:sz w:val="18"/>
              </w:rPr>
              <w:t>Source</w:t>
            </w:r>
          </w:p>
        </w:tc>
        <w:tc>
          <w:tcPr>
            <w:tcW w:type="dxa" w:w="1020"/>
          </w:tcPr>
          <w:p>
            <w:r>
              <w:rPr>
                <w:b/>
                <w:sz w:val="18"/>
              </w:rPr>
              <w:t>Properties</w:t>
            </w:r>
          </w:p>
        </w:tc>
        <w:tc>
          <w:tcPr>
            <w:tcW w:type="dxa" w:w="3969"/>
          </w:tcPr>
          <w:p>
            <w:r>
              <w:rPr>
                <w:b/>
                <w:sz w:val="18"/>
              </w:rPr>
              <w:t>Meaning</w:t>
            </w:r>
          </w:p>
        </w:tc>
      </w:tr>
      <w:tr>
        <w:tc>
          <w:tcPr>
            <w:tcW w:type="dxa" w:w="1814"/>
          </w:tcPr>
          <w:p>
            <w:r>
              <w:rPr>
                <w:sz w:val="18"/>
              </w:rPr>
              <w:t>bodyPartOverexpressesGene</w:t>
            </w:r>
          </w:p>
        </w:tc>
        <w:tc>
          <w:tcPr>
            <w:tcW w:type="dxa" w:w="850"/>
          </w:tcPr>
          <w:p>
            <w:r>
              <w:rPr>
                <w:sz w:val="18"/>
              </w:rPr>
              <w:t>2,749,193</w:t>
            </w:r>
          </w:p>
        </w:tc>
        <w:tc>
          <w:tcPr>
            <w:tcW w:type="dxa" w:w="1134"/>
          </w:tcPr>
          <w:p>
            <w:r>
              <w:rPr>
                <w:sz w:val="18"/>
              </w:rPr>
              <w:t>Bgee</w:t>
            </w:r>
          </w:p>
        </w:tc>
        <w:tc>
          <w:tcPr>
            <w:tcW w:type="dxa" w:w="1020"/>
          </w:tcPr>
          <w:p>
            <w:r>
              <w:rPr>
                <w:sz w:val="18"/>
              </w:rPr>
              <w:t>expressionScore</w:t>
            </w:r>
          </w:p>
        </w:tc>
        <w:tc>
          <w:tcPr>
            <w:tcW w:type="dxa" w:w="3969"/>
          </w:tcPr>
          <w:p>
            <w:r>
              <w:rPr>
                <w:sz w:val="18"/>
              </w:rPr>
              <w:t>Gene expressed at higher/lower levels in this tissue</w:t>
            </w:r>
          </w:p>
        </w:tc>
      </w:tr>
      <w:tr>
        <w:tc>
          <w:tcPr>
            <w:tcW w:type="dxa" w:w="1814"/>
          </w:tcPr>
          <w:p>
            <w:r>
              <w:rPr>
                <w:sz w:val="18"/>
              </w:rPr>
              <w:t>geneAssociatesWithDisease</w:t>
            </w:r>
          </w:p>
        </w:tc>
        <w:tc>
          <w:tcPr>
            <w:tcW w:type="dxa" w:w="850"/>
          </w:tcPr>
          <w:p>
            <w:r>
              <w:rPr>
                <w:sz w:val="18"/>
              </w:rPr>
              <w:t>542,096</w:t>
            </w:r>
          </w:p>
        </w:tc>
        <w:tc>
          <w:tcPr>
            <w:tcW w:type="dxa" w:w="1134"/>
          </w:tcPr>
          <w:p>
            <w:r>
              <w:rPr>
                <w:sz w:val="18"/>
              </w:rPr>
              <w:t>PubTator + OpenTargets</w:t>
            </w:r>
          </w:p>
        </w:tc>
        <w:tc>
          <w:tcPr>
            <w:tcW w:type="dxa" w:w="1020"/>
          </w:tcPr>
          <w:p>
            <w:r>
              <w:rPr>
                <w:sz w:val="18"/>
              </w:rPr>
              <w:t>score (OT)</w:t>
            </w:r>
          </w:p>
        </w:tc>
        <w:tc>
          <w:tcPr>
            <w:tcW w:type="dxa" w:w="3969"/>
          </w:tcPr>
          <w:p>
            <w:r>
              <w:rPr>
                <w:sz w:val="18"/>
              </w:rPr>
              <w:t>Literature/curated gene-disease link</w:t>
            </w:r>
          </w:p>
        </w:tc>
      </w:tr>
      <w:tr>
        <w:tc>
          <w:tcPr>
            <w:tcW w:type="dxa" w:w="1814"/>
          </w:tcPr>
          <w:p>
            <w:r>
              <w:rPr>
                <w:sz w:val="18"/>
              </w:rPr>
              <w:t>chemicalIncreasesExpression</w:t>
            </w:r>
          </w:p>
        </w:tc>
        <w:tc>
          <w:tcPr>
            <w:tcW w:type="dxa" w:w="850"/>
          </w:tcPr>
          <w:p>
            <w:r>
              <w:rPr>
                <w:sz w:val="18"/>
              </w:rPr>
              <w:t>343,823</w:t>
            </w:r>
          </w:p>
        </w:tc>
        <w:tc>
          <w:tcPr>
            <w:tcW w:type="dxa" w:w="1134"/>
          </w:tcPr>
          <w:p>
            <w:r>
              <w:rPr>
                <w:sz w:val="18"/>
              </w:rPr>
              <w:t>CTD</w:t>
            </w:r>
          </w:p>
        </w:tc>
        <w:tc>
          <w:tcPr>
            <w:tcW w:type="dxa" w:w="1020"/>
          </w:tcPr>
          <w:p>
            <w:r>
              <w:rPr>
                <w:sz w:val="18"/>
              </w:rPr>
              <w:t>—</w:t>
            </w:r>
          </w:p>
        </w:tc>
        <w:tc>
          <w:tcPr>
            <w:tcW w:type="dxa" w:w="3969"/>
          </w:tcPr>
          <w:p>
            <w:r>
              <w:rPr>
                <w:sz w:val="18"/>
              </w:rPr>
              <w:t>Chemical increases gene mRNA/protein expression</w:t>
            </w:r>
          </w:p>
        </w:tc>
      </w:tr>
      <w:tr>
        <w:tc>
          <w:tcPr>
            <w:tcW w:type="dxa" w:w="1814"/>
          </w:tcPr>
          <w:p>
            <w:r>
              <w:rPr>
                <w:sz w:val="18"/>
              </w:rPr>
              <w:t>chemicalDecreasesExpression</w:t>
            </w:r>
          </w:p>
        </w:tc>
        <w:tc>
          <w:tcPr>
            <w:tcW w:type="dxa" w:w="850"/>
          </w:tcPr>
          <w:p>
            <w:r>
              <w:rPr>
                <w:sz w:val="18"/>
              </w:rPr>
              <w:t>328,726</w:t>
            </w:r>
          </w:p>
        </w:tc>
        <w:tc>
          <w:tcPr>
            <w:tcW w:type="dxa" w:w="1134"/>
          </w:tcPr>
          <w:p>
            <w:r>
              <w:rPr>
                <w:sz w:val="18"/>
              </w:rPr>
              <w:t>CTD</w:t>
            </w:r>
          </w:p>
        </w:tc>
        <w:tc>
          <w:tcPr>
            <w:tcW w:type="dxa" w:w="1020"/>
          </w:tcPr>
          <w:p>
            <w:r>
              <w:rPr>
                <w:sz w:val="18"/>
              </w:rPr>
              <w:t>—</w:t>
            </w:r>
          </w:p>
        </w:tc>
        <w:tc>
          <w:tcPr>
            <w:tcW w:type="dxa" w:w="3969"/>
          </w:tcPr>
          <w:p>
            <w:r>
              <w:rPr>
                <w:sz w:val="18"/>
              </w:rPr>
              <w:t>Chemical decreases gene expression</w:t>
            </w:r>
          </w:p>
        </w:tc>
      </w:tr>
      <w:tr>
        <w:tc>
          <w:tcPr>
            <w:tcW w:type="dxa" w:w="1814"/>
          </w:tcPr>
          <w:p>
            <w:r>
              <w:rPr>
                <w:sz w:val="18"/>
              </w:rPr>
              <w:t>geneAssociatesWithPhenotype</w:t>
            </w:r>
          </w:p>
        </w:tc>
        <w:tc>
          <w:tcPr>
            <w:tcW w:type="dxa" w:w="850"/>
          </w:tcPr>
          <w:p>
            <w:r>
              <w:rPr>
                <w:sz w:val="18"/>
              </w:rPr>
              <w:t>270,265</w:t>
            </w:r>
          </w:p>
        </w:tc>
        <w:tc>
          <w:tcPr>
            <w:tcW w:type="dxa" w:w="1134"/>
          </w:tcPr>
          <w:p>
            <w:r>
              <w:rPr>
                <w:sz w:val="18"/>
              </w:rPr>
              <w:t>HPO</w:t>
            </w:r>
          </w:p>
        </w:tc>
        <w:tc>
          <w:tcPr>
            <w:tcW w:type="dxa" w:w="1020"/>
          </w:tcPr>
          <w:p>
            <w:r>
              <w:rPr>
                <w:sz w:val="18"/>
              </w:rPr>
              <w:t>—</w:t>
            </w:r>
          </w:p>
        </w:tc>
        <w:tc>
          <w:tcPr>
            <w:tcW w:type="dxa" w:w="3969"/>
          </w:tcPr>
          <w:p>
            <w:r>
              <w:rPr>
                <w:sz w:val="18"/>
              </w:rPr>
              <w:t>Gene mutations associated with clinical feature</w:t>
            </w:r>
          </w:p>
        </w:tc>
      </w:tr>
      <w:tr>
        <w:tc>
          <w:tcPr>
            <w:tcW w:type="dxa" w:w="1814"/>
          </w:tcPr>
          <w:p>
            <w:r>
              <w:rPr>
                <w:sz w:val="18"/>
              </w:rPr>
              <w:t>geneInteractsWithGene</w:t>
            </w:r>
          </w:p>
        </w:tc>
        <w:tc>
          <w:tcPr>
            <w:tcW w:type="dxa" w:w="850"/>
          </w:tcPr>
          <w:p>
            <w:r>
              <w:rPr>
                <w:sz w:val="18"/>
              </w:rPr>
              <w:t>229,007</w:t>
            </w:r>
          </w:p>
        </w:tc>
        <w:tc>
          <w:tcPr>
            <w:tcW w:type="dxa" w:w="1134"/>
          </w:tcPr>
          <w:p>
            <w:r>
              <w:rPr>
                <w:sz w:val="18"/>
              </w:rPr>
              <w:t>STRING</w:t>
            </w:r>
          </w:p>
        </w:tc>
        <w:tc>
          <w:tcPr>
            <w:tcW w:type="dxa" w:w="1020"/>
          </w:tcPr>
          <w:p>
            <w:r>
              <w:rPr>
                <w:sz w:val="18"/>
              </w:rPr>
              <w:t>combinedScore</w:t>
            </w:r>
          </w:p>
        </w:tc>
        <w:tc>
          <w:tcPr>
            <w:tcW w:type="dxa" w:w="3969"/>
          </w:tcPr>
          <w:p>
            <w:r>
              <w:rPr>
                <w:sz w:val="18"/>
              </w:rPr>
              <w:t>Protein-protein interaction (&gt;700 confidence)</w:t>
            </w:r>
          </w:p>
        </w:tc>
      </w:tr>
      <w:tr>
        <w:tc>
          <w:tcPr>
            <w:tcW w:type="dxa" w:w="1814"/>
          </w:tcPr>
          <w:p>
            <w:r>
              <w:rPr>
                <w:sz w:val="18"/>
              </w:rPr>
              <w:t>geneInPathway</w:t>
            </w:r>
          </w:p>
        </w:tc>
        <w:tc>
          <w:tcPr>
            <w:tcW w:type="dxa" w:w="850"/>
          </w:tcPr>
          <w:p>
            <w:r>
              <w:rPr>
                <w:sz w:val="18"/>
              </w:rPr>
              <w:t>137,116</w:t>
            </w:r>
          </w:p>
        </w:tc>
        <w:tc>
          <w:tcPr>
            <w:tcW w:type="dxa" w:w="1134"/>
          </w:tcPr>
          <w:p>
            <w:r>
              <w:rPr>
                <w:sz w:val="18"/>
              </w:rPr>
              <w:t>Reactome</w:t>
            </w:r>
          </w:p>
        </w:tc>
        <w:tc>
          <w:tcPr>
            <w:tcW w:type="dxa" w:w="1020"/>
          </w:tcPr>
          <w:p>
            <w:r>
              <w:rPr>
                <w:sz w:val="18"/>
              </w:rPr>
              <w:t>evidenceCode</w:t>
            </w:r>
          </w:p>
        </w:tc>
        <w:tc>
          <w:tcPr>
            <w:tcW w:type="dxa" w:w="3969"/>
          </w:tcPr>
          <w:p>
            <w:r>
              <w:rPr>
                <w:sz w:val="18"/>
              </w:rPr>
              <w:t>Gene participates in biological pathway</w:t>
            </w:r>
          </w:p>
        </w:tc>
      </w:tr>
      <w:tr>
        <w:tc>
          <w:tcPr>
            <w:tcW w:type="dxa" w:w="1814"/>
          </w:tcPr>
          <w:p>
            <w:r>
              <w:rPr>
                <w:sz w:val="18"/>
              </w:rPr>
              <w:t>variantInGene</w:t>
            </w:r>
          </w:p>
        </w:tc>
        <w:tc>
          <w:tcPr>
            <w:tcW w:type="dxa" w:w="850"/>
          </w:tcPr>
          <w:p>
            <w:r>
              <w:rPr>
                <w:sz w:val="18"/>
              </w:rPr>
              <w:t>135,393</w:t>
            </w:r>
          </w:p>
        </w:tc>
        <w:tc>
          <w:tcPr>
            <w:tcW w:type="dxa" w:w="1134"/>
          </w:tcPr>
          <w:p>
            <w:r>
              <w:rPr>
                <w:sz w:val="18"/>
              </w:rPr>
              <w:t>ClinVar</w:t>
            </w:r>
          </w:p>
        </w:tc>
        <w:tc>
          <w:tcPr>
            <w:tcW w:type="dxa" w:w="1020"/>
          </w:tcPr>
          <w:p>
            <w:r>
              <w:rPr>
                <w:sz w:val="18"/>
              </w:rPr>
              <w:t>—</w:t>
            </w:r>
          </w:p>
        </w:tc>
        <w:tc>
          <w:tcPr>
            <w:tcW w:type="dxa" w:w="3969"/>
          </w:tcPr>
          <w:p>
            <w:r>
              <w:rPr>
                <w:sz w:val="18"/>
              </w:rPr>
              <w:t>Variant located within gene</w:t>
            </w:r>
          </w:p>
        </w:tc>
      </w:tr>
      <w:tr>
        <w:tc>
          <w:tcPr>
            <w:tcW w:type="dxa" w:w="1814"/>
          </w:tcPr>
          <w:p>
            <w:r>
              <w:rPr>
                <w:sz w:val="18"/>
              </w:rPr>
              <w:t>geneParticipatesInBP</w:t>
            </w:r>
          </w:p>
        </w:tc>
        <w:tc>
          <w:tcPr>
            <w:tcW w:type="dxa" w:w="850"/>
          </w:tcPr>
          <w:p>
            <w:r>
              <w:rPr>
                <w:sz w:val="18"/>
              </w:rPr>
              <w:t>122,117</w:t>
            </w:r>
          </w:p>
        </w:tc>
        <w:tc>
          <w:tcPr>
            <w:tcW w:type="dxa" w:w="1134"/>
          </w:tcPr>
          <w:p>
            <w:r>
              <w:rPr>
                <w:sz w:val="18"/>
              </w:rPr>
              <w:t>Gene Ontology</w:t>
            </w:r>
          </w:p>
        </w:tc>
        <w:tc>
          <w:tcPr>
            <w:tcW w:type="dxa" w:w="1020"/>
          </w:tcPr>
          <w:p>
            <w:r>
              <w:rPr>
                <w:sz w:val="18"/>
              </w:rPr>
              <w:t>—</w:t>
            </w:r>
          </w:p>
        </w:tc>
        <w:tc>
          <w:tcPr>
            <w:tcW w:type="dxa" w:w="3969"/>
          </w:tcPr>
          <w:p>
            <w:r>
              <w:rPr>
                <w:sz w:val="18"/>
              </w:rPr>
              <w:t>Gene involved in biological process</w:t>
            </w:r>
          </w:p>
        </w:tc>
      </w:tr>
      <w:tr>
        <w:tc>
          <w:tcPr>
            <w:tcW w:type="dxa" w:w="1814"/>
          </w:tcPr>
          <w:p>
            <w:r>
              <w:rPr>
                <w:sz w:val="18"/>
              </w:rPr>
              <w:t>geneAssociatedWithCC</w:t>
            </w:r>
          </w:p>
        </w:tc>
        <w:tc>
          <w:tcPr>
            <w:tcW w:type="dxa" w:w="850"/>
          </w:tcPr>
          <w:p>
            <w:r>
              <w:rPr>
                <w:sz w:val="18"/>
              </w:rPr>
              <w:t>90,141</w:t>
            </w:r>
          </w:p>
        </w:tc>
        <w:tc>
          <w:tcPr>
            <w:tcW w:type="dxa" w:w="1134"/>
          </w:tcPr>
          <w:p>
            <w:r>
              <w:rPr>
                <w:sz w:val="18"/>
              </w:rPr>
              <w:t>Gene Ontology</w:t>
            </w:r>
          </w:p>
        </w:tc>
        <w:tc>
          <w:tcPr>
            <w:tcW w:type="dxa" w:w="1020"/>
          </w:tcPr>
          <w:p>
            <w:r>
              <w:rPr>
                <w:sz w:val="18"/>
              </w:rPr>
              <w:t>—</w:t>
            </w:r>
          </w:p>
        </w:tc>
        <w:tc>
          <w:tcPr>
            <w:tcW w:type="dxa" w:w="3969"/>
          </w:tcPr>
          <w:p>
            <w:r>
              <w:rPr>
                <w:sz w:val="18"/>
              </w:rPr>
              <w:t>Gene product in cellular compartment</w:t>
            </w:r>
          </w:p>
        </w:tc>
      </w:tr>
      <w:tr>
        <w:tc>
          <w:tcPr>
            <w:tcW w:type="dxa" w:w="1814"/>
          </w:tcPr>
          <w:p>
            <w:r>
              <w:rPr>
                <w:sz w:val="18"/>
              </w:rPr>
              <w:t>geneHasMolecularFunction</w:t>
            </w:r>
          </w:p>
        </w:tc>
        <w:tc>
          <w:tcPr>
            <w:tcW w:type="dxa" w:w="850"/>
          </w:tcPr>
          <w:p>
            <w:r>
              <w:rPr>
                <w:sz w:val="18"/>
              </w:rPr>
              <w:t>76,612</w:t>
            </w:r>
          </w:p>
        </w:tc>
        <w:tc>
          <w:tcPr>
            <w:tcW w:type="dxa" w:w="1134"/>
          </w:tcPr>
          <w:p>
            <w:r>
              <w:rPr>
                <w:sz w:val="18"/>
              </w:rPr>
              <w:t>Gene Ontology</w:t>
            </w:r>
          </w:p>
        </w:tc>
        <w:tc>
          <w:tcPr>
            <w:tcW w:type="dxa" w:w="1020"/>
          </w:tcPr>
          <w:p>
            <w:r>
              <w:rPr>
                <w:sz w:val="18"/>
              </w:rPr>
              <w:t>—</w:t>
            </w:r>
          </w:p>
        </w:tc>
        <w:tc>
          <w:tcPr>
            <w:tcW w:type="dxa" w:w="3969"/>
          </w:tcPr>
          <w:p>
            <w:r>
              <w:rPr>
                <w:sz w:val="18"/>
              </w:rPr>
              <w:t>Gene product performs molecular function</w:t>
            </w:r>
          </w:p>
        </w:tc>
      </w:tr>
      <w:tr>
        <w:tc>
          <w:tcPr>
            <w:tcW w:type="dxa" w:w="1814"/>
          </w:tcPr>
          <w:p>
            <w:r>
              <w:rPr>
                <w:sz w:val="18"/>
              </w:rPr>
              <w:t>compoundUpregulatesGene</w:t>
            </w:r>
          </w:p>
        </w:tc>
        <w:tc>
          <w:tcPr>
            <w:tcW w:type="dxa" w:w="850"/>
          </w:tcPr>
          <w:p>
            <w:r>
              <w:rPr>
                <w:sz w:val="18"/>
              </w:rPr>
              <w:t>74,854</w:t>
            </w:r>
          </w:p>
        </w:tc>
        <w:tc>
          <w:tcPr>
            <w:tcW w:type="dxa" w:w="1134"/>
          </w:tcPr>
          <w:p>
            <w:r>
              <w:rPr>
                <w:sz w:val="18"/>
              </w:rPr>
              <w:t>LINCS L1000</w:t>
            </w:r>
          </w:p>
        </w:tc>
        <w:tc>
          <w:tcPr>
            <w:tcW w:type="dxa" w:w="1020"/>
          </w:tcPr>
          <w:p>
            <w:r>
              <w:rPr>
                <w:sz w:val="18"/>
              </w:rPr>
              <w:t>zScore</w:t>
            </w:r>
          </w:p>
        </w:tc>
        <w:tc>
          <w:tcPr>
            <w:tcW w:type="dxa" w:w="3969"/>
          </w:tcPr>
          <w:p>
            <w:r>
              <w:rPr>
                <w:sz w:val="18"/>
              </w:rPr>
              <w:t>Drug increases gene expression (cell line)</w:t>
            </w:r>
          </w:p>
        </w:tc>
      </w:tr>
      <w:tr>
        <w:tc>
          <w:tcPr>
            <w:tcW w:type="dxa" w:w="1814"/>
          </w:tcPr>
          <w:p>
            <w:r>
              <w:rPr>
                <w:sz w:val="18"/>
              </w:rPr>
              <w:t>compoundCausesSideEffect</w:t>
            </w:r>
          </w:p>
        </w:tc>
        <w:tc>
          <w:tcPr>
            <w:tcW w:type="dxa" w:w="850"/>
          </w:tcPr>
          <w:p>
            <w:r>
              <w:rPr>
                <w:sz w:val="18"/>
              </w:rPr>
              <w:t>67,721</w:t>
            </w:r>
          </w:p>
        </w:tc>
        <w:tc>
          <w:tcPr>
            <w:tcW w:type="dxa" w:w="1134"/>
          </w:tcPr>
          <w:p>
            <w:r>
              <w:rPr>
                <w:sz w:val="18"/>
              </w:rPr>
              <w:t>SIDER</w:t>
            </w:r>
          </w:p>
        </w:tc>
        <w:tc>
          <w:tcPr>
            <w:tcW w:type="dxa" w:w="1020"/>
          </w:tcPr>
          <w:p>
            <w:r>
              <w:rPr>
                <w:sz w:val="18"/>
              </w:rPr>
              <w:t>—</w:t>
            </w:r>
          </w:p>
        </w:tc>
        <w:tc>
          <w:tcPr>
            <w:tcW w:type="dxa" w:w="3969"/>
          </w:tcPr>
          <w:p>
            <w:r>
              <w:rPr>
                <w:sz w:val="18"/>
              </w:rPr>
              <w:t>Drug causes adverse reaction</w:t>
            </w:r>
          </w:p>
        </w:tc>
      </w:tr>
      <w:tr>
        <w:tc>
          <w:tcPr>
            <w:tcW w:type="dxa" w:w="1814"/>
          </w:tcPr>
          <w:p>
            <w:r>
              <w:rPr>
                <w:sz w:val="18"/>
              </w:rPr>
              <w:t>compoundDownregulatesGene</w:t>
            </w:r>
          </w:p>
        </w:tc>
        <w:tc>
          <w:tcPr>
            <w:tcW w:type="dxa" w:w="850"/>
          </w:tcPr>
          <w:p>
            <w:r>
              <w:rPr>
                <w:sz w:val="18"/>
              </w:rPr>
              <w:t>64,661</w:t>
            </w:r>
          </w:p>
        </w:tc>
        <w:tc>
          <w:tcPr>
            <w:tcW w:type="dxa" w:w="1134"/>
          </w:tcPr>
          <w:p>
            <w:r>
              <w:rPr>
                <w:sz w:val="18"/>
              </w:rPr>
              <w:t>LINCS L1000</w:t>
            </w:r>
          </w:p>
        </w:tc>
        <w:tc>
          <w:tcPr>
            <w:tcW w:type="dxa" w:w="1020"/>
          </w:tcPr>
          <w:p>
            <w:r>
              <w:rPr>
                <w:sz w:val="18"/>
              </w:rPr>
              <w:t>zScore</w:t>
            </w:r>
          </w:p>
        </w:tc>
        <w:tc>
          <w:tcPr>
            <w:tcW w:type="dxa" w:w="3969"/>
          </w:tcPr>
          <w:p>
            <w:r>
              <w:rPr>
                <w:sz w:val="18"/>
              </w:rPr>
              <w:t>Drug decreases gene expression (cell line)</w:t>
            </w:r>
          </w:p>
        </w:tc>
      </w:tr>
      <w:tr>
        <w:tc>
          <w:tcPr>
            <w:tcW w:type="dxa" w:w="1814"/>
          </w:tcPr>
          <w:p>
            <w:r>
              <w:rPr>
                <w:sz w:val="18"/>
              </w:rPr>
              <w:t>variantAssocWithDisease</w:t>
            </w:r>
          </w:p>
        </w:tc>
        <w:tc>
          <w:tcPr>
            <w:tcW w:type="dxa" w:w="850"/>
          </w:tcPr>
          <w:p>
            <w:r>
              <w:rPr>
                <w:sz w:val="18"/>
              </w:rPr>
              <w:t>51,323</w:t>
            </w:r>
          </w:p>
        </w:tc>
        <w:tc>
          <w:tcPr>
            <w:tcW w:type="dxa" w:w="1134"/>
          </w:tcPr>
          <w:p>
            <w:r>
              <w:rPr>
                <w:sz w:val="18"/>
              </w:rPr>
              <w:t>ClinVar</w:t>
            </w:r>
          </w:p>
        </w:tc>
        <w:tc>
          <w:tcPr>
            <w:tcW w:type="dxa" w:w="1020"/>
          </w:tcPr>
          <w:p>
            <w:r>
              <w:rPr>
                <w:sz w:val="18"/>
              </w:rPr>
              <w:t>clinicalSignificance</w:t>
            </w:r>
          </w:p>
        </w:tc>
        <w:tc>
          <w:tcPr>
            <w:tcW w:type="dxa" w:w="3969"/>
          </w:tcPr>
          <w:p>
            <w:r>
              <w:rPr>
                <w:sz w:val="18"/>
              </w:rPr>
              <w:t>Variant clinically associated with disease</w:t>
            </w:r>
          </w:p>
        </w:tc>
      </w:tr>
      <w:tr>
        <w:tc>
          <w:tcPr>
            <w:tcW w:type="dxa" w:w="1814"/>
          </w:tcPr>
          <w:p>
            <w:r>
              <w:rPr>
                <w:sz w:val="18"/>
              </w:rPr>
              <w:t>drugBindsGene</w:t>
            </w:r>
          </w:p>
        </w:tc>
        <w:tc>
          <w:tcPr>
            <w:tcW w:type="dxa" w:w="850"/>
          </w:tcPr>
          <w:p>
            <w:r>
              <w:rPr>
                <w:sz w:val="18"/>
              </w:rPr>
              <w:t>29,363</w:t>
            </w:r>
          </w:p>
        </w:tc>
        <w:tc>
          <w:tcPr>
            <w:tcW w:type="dxa" w:w="1134"/>
          </w:tcPr>
          <w:p>
            <w:r>
              <w:rPr>
                <w:sz w:val="18"/>
              </w:rPr>
              <w:t>DrugBank</w:t>
            </w:r>
          </w:p>
        </w:tc>
        <w:tc>
          <w:tcPr>
            <w:tcW w:type="dxa" w:w="1020"/>
          </w:tcPr>
          <w:p>
            <w:r>
              <w:rPr>
                <w:sz w:val="18"/>
              </w:rPr>
              <w:t>interactionType</w:t>
            </w:r>
          </w:p>
        </w:tc>
        <w:tc>
          <w:tcPr>
            <w:tcW w:type="dxa" w:w="3969"/>
          </w:tcPr>
          <w:p>
            <w:r>
              <w:rPr>
                <w:sz w:val="18"/>
              </w:rPr>
              <w:t>Drug physically binds gene product</w:t>
            </w:r>
          </w:p>
        </w:tc>
      </w:tr>
      <w:tr>
        <w:tc>
          <w:tcPr>
            <w:tcW w:type="dxa" w:w="1814"/>
          </w:tcPr>
          <w:p>
            <w:r>
              <w:rPr>
                <w:sz w:val="18"/>
              </w:rPr>
              <w:t>geneInFamily</w:t>
            </w:r>
          </w:p>
        </w:tc>
        <w:tc>
          <w:tcPr>
            <w:tcW w:type="dxa" w:w="850"/>
          </w:tcPr>
          <w:p>
            <w:r>
              <w:rPr>
                <w:sz w:val="18"/>
              </w:rPr>
              <w:t>27,022</w:t>
            </w:r>
          </w:p>
        </w:tc>
        <w:tc>
          <w:tcPr>
            <w:tcW w:type="dxa" w:w="1134"/>
          </w:tcPr>
          <w:p>
            <w:r>
              <w:rPr>
                <w:sz w:val="18"/>
              </w:rPr>
              <w:t>HGNC</w:t>
            </w:r>
          </w:p>
        </w:tc>
        <w:tc>
          <w:tcPr>
            <w:tcW w:type="dxa" w:w="1020"/>
          </w:tcPr>
          <w:p>
            <w:r>
              <w:rPr>
                <w:sz w:val="18"/>
              </w:rPr>
              <w:t>—</w:t>
            </w:r>
          </w:p>
        </w:tc>
        <w:tc>
          <w:tcPr>
            <w:tcW w:type="dxa" w:w="3969"/>
          </w:tcPr>
          <w:p>
            <w:r>
              <w:rPr>
                <w:sz w:val="18"/>
              </w:rPr>
              <w:t>Gene belongs to gene family</w:t>
            </w:r>
          </w:p>
        </w:tc>
      </w:tr>
      <w:tr>
        <w:tc>
          <w:tcPr>
            <w:tcW w:type="dxa" w:w="1814"/>
          </w:tcPr>
          <w:p>
            <w:r>
              <w:rPr>
                <w:sz w:val="18"/>
              </w:rPr>
              <w:t>compoundInPharmClass</w:t>
            </w:r>
          </w:p>
        </w:tc>
        <w:tc>
          <w:tcPr>
            <w:tcW w:type="dxa" w:w="850"/>
          </w:tcPr>
          <w:p>
            <w:r>
              <w:rPr>
                <w:sz w:val="18"/>
              </w:rPr>
              <w:t>25,687</w:t>
            </w:r>
          </w:p>
        </w:tc>
        <w:tc>
          <w:tcPr>
            <w:tcW w:type="dxa" w:w="1134"/>
          </w:tcPr>
          <w:p>
            <w:r>
              <w:rPr>
                <w:sz w:val="18"/>
              </w:rPr>
              <w:t>DrugCentral</w:t>
            </w:r>
          </w:p>
        </w:tc>
        <w:tc>
          <w:tcPr>
            <w:tcW w:type="dxa" w:w="1020"/>
          </w:tcPr>
          <w:p>
            <w:r>
              <w:rPr>
                <w:sz w:val="18"/>
              </w:rPr>
              <w:t>—</w:t>
            </w:r>
          </w:p>
        </w:tc>
        <w:tc>
          <w:tcPr>
            <w:tcW w:type="dxa" w:w="3969"/>
          </w:tcPr>
          <w:p>
            <w:r>
              <w:rPr>
                <w:sz w:val="18"/>
              </w:rPr>
              <w:t>Drug in FDA pharmacologic class</w:t>
            </w:r>
          </w:p>
        </w:tc>
      </w:tr>
      <w:tr>
        <w:tc>
          <w:tcPr>
            <w:tcW w:type="dxa" w:w="1814"/>
          </w:tcPr>
          <w:p>
            <w:r>
              <w:rPr>
                <w:sz w:val="18"/>
              </w:rPr>
              <w:t>chemicalBindsGene</w:t>
            </w:r>
          </w:p>
        </w:tc>
        <w:tc>
          <w:tcPr>
            <w:tcW w:type="dxa" w:w="850"/>
          </w:tcPr>
          <w:p>
            <w:r>
              <w:rPr>
                <w:sz w:val="18"/>
              </w:rPr>
              <w:t>22,735</w:t>
            </w:r>
          </w:p>
        </w:tc>
        <w:tc>
          <w:tcPr>
            <w:tcW w:type="dxa" w:w="1134"/>
          </w:tcPr>
          <w:p>
            <w:r>
              <w:rPr>
                <w:sz w:val="18"/>
              </w:rPr>
              <w:t>BindingDB</w:t>
            </w:r>
          </w:p>
        </w:tc>
        <w:tc>
          <w:tcPr>
            <w:tcW w:type="dxa" w:w="1020"/>
          </w:tcPr>
          <w:p>
            <w:r>
              <w:rPr>
                <w:sz w:val="18"/>
              </w:rPr>
              <w:t>—</w:t>
            </w:r>
          </w:p>
        </w:tc>
        <w:tc>
          <w:tcPr>
            <w:tcW w:type="dxa" w:w="3969"/>
          </w:tcPr>
          <w:p>
            <w:r>
              <w:rPr>
                <w:sz w:val="18"/>
              </w:rPr>
              <w:t>Experimentally measured binding</w:t>
            </w:r>
          </w:p>
        </w:tc>
      </w:tr>
      <w:tr>
        <w:tc>
          <w:tcPr>
            <w:tcW w:type="dxa" w:w="1814"/>
          </w:tcPr>
          <w:p>
            <w:r>
              <w:rPr>
                <w:sz w:val="18"/>
              </w:rPr>
              <w:t>STUDIES_CONDITION</w:t>
            </w:r>
          </w:p>
        </w:tc>
        <w:tc>
          <w:tcPr>
            <w:tcW w:type="dxa" w:w="850"/>
          </w:tcPr>
          <w:p>
            <w:r>
              <w:rPr>
                <w:sz w:val="18"/>
              </w:rPr>
              <w:t>20,667</w:t>
            </w:r>
          </w:p>
        </w:tc>
        <w:tc>
          <w:tcPr>
            <w:tcW w:type="dxa" w:w="1134"/>
          </w:tcPr>
          <w:p>
            <w:r>
              <w:rPr>
                <w:sz w:val="18"/>
              </w:rPr>
              <w:t>ClinicalTrials.gov</w:t>
            </w:r>
          </w:p>
        </w:tc>
        <w:tc>
          <w:tcPr>
            <w:tcW w:type="dxa" w:w="1020"/>
          </w:tcPr>
          <w:p>
            <w:r>
              <w:rPr>
                <w:sz w:val="18"/>
              </w:rPr>
              <w:t>—</w:t>
            </w:r>
          </w:p>
        </w:tc>
        <w:tc>
          <w:tcPr>
            <w:tcW w:type="dxa" w:w="3969"/>
          </w:tcPr>
          <w:p>
            <w:r>
              <w:rPr>
                <w:sz w:val="18"/>
              </w:rPr>
              <w:t>Trial studies this disease</w:t>
            </w:r>
          </w:p>
        </w:tc>
      </w:tr>
      <w:tr>
        <w:tc>
          <w:tcPr>
            <w:tcW w:type="dxa" w:w="1814"/>
          </w:tcPr>
          <w:p>
            <w:r>
              <w:rPr>
                <w:sz w:val="18"/>
              </w:rPr>
              <w:t>predictedTreatsDisease</w:t>
            </w:r>
          </w:p>
        </w:tc>
        <w:tc>
          <w:tcPr>
            <w:tcW w:type="dxa" w:w="850"/>
          </w:tcPr>
          <w:p>
            <w:r>
              <w:rPr>
                <w:sz w:val="18"/>
              </w:rPr>
              <w:t>20,000</w:t>
            </w:r>
          </w:p>
        </w:tc>
        <w:tc>
          <w:tcPr>
            <w:tcW w:type="dxa" w:w="1134"/>
          </w:tcPr>
          <w:p>
            <w:r>
              <w:rPr>
                <w:sz w:val="18"/>
              </w:rPr>
              <w:t>ML Predictions</w:t>
            </w:r>
          </w:p>
        </w:tc>
        <w:tc>
          <w:tcPr>
            <w:tcW w:type="dxa" w:w="1020"/>
          </w:tcPr>
          <w:p>
            <w:r>
              <w:rPr>
                <w:sz w:val="18"/>
              </w:rPr>
              <w:t>confidence</w:t>
            </w:r>
          </w:p>
        </w:tc>
        <w:tc>
          <w:tcPr>
            <w:tcW w:type="dxa" w:w="3969"/>
          </w:tcPr>
          <w:p>
            <w:r>
              <w:rPr>
                <w:sz w:val="18"/>
              </w:rPr>
              <w:t>ML-predicted treatment (NOT validated)</w:t>
            </w:r>
          </w:p>
        </w:tc>
      </w:tr>
      <w:tr>
        <w:tc>
          <w:tcPr>
            <w:tcW w:type="dxa" w:w="1814"/>
          </w:tcPr>
          <w:p>
            <w:r>
              <w:rPr>
                <w:sz w:val="18"/>
              </w:rPr>
              <w:t>tfInteractsWithGene</w:t>
            </w:r>
          </w:p>
        </w:tc>
        <w:tc>
          <w:tcPr>
            <w:tcW w:type="dxa" w:w="850"/>
          </w:tcPr>
          <w:p>
            <w:r>
              <w:rPr>
                <w:sz w:val="18"/>
              </w:rPr>
              <w:t>15,082</w:t>
            </w:r>
          </w:p>
        </w:tc>
        <w:tc>
          <w:tcPr>
            <w:tcW w:type="dxa" w:w="1134"/>
          </w:tcPr>
          <w:p>
            <w:r>
              <w:rPr>
                <w:sz w:val="18"/>
              </w:rPr>
              <w:t>DoRothEA</w:t>
            </w:r>
          </w:p>
        </w:tc>
        <w:tc>
          <w:tcPr>
            <w:tcW w:type="dxa" w:w="1020"/>
          </w:tcPr>
          <w:p>
            <w:r>
              <w:rPr>
                <w:sz w:val="18"/>
              </w:rPr>
              <w:t>morScore, confidence</w:t>
            </w:r>
          </w:p>
        </w:tc>
        <w:tc>
          <w:tcPr>
            <w:tcW w:type="dxa" w:w="3969"/>
          </w:tcPr>
          <w:p>
            <w:r>
              <w:rPr>
                <w:sz w:val="18"/>
              </w:rPr>
              <w:t>TF regulates gene</w:t>
            </w:r>
          </w:p>
        </w:tc>
      </w:tr>
      <w:tr>
        <w:tc>
          <w:tcPr>
            <w:tcW w:type="dxa" w:w="1814"/>
          </w:tcPr>
          <w:p>
            <w:r>
              <w:rPr>
                <w:sz w:val="18"/>
              </w:rPr>
              <w:t>drugTreatsPhenotype</w:t>
            </w:r>
          </w:p>
        </w:tc>
        <w:tc>
          <w:tcPr>
            <w:tcW w:type="dxa" w:w="850"/>
          </w:tcPr>
          <w:p>
            <w:r>
              <w:rPr>
                <w:sz w:val="18"/>
              </w:rPr>
              <w:t>10,955</w:t>
            </w:r>
          </w:p>
        </w:tc>
        <w:tc>
          <w:tcPr>
            <w:tcW w:type="dxa" w:w="1134"/>
          </w:tcPr>
          <w:p>
            <w:r>
              <w:rPr>
                <w:sz w:val="18"/>
              </w:rPr>
              <w:t>DrugBank_Indications</w:t>
            </w:r>
          </w:p>
        </w:tc>
        <w:tc>
          <w:tcPr>
            <w:tcW w:type="dxa" w:w="1020"/>
          </w:tcPr>
          <w:p>
            <w:r>
              <w:rPr>
                <w:sz w:val="18"/>
              </w:rPr>
              <w:t>—</w:t>
            </w:r>
          </w:p>
        </w:tc>
        <w:tc>
          <w:tcPr>
            <w:tcW w:type="dxa" w:w="3969"/>
          </w:tcPr>
          <w:p>
            <w:r>
              <w:rPr>
                <w:sz w:val="18"/>
              </w:rPr>
              <w:t>Drug treats phenotype (text-mined)</w:t>
            </w:r>
          </w:p>
        </w:tc>
      </w:tr>
      <w:tr>
        <w:tc>
          <w:tcPr>
            <w:tcW w:type="dxa" w:w="1814"/>
          </w:tcPr>
          <w:p>
            <w:r>
              <w:rPr>
                <w:sz w:val="18"/>
              </w:rPr>
              <w:t>hasVariant</w:t>
            </w:r>
          </w:p>
        </w:tc>
        <w:tc>
          <w:tcPr>
            <w:tcW w:type="dxa" w:w="850"/>
          </w:tcPr>
          <w:p>
            <w:r>
              <w:rPr>
                <w:sz w:val="18"/>
              </w:rPr>
              <w:t>8,413</w:t>
            </w:r>
          </w:p>
        </w:tc>
        <w:tc>
          <w:tcPr>
            <w:tcW w:type="dxa" w:w="1134"/>
          </w:tcPr>
          <w:p>
            <w:r>
              <w:rPr>
                <w:sz w:val="18"/>
              </w:rPr>
              <w:t>ClinVar</w:t>
            </w:r>
          </w:p>
        </w:tc>
        <w:tc>
          <w:tcPr>
            <w:tcW w:type="dxa" w:w="1020"/>
          </w:tcPr>
          <w:p>
            <w:r>
              <w:rPr>
                <w:sz w:val="18"/>
              </w:rPr>
              <w:t>—</w:t>
            </w:r>
          </w:p>
        </w:tc>
        <w:tc>
          <w:tcPr>
            <w:tcW w:type="dxa" w:w="3969"/>
          </w:tcPr>
          <w:p>
            <w:r>
              <w:rPr>
                <w:sz w:val="18"/>
              </w:rPr>
              <w:t>Gene has this variant</w:t>
            </w:r>
          </w:p>
        </w:tc>
      </w:tr>
      <w:tr>
        <w:tc>
          <w:tcPr>
            <w:tcW w:type="dxa" w:w="1814"/>
          </w:tcPr>
          <w:p>
            <w:r>
              <w:rPr>
                <w:sz w:val="18"/>
              </w:rPr>
              <w:t>drugTreatsDisease</w:t>
            </w:r>
          </w:p>
        </w:tc>
        <w:tc>
          <w:tcPr>
            <w:tcW w:type="dxa" w:w="850"/>
          </w:tcPr>
          <w:p>
            <w:r>
              <w:rPr>
                <w:sz w:val="18"/>
              </w:rPr>
              <w:t>5,937</w:t>
            </w:r>
          </w:p>
        </w:tc>
        <w:tc>
          <w:tcPr>
            <w:tcW w:type="dxa" w:w="1134"/>
          </w:tcPr>
          <w:p>
            <w:r>
              <w:rPr>
                <w:sz w:val="18"/>
              </w:rPr>
              <w:t>CTD+CT+DC+DBI</w:t>
            </w:r>
          </w:p>
        </w:tc>
        <w:tc>
          <w:tcPr>
            <w:tcW w:type="dxa" w:w="1020"/>
          </w:tcPr>
          <w:p>
            <w:r>
              <w:rPr>
                <w:sz w:val="18"/>
              </w:rPr>
              <w:t>—</w:t>
            </w:r>
          </w:p>
        </w:tc>
        <w:tc>
          <w:tcPr>
            <w:tcW w:type="dxa" w:w="3969"/>
          </w:tcPr>
          <w:p>
            <w:r>
              <w:rPr>
                <w:sz w:val="18"/>
              </w:rPr>
              <w:t>Drug treats disease (curated)</w:t>
            </w:r>
          </w:p>
        </w:tc>
      </w:tr>
      <w:tr>
        <w:tc>
          <w:tcPr>
            <w:tcW w:type="dxa" w:w="1814"/>
          </w:tcPr>
          <w:p>
            <w:r>
              <w:rPr>
                <w:sz w:val="18"/>
              </w:rPr>
              <w:t>TESTS_INTERVENTION</w:t>
            </w:r>
          </w:p>
        </w:tc>
        <w:tc>
          <w:tcPr>
            <w:tcW w:type="dxa" w:w="850"/>
          </w:tcPr>
          <w:p>
            <w:r>
              <w:rPr>
                <w:sz w:val="18"/>
              </w:rPr>
              <w:t>3,180</w:t>
            </w:r>
          </w:p>
        </w:tc>
        <w:tc>
          <w:tcPr>
            <w:tcW w:type="dxa" w:w="1134"/>
          </w:tcPr>
          <w:p>
            <w:r>
              <w:rPr>
                <w:sz w:val="18"/>
              </w:rPr>
              <w:t>ClinicalTrials.gov</w:t>
            </w:r>
          </w:p>
        </w:tc>
        <w:tc>
          <w:tcPr>
            <w:tcW w:type="dxa" w:w="1020"/>
          </w:tcPr>
          <w:p>
            <w:r>
              <w:rPr>
                <w:sz w:val="18"/>
              </w:rPr>
              <w:t>—</w:t>
            </w:r>
          </w:p>
        </w:tc>
        <w:tc>
          <w:tcPr>
            <w:tcW w:type="dxa" w:w="3969"/>
          </w:tcPr>
          <w:p>
            <w:r>
              <w:rPr>
                <w:sz w:val="18"/>
              </w:rPr>
              <w:t>Trial tests this drug</w:t>
            </w:r>
          </w:p>
        </w:tc>
      </w:tr>
      <w:tr>
        <w:tc>
          <w:tcPr>
            <w:tcW w:type="dxa" w:w="1814"/>
          </w:tcPr>
          <w:p>
            <w:r>
              <w:rPr>
                <w:sz w:val="18"/>
              </w:rPr>
              <w:t>diseaseIsSubtypeOf</w:t>
            </w:r>
          </w:p>
        </w:tc>
        <w:tc>
          <w:tcPr>
            <w:tcW w:type="dxa" w:w="850"/>
          </w:tcPr>
          <w:p>
            <w:r>
              <w:rPr>
                <w:sz w:val="18"/>
              </w:rPr>
              <w:t>2,581</w:t>
            </w:r>
          </w:p>
        </w:tc>
        <w:tc>
          <w:tcPr>
            <w:tcW w:type="dxa" w:w="1134"/>
          </w:tcPr>
          <w:p>
            <w:r>
              <w:rPr>
                <w:sz w:val="18"/>
              </w:rPr>
              <w:t>Disease Ontology</w:t>
            </w:r>
          </w:p>
        </w:tc>
        <w:tc>
          <w:tcPr>
            <w:tcW w:type="dxa" w:w="1020"/>
          </w:tcPr>
          <w:p>
            <w:r>
              <w:rPr>
                <w:sz w:val="18"/>
              </w:rPr>
              <w:t>—</w:t>
            </w:r>
          </w:p>
        </w:tc>
        <w:tc>
          <w:tcPr>
            <w:tcW w:type="dxa" w:w="3969"/>
          </w:tcPr>
          <w:p>
            <w:r>
              <w:rPr>
                <w:sz w:val="18"/>
              </w:rPr>
              <w:t>Disease subtype hierarchy</w:t>
            </w:r>
          </w:p>
        </w:tc>
      </w:tr>
      <w:tr>
        <w:tc>
          <w:tcPr>
            <w:tcW w:type="dxa" w:w="1814"/>
          </w:tcPr>
          <w:p>
            <w:r>
              <w:rPr>
                <w:sz w:val="18"/>
              </w:rPr>
              <w:t>AFFECTS_RESPONSE_TO</w:t>
            </w:r>
          </w:p>
        </w:tc>
        <w:tc>
          <w:tcPr>
            <w:tcW w:type="dxa" w:w="850"/>
          </w:tcPr>
          <w:p>
            <w:r>
              <w:rPr>
                <w:sz w:val="18"/>
              </w:rPr>
              <w:t>74</w:t>
            </w:r>
          </w:p>
        </w:tc>
        <w:tc>
          <w:tcPr>
            <w:tcW w:type="dxa" w:w="1134"/>
          </w:tcPr>
          <w:p>
            <w:r>
              <w:rPr>
                <w:sz w:val="18"/>
              </w:rPr>
              <w:t>ClinPGx</w:t>
            </w:r>
          </w:p>
        </w:tc>
        <w:tc>
          <w:tcPr>
            <w:tcW w:type="dxa" w:w="1020"/>
          </w:tcPr>
          <w:p>
            <w:r>
              <w:rPr>
                <w:sz w:val="18"/>
              </w:rPr>
              <w:t>—</w:t>
            </w:r>
          </w:p>
        </w:tc>
        <w:tc>
          <w:tcPr>
            <w:tcW w:type="dxa" w:w="3969"/>
          </w:tcPr>
          <w:p>
            <w:r>
              <w:rPr>
                <w:sz w:val="18"/>
              </w:rPr>
              <w:t>Gene variation affects drug response</w:t>
            </w:r>
          </w:p>
        </w:tc>
      </w:tr>
    </w:tbl>
    <w:p/>
    <w:p>
      <w:pPr>
        <w:pStyle w:val="Heading2"/>
      </w:pPr>
      <w:r>
        <w:t>2.4 Data Sources — Edge Counts by Source</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tcPr>
          <w:p>
            <w:r>
              <w:rPr>
                <w:b/>
                <w:sz w:val="18"/>
              </w:rPr>
              <w:t>Source</w:t>
            </w:r>
          </w:p>
        </w:tc>
        <w:tc>
          <w:tcPr>
            <w:tcW w:type="dxa" w:w="1701"/>
          </w:tcPr>
          <w:p>
            <w:r>
              <w:rPr>
                <w:b/>
                <w:sz w:val="18"/>
              </w:rPr>
              <w:t>Edge Count</w:t>
            </w:r>
          </w:p>
        </w:tc>
        <w:tc>
          <w:tcPr>
            <w:tcW w:type="dxa" w:w="1134"/>
          </w:tcPr>
          <w:p>
            <w:r>
              <w:rPr>
                <w:b/>
                <w:sz w:val="18"/>
              </w:rPr>
              <w:t>Type</w:t>
            </w:r>
          </w:p>
        </w:tc>
      </w:tr>
      <w:tr>
        <w:tc>
          <w:tcPr>
            <w:tcW w:type="dxa" w:w="2268"/>
          </w:tcPr>
          <w:p>
            <w:r>
              <w:rPr>
                <w:sz w:val="18"/>
              </w:rPr>
              <w:t>Bgee</w:t>
            </w:r>
          </w:p>
        </w:tc>
        <w:tc>
          <w:tcPr>
            <w:tcW w:type="dxa" w:w="1701"/>
          </w:tcPr>
          <w:p>
            <w:r>
              <w:rPr>
                <w:sz w:val="18"/>
              </w:rPr>
              <w:t>2,749,193</w:t>
            </w:r>
          </w:p>
        </w:tc>
        <w:tc>
          <w:tcPr>
            <w:tcW w:type="dxa" w:w="1134"/>
          </w:tcPr>
          <w:p>
            <w:r>
              <w:rPr>
                <w:sz w:val="18"/>
              </w:rPr>
              <w:t>Database</w:t>
            </w:r>
          </w:p>
        </w:tc>
      </w:tr>
      <w:tr>
        <w:tc>
          <w:tcPr>
            <w:tcW w:type="dxa" w:w="2268"/>
          </w:tcPr>
          <w:p>
            <w:r>
              <w:rPr>
                <w:sz w:val="18"/>
              </w:rPr>
              <w:t>CTD</w:t>
            </w:r>
          </w:p>
        </w:tc>
        <w:tc>
          <w:tcPr>
            <w:tcW w:type="dxa" w:w="1701"/>
          </w:tcPr>
          <w:p>
            <w:r>
              <w:rPr>
                <w:sz w:val="18"/>
              </w:rPr>
              <w:t>675,664</w:t>
            </w:r>
          </w:p>
        </w:tc>
        <w:tc>
          <w:tcPr>
            <w:tcW w:type="dxa" w:w="1134"/>
          </w:tcPr>
          <w:p>
            <w:r>
              <w:rPr>
                <w:sz w:val="18"/>
              </w:rPr>
              <w:t>Database</w:t>
            </w:r>
          </w:p>
        </w:tc>
      </w:tr>
      <w:tr>
        <w:tc>
          <w:tcPr>
            <w:tcW w:type="dxa" w:w="2268"/>
          </w:tcPr>
          <w:p>
            <w:r>
              <w:rPr>
                <w:sz w:val="18"/>
              </w:rPr>
              <w:t>PubTator</w:t>
            </w:r>
          </w:p>
        </w:tc>
        <w:tc>
          <w:tcPr>
            <w:tcW w:type="dxa" w:w="1701"/>
          </w:tcPr>
          <w:p>
            <w:r>
              <w:rPr>
                <w:sz w:val="18"/>
              </w:rPr>
              <w:t>539,964</w:t>
            </w:r>
          </w:p>
        </w:tc>
        <w:tc>
          <w:tcPr>
            <w:tcW w:type="dxa" w:w="1134"/>
          </w:tcPr>
          <w:p>
            <w:r>
              <w:rPr>
                <w:sz w:val="18"/>
              </w:rPr>
              <w:t>Database</w:t>
            </w:r>
          </w:p>
        </w:tc>
      </w:tr>
      <w:tr>
        <w:tc>
          <w:tcPr>
            <w:tcW w:type="dxa" w:w="2268"/>
          </w:tcPr>
          <w:p>
            <w:r>
              <w:rPr>
                <w:sz w:val="18"/>
              </w:rPr>
              <w:t>Gene Ontology</w:t>
            </w:r>
          </w:p>
        </w:tc>
        <w:tc>
          <w:tcPr>
            <w:tcW w:type="dxa" w:w="1701"/>
          </w:tcPr>
          <w:p>
            <w:r>
              <w:rPr>
                <w:sz w:val="18"/>
              </w:rPr>
              <w:t>288,870</w:t>
            </w:r>
          </w:p>
        </w:tc>
        <w:tc>
          <w:tcPr>
            <w:tcW w:type="dxa" w:w="1134"/>
          </w:tcPr>
          <w:p>
            <w:r>
              <w:rPr>
                <w:sz w:val="18"/>
              </w:rPr>
              <w:t>Database</w:t>
            </w:r>
          </w:p>
        </w:tc>
      </w:tr>
      <w:tr>
        <w:tc>
          <w:tcPr>
            <w:tcW w:type="dxa" w:w="2268"/>
          </w:tcPr>
          <w:p>
            <w:r>
              <w:rPr>
                <w:sz w:val="18"/>
              </w:rPr>
              <w:t>HPO</w:t>
            </w:r>
          </w:p>
        </w:tc>
        <w:tc>
          <w:tcPr>
            <w:tcW w:type="dxa" w:w="1701"/>
          </w:tcPr>
          <w:p>
            <w:r>
              <w:rPr>
                <w:sz w:val="18"/>
              </w:rPr>
              <w:t>270,265</w:t>
            </w:r>
          </w:p>
        </w:tc>
        <w:tc>
          <w:tcPr>
            <w:tcW w:type="dxa" w:w="1134"/>
          </w:tcPr>
          <w:p>
            <w:r>
              <w:rPr>
                <w:sz w:val="18"/>
              </w:rPr>
              <w:t>Database</w:t>
            </w:r>
          </w:p>
        </w:tc>
      </w:tr>
      <w:tr>
        <w:tc>
          <w:tcPr>
            <w:tcW w:type="dxa" w:w="2268"/>
          </w:tcPr>
          <w:p>
            <w:r>
              <w:rPr>
                <w:sz w:val="18"/>
              </w:rPr>
              <w:t>STRING</w:t>
            </w:r>
          </w:p>
        </w:tc>
        <w:tc>
          <w:tcPr>
            <w:tcW w:type="dxa" w:w="1701"/>
          </w:tcPr>
          <w:p>
            <w:r>
              <w:rPr>
                <w:sz w:val="18"/>
              </w:rPr>
              <w:t>229,007</w:t>
            </w:r>
          </w:p>
        </w:tc>
        <w:tc>
          <w:tcPr>
            <w:tcW w:type="dxa" w:w="1134"/>
          </w:tcPr>
          <w:p>
            <w:r>
              <w:rPr>
                <w:sz w:val="18"/>
              </w:rPr>
              <w:t>Database</w:t>
            </w:r>
          </w:p>
        </w:tc>
      </w:tr>
      <w:tr>
        <w:tc>
          <w:tcPr>
            <w:tcW w:type="dxa" w:w="2268"/>
          </w:tcPr>
          <w:p>
            <w:r>
              <w:rPr>
                <w:sz w:val="18"/>
              </w:rPr>
              <w:t>ClinVar</w:t>
            </w:r>
          </w:p>
        </w:tc>
        <w:tc>
          <w:tcPr>
            <w:tcW w:type="dxa" w:w="1701"/>
          </w:tcPr>
          <w:p>
            <w:r>
              <w:rPr>
                <w:sz w:val="18"/>
              </w:rPr>
              <w:t>195,129</w:t>
            </w:r>
          </w:p>
        </w:tc>
        <w:tc>
          <w:tcPr>
            <w:tcW w:type="dxa" w:w="1134"/>
          </w:tcPr>
          <w:p>
            <w:r>
              <w:rPr>
                <w:sz w:val="18"/>
              </w:rPr>
              <w:t>Database</w:t>
            </w:r>
          </w:p>
        </w:tc>
      </w:tr>
      <w:tr>
        <w:tc>
          <w:tcPr>
            <w:tcW w:type="dxa" w:w="2268"/>
          </w:tcPr>
          <w:p>
            <w:r>
              <w:rPr>
                <w:sz w:val="18"/>
              </w:rPr>
              <w:t>LINCS L1000</w:t>
            </w:r>
          </w:p>
        </w:tc>
        <w:tc>
          <w:tcPr>
            <w:tcW w:type="dxa" w:w="1701"/>
          </w:tcPr>
          <w:p>
            <w:r>
              <w:rPr>
                <w:sz w:val="18"/>
              </w:rPr>
              <w:t>139,515</w:t>
            </w:r>
          </w:p>
        </w:tc>
        <w:tc>
          <w:tcPr>
            <w:tcW w:type="dxa" w:w="1134"/>
          </w:tcPr>
          <w:p>
            <w:r>
              <w:rPr>
                <w:sz w:val="18"/>
              </w:rPr>
              <w:t>Database</w:t>
            </w:r>
          </w:p>
        </w:tc>
      </w:tr>
      <w:tr>
        <w:tc>
          <w:tcPr>
            <w:tcW w:type="dxa" w:w="2268"/>
          </w:tcPr>
          <w:p>
            <w:r>
              <w:rPr>
                <w:sz w:val="18"/>
              </w:rPr>
              <w:t>Reactome</w:t>
            </w:r>
          </w:p>
        </w:tc>
        <w:tc>
          <w:tcPr>
            <w:tcW w:type="dxa" w:w="1701"/>
          </w:tcPr>
          <w:p>
            <w:r>
              <w:rPr>
                <w:sz w:val="18"/>
              </w:rPr>
              <w:t>137,116</w:t>
            </w:r>
          </w:p>
        </w:tc>
        <w:tc>
          <w:tcPr>
            <w:tcW w:type="dxa" w:w="1134"/>
          </w:tcPr>
          <w:p>
            <w:r>
              <w:rPr>
                <w:sz w:val="18"/>
              </w:rPr>
              <w:t>Database</w:t>
            </w:r>
          </w:p>
        </w:tc>
      </w:tr>
      <w:tr>
        <w:tc>
          <w:tcPr>
            <w:tcW w:type="dxa" w:w="2268"/>
          </w:tcPr>
          <w:p>
            <w:r>
              <w:rPr>
                <w:sz w:val="18"/>
              </w:rPr>
              <w:t>SIDER</w:t>
            </w:r>
          </w:p>
        </w:tc>
        <w:tc>
          <w:tcPr>
            <w:tcW w:type="dxa" w:w="1701"/>
          </w:tcPr>
          <w:p>
            <w:r>
              <w:rPr>
                <w:sz w:val="18"/>
              </w:rPr>
              <w:t>67,721</w:t>
            </w:r>
          </w:p>
        </w:tc>
        <w:tc>
          <w:tcPr>
            <w:tcW w:type="dxa" w:w="1134"/>
          </w:tcPr>
          <w:p>
            <w:r>
              <w:rPr>
                <w:sz w:val="18"/>
              </w:rPr>
              <w:t>Database</w:t>
            </w:r>
          </w:p>
        </w:tc>
      </w:tr>
      <w:tr>
        <w:tc>
          <w:tcPr>
            <w:tcW w:type="dxa" w:w="2268"/>
          </w:tcPr>
          <w:p>
            <w:r>
              <w:rPr>
                <w:sz w:val="18"/>
              </w:rPr>
              <w:t>DrugBank</w:t>
            </w:r>
          </w:p>
        </w:tc>
        <w:tc>
          <w:tcPr>
            <w:tcW w:type="dxa" w:w="1701"/>
          </w:tcPr>
          <w:p>
            <w:r>
              <w:rPr>
                <w:sz w:val="18"/>
              </w:rPr>
              <w:t>29,363</w:t>
            </w:r>
          </w:p>
        </w:tc>
        <w:tc>
          <w:tcPr>
            <w:tcW w:type="dxa" w:w="1134"/>
          </w:tcPr>
          <w:p>
            <w:r>
              <w:rPr>
                <w:sz w:val="18"/>
              </w:rPr>
              <w:t>Database</w:t>
            </w:r>
          </w:p>
        </w:tc>
      </w:tr>
      <w:tr>
        <w:tc>
          <w:tcPr>
            <w:tcW w:type="dxa" w:w="2268"/>
          </w:tcPr>
          <w:p>
            <w:r>
              <w:rPr>
                <w:sz w:val="18"/>
              </w:rPr>
              <w:t>HGNC</w:t>
            </w:r>
          </w:p>
        </w:tc>
        <w:tc>
          <w:tcPr>
            <w:tcW w:type="dxa" w:w="1701"/>
          </w:tcPr>
          <w:p>
            <w:r>
              <w:rPr>
                <w:sz w:val="18"/>
              </w:rPr>
              <w:t>27,022</w:t>
            </w:r>
          </w:p>
        </w:tc>
        <w:tc>
          <w:tcPr>
            <w:tcW w:type="dxa" w:w="1134"/>
          </w:tcPr>
          <w:p>
            <w:r>
              <w:rPr>
                <w:sz w:val="18"/>
              </w:rPr>
              <w:t>Database</w:t>
            </w:r>
          </w:p>
        </w:tc>
      </w:tr>
      <w:tr>
        <w:tc>
          <w:tcPr>
            <w:tcW w:type="dxa" w:w="2268"/>
          </w:tcPr>
          <w:p>
            <w:r>
              <w:rPr>
                <w:sz w:val="18"/>
              </w:rPr>
              <w:t>DrugCentral</w:t>
            </w:r>
          </w:p>
        </w:tc>
        <w:tc>
          <w:tcPr>
            <w:tcW w:type="dxa" w:w="1701"/>
          </w:tcPr>
          <w:p>
            <w:r>
              <w:rPr>
                <w:sz w:val="18"/>
              </w:rPr>
              <w:t>25,844</w:t>
            </w:r>
          </w:p>
        </w:tc>
        <w:tc>
          <w:tcPr>
            <w:tcW w:type="dxa" w:w="1134"/>
          </w:tcPr>
          <w:p>
            <w:r>
              <w:rPr>
                <w:sz w:val="18"/>
              </w:rPr>
              <w:t>Database</w:t>
            </w:r>
          </w:p>
        </w:tc>
      </w:tr>
      <w:tr>
        <w:tc>
          <w:tcPr>
            <w:tcW w:type="dxa" w:w="2268"/>
          </w:tcPr>
          <w:p>
            <w:r>
              <w:rPr>
                <w:sz w:val="18"/>
              </w:rPr>
              <w:t>ClinicalTrials.gov</w:t>
            </w:r>
          </w:p>
        </w:tc>
        <w:tc>
          <w:tcPr>
            <w:tcW w:type="dxa" w:w="1701"/>
          </w:tcPr>
          <w:p>
            <w:r>
              <w:rPr>
                <w:sz w:val="18"/>
              </w:rPr>
              <w:t>24,000</w:t>
            </w:r>
          </w:p>
        </w:tc>
        <w:tc>
          <w:tcPr>
            <w:tcW w:type="dxa" w:w="1134"/>
          </w:tcPr>
          <w:p>
            <w:r>
              <w:rPr>
                <w:sz w:val="18"/>
              </w:rPr>
              <w:t>Database</w:t>
            </w:r>
          </w:p>
        </w:tc>
      </w:tr>
      <w:tr>
        <w:tc>
          <w:tcPr>
            <w:tcW w:type="dxa" w:w="2268"/>
          </w:tcPr>
          <w:p>
            <w:r>
              <w:rPr>
                <w:sz w:val="18"/>
              </w:rPr>
              <w:t>BindingDB</w:t>
            </w:r>
          </w:p>
        </w:tc>
        <w:tc>
          <w:tcPr>
            <w:tcW w:type="dxa" w:w="1701"/>
          </w:tcPr>
          <w:p>
            <w:r>
              <w:rPr>
                <w:sz w:val="18"/>
              </w:rPr>
              <w:t>22,735</w:t>
            </w:r>
          </w:p>
        </w:tc>
        <w:tc>
          <w:tcPr>
            <w:tcW w:type="dxa" w:w="1134"/>
          </w:tcPr>
          <w:p>
            <w:r>
              <w:rPr>
                <w:sz w:val="18"/>
              </w:rPr>
              <w:t>Database</w:t>
            </w:r>
          </w:p>
        </w:tc>
      </w:tr>
      <w:tr>
        <w:tc>
          <w:tcPr>
            <w:tcW w:type="dxa" w:w="2268"/>
          </w:tcPr>
          <w:p>
            <w:r>
              <w:rPr>
                <w:sz w:val="18"/>
              </w:rPr>
              <w:t>DoRothEA</w:t>
            </w:r>
          </w:p>
        </w:tc>
        <w:tc>
          <w:tcPr>
            <w:tcW w:type="dxa" w:w="1701"/>
          </w:tcPr>
          <w:p>
            <w:r>
              <w:rPr>
                <w:sz w:val="18"/>
              </w:rPr>
              <w:t>15,082</w:t>
            </w:r>
          </w:p>
        </w:tc>
        <w:tc>
          <w:tcPr>
            <w:tcW w:type="dxa" w:w="1134"/>
          </w:tcPr>
          <w:p>
            <w:r>
              <w:rPr>
                <w:sz w:val="18"/>
              </w:rPr>
              <w:t>Database</w:t>
            </w:r>
          </w:p>
        </w:tc>
      </w:tr>
      <w:tr>
        <w:tc>
          <w:tcPr>
            <w:tcW w:type="dxa" w:w="2268"/>
          </w:tcPr>
          <w:p>
            <w:r>
              <w:rPr>
                <w:sz w:val="18"/>
              </w:rPr>
              <w:t>DrugBank_Indications</w:t>
            </w:r>
          </w:p>
        </w:tc>
        <w:tc>
          <w:tcPr>
            <w:tcW w:type="dxa" w:w="1701"/>
          </w:tcPr>
          <w:p>
            <w:r>
              <w:rPr>
                <w:sz w:val="18"/>
              </w:rPr>
              <w:t>13,467</w:t>
            </w:r>
          </w:p>
        </w:tc>
        <w:tc>
          <w:tcPr>
            <w:tcW w:type="dxa" w:w="1134"/>
          </w:tcPr>
          <w:p>
            <w:r>
              <w:rPr>
                <w:sz w:val="18"/>
              </w:rPr>
              <w:t>Database</w:t>
            </w:r>
          </w:p>
        </w:tc>
      </w:tr>
      <w:tr>
        <w:tc>
          <w:tcPr>
            <w:tcW w:type="dxa" w:w="2268"/>
          </w:tcPr>
          <w:p>
            <w:r>
              <w:rPr>
                <w:sz w:val="18"/>
              </w:rPr>
              <w:t>RotatE_LinkPrediction</w:t>
            </w:r>
          </w:p>
        </w:tc>
        <w:tc>
          <w:tcPr>
            <w:tcW w:type="dxa" w:w="1701"/>
          </w:tcPr>
          <w:p>
            <w:r>
              <w:rPr>
                <w:sz w:val="18"/>
              </w:rPr>
              <w:t>10,000</w:t>
            </w:r>
          </w:p>
        </w:tc>
        <w:tc>
          <w:tcPr>
            <w:tcW w:type="dxa" w:w="1134"/>
          </w:tcPr>
          <w:p>
            <w:r>
              <w:rPr>
                <w:sz w:val="18"/>
              </w:rPr>
              <w:t>ML</w:t>
            </w:r>
          </w:p>
        </w:tc>
      </w:tr>
      <w:tr>
        <w:tc>
          <w:tcPr>
            <w:tcW w:type="dxa" w:w="2268"/>
          </w:tcPr>
          <w:p>
            <w:r>
              <w:rPr>
                <w:sz w:val="18"/>
              </w:rPr>
              <w:t>CompGCN_LinkPrediction</w:t>
            </w:r>
          </w:p>
        </w:tc>
        <w:tc>
          <w:tcPr>
            <w:tcW w:type="dxa" w:w="1701"/>
          </w:tcPr>
          <w:p>
            <w:r>
              <w:rPr>
                <w:sz w:val="18"/>
              </w:rPr>
              <w:t>10,000</w:t>
            </w:r>
          </w:p>
        </w:tc>
        <w:tc>
          <w:tcPr>
            <w:tcW w:type="dxa" w:w="1134"/>
          </w:tcPr>
          <w:p>
            <w:r>
              <w:rPr>
                <w:sz w:val="18"/>
              </w:rPr>
              <w:t>ML</w:t>
            </w:r>
          </w:p>
        </w:tc>
      </w:tr>
      <w:tr>
        <w:tc>
          <w:tcPr>
            <w:tcW w:type="dxa" w:w="2268"/>
          </w:tcPr>
          <w:p>
            <w:r>
              <w:rPr>
                <w:sz w:val="18"/>
              </w:rPr>
              <w:t>Disease Ontology</w:t>
            </w:r>
          </w:p>
        </w:tc>
        <w:tc>
          <w:tcPr>
            <w:tcW w:type="dxa" w:w="1701"/>
          </w:tcPr>
          <w:p>
            <w:r>
              <w:rPr>
                <w:sz w:val="18"/>
              </w:rPr>
              <w:t>2,581</w:t>
            </w:r>
          </w:p>
        </w:tc>
        <w:tc>
          <w:tcPr>
            <w:tcW w:type="dxa" w:w="1134"/>
          </w:tcPr>
          <w:p>
            <w:r>
              <w:rPr>
                <w:sz w:val="18"/>
              </w:rPr>
              <w:t>Database</w:t>
            </w:r>
          </w:p>
        </w:tc>
      </w:tr>
      <w:tr>
        <w:tc>
          <w:tcPr>
            <w:tcW w:type="dxa" w:w="2268"/>
          </w:tcPr>
          <w:p>
            <w:r>
              <w:rPr>
                <w:sz w:val="18"/>
              </w:rPr>
              <w:t>OpenTargets</w:t>
            </w:r>
          </w:p>
        </w:tc>
        <w:tc>
          <w:tcPr>
            <w:tcW w:type="dxa" w:w="1701"/>
          </w:tcPr>
          <w:p>
            <w:r>
              <w:rPr>
                <w:sz w:val="18"/>
              </w:rPr>
              <w:t>2,132</w:t>
            </w:r>
          </w:p>
        </w:tc>
        <w:tc>
          <w:tcPr>
            <w:tcW w:type="dxa" w:w="1134"/>
          </w:tcPr>
          <w:p>
            <w:r>
              <w:rPr>
                <w:sz w:val="18"/>
              </w:rPr>
              <w:t>Database</w:t>
            </w:r>
          </w:p>
        </w:tc>
      </w:tr>
      <w:tr>
        <w:tc>
          <w:tcPr>
            <w:tcW w:type="dxa" w:w="2268"/>
          </w:tcPr>
          <w:p>
            <w:r>
              <w:rPr>
                <w:sz w:val="18"/>
              </w:rPr>
              <w:t>ClinPGx</w:t>
            </w:r>
          </w:p>
        </w:tc>
        <w:tc>
          <w:tcPr>
            <w:tcW w:type="dxa" w:w="1701"/>
          </w:tcPr>
          <w:p>
            <w:r>
              <w:rPr>
                <w:sz w:val="18"/>
              </w:rPr>
              <w:t>74</w:t>
            </w:r>
          </w:p>
        </w:tc>
        <w:tc>
          <w:tcPr>
            <w:tcW w:type="dxa" w:w="1134"/>
          </w:tcPr>
          <w:p>
            <w:r>
              <w:rPr>
                <w:sz w:val="18"/>
              </w:rPr>
              <w:t>Database</w:t>
            </w:r>
          </w:p>
        </w:tc>
      </w:tr>
    </w:tbl>
    <w:p/>
    <w:p>
      <w:r>
        <w:t>Plus 3 node-only sources with no edge labels: NCBI Gene (193,795 Gene nodes), Uberon (1,400 BodyPart nodes), MeSH (415 Symptom nodes).</w:t>
      </w:r>
    </w:p>
    <w:p>
      <w:pPr>
        <w:pStyle w:val="Heading2"/>
      </w:pPr>
      <w:r>
        <w:t>2.5 Orphan Nodes — Why They Are Expected</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Node Type</w:t>
            </w:r>
          </w:p>
        </w:tc>
        <w:tc>
          <w:tcPr>
            <w:tcW w:type="dxa" w:w="1417"/>
          </w:tcPr>
          <w:p>
            <w:r>
              <w:rPr>
                <w:b/>
                <w:sz w:val="18"/>
              </w:rPr>
              <w:t>Orphan Rate</w:t>
            </w:r>
          </w:p>
        </w:tc>
        <w:tc>
          <w:tcPr>
            <w:tcW w:type="dxa" w:w="5953"/>
          </w:tcPr>
          <w:p>
            <w:r>
              <w:rPr>
                <w:b/>
                <w:sz w:val="18"/>
              </w:rPr>
              <w:t>Why Expected</w:t>
            </w:r>
          </w:p>
        </w:tc>
      </w:tr>
      <w:tr>
        <w:tc>
          <w:tcPr>
            <w:tcW w:type="dxa" w:w="1701"/>
          </w:tcPr>
          <w:p>
            <w:r>
              <w:rPr>
                <w:sz w:val="18"/>
              </w:rPr>
              <w:t>Symptom</w:t>
            </w:r>
          </w:p>
        </w:tc>
        <w:tc>
          <w:tcPr>
            <w:tcW w:type="dxa" w:w="1417"/>
          </w:tcPr>
          <w:p>
            <w:r>
              <w:rPr>
                <w:sz w:val="18"/>
              </w:rPr>
              <w:t>~100%</w:t>
            </w:r>
          </w:p>
        </w:tc>
        <w:tc>
          <w:tcPr>
            <w:tcW w:type="dxa" w:w="5953"/>
          </w:tcPr>
          <w:p>
            <w:r>
              <w:rPr>
                <w:sz w:val="18"/>
              </w:rPr>
              <w:t>MeSH provides nodes but no relationship mappings. Only MEDLINE (skipped) provides symptom edges.</w:t>
            </w:r>
          </w:p>
        </w:tc>
      </w:tr>
      <w:tr>
        <w:tc>
          <w:tcPr>
            <w:tcW w:type="dxa" w:w="1701"/>
          </w:tcPr>
          <w:p>
            <w:r>
              <w:rPr>
                <w:sz w:val="18"/>
              </w:rPr>
              <w:t>DrugLabel</w:t>
            </w:r>
          </w:p>
        </w:tc>
        <w:tc>
          <w:tcPr>
            <w:tcW w:type="dxa" w:w="1417"/>
          </w:tcPr>
          <w:p>
            <w:r>
              <w:rPr>
                <w:sz w:val="18"/>
              </w:rPr>
              <w:t>~100%</w:t>
            </w:r>
          </w:p>
        </w:tc>
        <w:tc>
          <w:tcPr>
            <w:tcW w:type="dxa" w:w="5953"/>
          </w:tcPr>
          <w:p>
            <w:r>
              <w:rPr>
                <w:sz w:val="18"/>
              </w:rPr>
              <w:t>ClinPGx labels whose target genes/drugs are not in the CVD-filtered graph.</w:t>
            </w:r>
          </w:p>
        </w:tc>
      </w:tr>
      <w:tr>
        <w:tc>
          <w:tcPr>
            <w:tcW w:type="dxa" w:w="1701"/>
          </w:tcPr>
          <w:p>
            <w:r>
              <w:rPr>
                <w:sz w:val="18"/>
              </w:rPr>
              <w:t>Gene</w:t>
            </w:r>
          </w:p>
        </w:tc>
        <w:tc>
          <w:tcPr>
            <w:tcW w:type="dxa" w:w="1417"/>
          </w:tcPr>
          <w:p>
            <w:r>
              <w:rPr>
                <w:sz w:val="18"/>
              </w:rPr>
              <w:t>~78%</w:t>
            </w:r>
          </w:p>
        </w:tc>
        <w:tc>
          <w:tcPr>
            <w:tcW w:type="dxa" w:w="5953"/>
          </w:tcPr>
          <w:p>
            <w:r>
              <w:rPr>
                <w:sz w:val="18"/>
              </w:rPr>
              <w:t>Full NCBI catalog (193K genes) loaded so any gene referenced by other sources can be matched.</w:t>
            </w:r>
          </w:p>
        </w:tc>
      </w:tr>
      <w:tr>
        <w:tc>
          <w:tcPr>
            <w:tcW w:type="dxa" w:w="1701"/>
          </w:tcPr>
          <w:p>
            <w:r>
              <w:rPr>
                <w:sz w:val="18"/>
              </w:rPr>
              <w:t>Disease</w:t>
            </w:r>
          </w:p>
        </w:tc>
        <w:tc>
          <w:tcPr>
            <w:tcW w:type="dxa" w:w="1417"/>
          </w:tcPr>
          <w:p>
            <w:r>
              <w:rPr>
                <w:sz w:val="18"/>
              </w:rPr>
              <w:t>~76%</w:t>
            </w:r>
          </w:p>
        </w:tc>
        <w:tc>
          <w:tcPr>
            <w:tcW w:type="dxa" w:w="5953"/>
          </w:tcPr>
          <w:p>
            <w:r>
              <w:rPr>
                <w:sz w:val="18"/>
              </w:rPr>
              <w:t>Full Disease Ontology loaded (3,442 diseases) for subtype hierarchy traversal.</w:t>
            </w:r>
          </w:p>
        </w:tc>
      </w:tr>
    </w:tbl>
    <w:p/>
    <w:p>
      <w:r>
        <w:t>High orphan rates are a deliberate design choice: loading complete node catalogs ensures no edges are lost due to missing target nodes. The pipeline is order-independent — nodes do not need to be loaded before the edges that reference them.</w:t>
      </w:r>
    </w:p>
    <w:p>
      <w:r>
        <w:br w:type="page"/>
      </w:r>
    </w:p>
    <w:p>
      <w:pPr>
        <w:pStyle w:val="Heading1"/>
      </w:pPr>
      <w:r>
        <w:t>3. How the Graph Was Built — BaseAgent Pipeline</w:t>
      </w:r>
    </w:p>
    <w:p>
      <w:pPr>
        <w:pStyle w:val="Heading2"/>
      </w:pPr>
      <w:r>
        <w:t>3.1 What BaseAgent Is</w:t>
      </w:r>
    </w:p>
    <w:p>
      <w:r>
        <w:t>BaseAgent is a multi-agent orchestration framework built by Binglan Li (Li Lab, Stanford University) that automates the construction of biomedical knowledge graphs. It was originally developed for AlzKB (Alzheimer's Knowledge Base) and provides a template-based system where each data source is integrated through a standardized pipeline of AI agents. The CardioKB-specific adaptations are on the cardiokb branch of the BaseAgent repository (~/Desktop/BaseAgent/cardiokb.ipynb).</w:t>
      </w:r>
    </w:p>
    <w:p>
      <w:pPr>
        <w:pStyle w:val="Heading2"/>
      </w:pPr>
      <w:r>
        <w:t>3.2 The Multi-Agent System</w:t>
      </w:r>
    </w:p>
    <w:p>
      <w:r>
        <w:t>BaseAgent uses four specialized agents working in sequence for each data source:</w:t>
      </w:r>
    </w:p>
    <w:p>
      <w:r>
        <w:rPr>
          <w:b/>
        </w:rPr>
        <w:t xml:space="preserve">1. Ontology Agent: </w:t>
      </w:r>
      <w:r>
        <w:t>Analyzes the target data source and maps its entities to the knowledge graph schema. Determines which columns in the source data correspond to which node types, relationship types, and properties. For CardioKB, this produces one of the 86 ontology configs in src/ontology_configs.py.</w:t>
      </w:r>
    </w:p>
    <w:p>
      <w:r>
        <w:rPr>
          <w:b/>
        </w:rPr>
        <w:t xml:space="preserve">2. Engineer Agent: </w:t>
      </w:r>
      <w:r>
        <w:t>Generates a parser (Python class extending BaseParser) that downloads raw data, processes it, and converts it into standardized TSV format. Each parser handles the specific API or file format of its source.</w:t>
      </w:r>
    </w:p>
    <w:p>
      <w:r>
        <w:rPr>
          <w:b/>
        </w:rPr>
        <w:t xml:space="preserve">3. Mapping Agent: </w:t>
      </w:r>
      <w:r>
        <w:t>Resolves identifier conflicts between the new source and existing graph data. For example, PubTator uses MeSH IDs but CardioKB uses DOID identifiers — the mapping agent generates MeSH-to-DOID translation logic.</w:t>
      </w:r>
    </w:p>
    <w:p>
      <w:r>
        <w:rPr>
          <w:b/>
        </w:rPr>
        <w:t xml:space="preserve">4. Evaluator Agent: </w:t>
      </w:r>
      <w:r>
        <w:t>Validates parsed output against expected schemas, checks for data quality issues, and reports yield statistics.</w:t>
      </w:r>
    </w:p>
    <w:p>
      <w:pPr>
        <w:pStyle w:val="Heading2"/>
      </w:pPr>
      <w:r>
        <w:t>3.3 Pipeline Phases</w:t>
      </w:r>
    </w:p>
    <w:p>
      <w:r>
        <w:t>The pipeline orchestrator (src/main.py) coordinates five phases:</w:t>
      </w:r>
    </w:p>
    <w:p>
      <w:r>
        <w:rPr>
          <w:b/>
        </w:rPr>
        <w:t xml:space="preserve">Phase 1 — Download: </w:t>
      </w:r>
      <w:r>
        <w:t>Each parser downloads raw data to data/raw/&lt;source&gt;/. Sources use REST APIs (ClinicalTrials.gov, ClinPGx, DoRothEA, OpenTargets), FTP (NCBI Gene, PubTator, Bgee, ClinVar), XML files (DrugBank), or TSV files (most Hetionet-derived sources). Downloaded data is cached so subsequent runs can use --skip-download.</w:t>
      </w:r>
    </w:p>
    <w:p>
      <w:r>
        <w:rPr>
          <w:b/>
        </w:rPr>
        <w:t xml:space="preserve">Phase 2 — Parse: </w:t>
      </w:r>
      <w:r>
        <w:t>Each parser extracts nodes and edges into pandas DataFrames. This involves cleaning column names, filtering to CVD-relevant entries (for sources with AND-filters like PubTator and OpenTargets), resolving identifiers, and deduplicating.</w:t>
      </w:r>
    </w:p>
    <w:p>
      <w:r>
        <w:rPr>
          <w:b/>
        </w:rPr>
        <w:t xml:space="preserve">Phase 3 — TSV Export: </w:t>
      </w:r>
      <w:r>
        <w:t>DataFrames are written to data/processed/&lt;source&gt;/*.tsv with standardized column headers matching the ontology config.</w:t>
      </w:r>
    </w:p>
    <w:p>
      <w:r>
        <w:rPr>
          <w:b/>
        </w:rPr>
        <w:t xml:space="preserve">Phase 4 — Graph Load: </w:t>
      </w:r>
      <w:r>
        <w:t>memgraph_loader.py reads each TSV file paired with its ontology config. Uses UNWIND-based Cypher batching (batch_size=1000) with MERGE to prevent duplicate nodes/edges. Every relationship gets r.source set from the config's source_label field.</w:t>
      </w:r>
    </w:p>
    <w:p>
      <w:r>
        <w:rPr>
          <w:b/>
        </w:rPr>
        <w:t xml:space="preserve">Phase 5 — Post-processing: </w:t>
      </w:r>
      <w:r>
        <w:t>scripts/compute_specificity.py calculates specificityScore = 1.0 / count(Disease neighbors) for every node and stores it as a node property. Disease nodes get 0.0, nodes with no disease connections get 1.0.</w:t>
      </w:r>
    </w:p>
    <w:p>
      <w:pPr>
        <w:pStyle w:val="Heading3"/>
      </w:pPr>
      <w:r>
        <w:t>Key Technical Challenges Solved During Build</w:t>
      </w:r>
    </w:p>
    <w:p>
      <w:r>
        <w:rPr>
          <w:b/>
        </w:rPr>
        <w:t xml:space="preserve">FlatFileDatabaseParser → owl2.DataLoader (60,000x speedup): </w:t>
      </w:r>
      <w:r>
        <w:t>The original BaseAgent template used ista's FlatFileDatabaseParser to load OWL2 ontology files. For the Disease Ontology (42,000 terms), this took over 10 minutes. Switching to ista's owl2.DataLoader.execute() processed it in under 10ms.</w:t>
      </w:r>
    </w:p>
    <w:p>
      <w:r>
        <w:rPr>
          <w:b/>
        </w:rPr>
        <w:t xml:space="preserve">STUDIES_CONDITION Synonym Resolution (1 → 20,667 edges): </w:t>
      </w:r>
      <w:r>
        <w:t>ClinicalTrials.gov uses clinical terms ("Heart Attack") while Disease Ontology uses formal names ("myocardial infarction"). Implemented cascading synonym resolution using Disease Ontology synonym fields.</w:t>
      </w:r>
    </w:p>
    <w:p>
      <w:r>
        <w:rPr>
          <w:b/>
        </w:rPr>
        <w:t xml:space="preserve">CTD Expression Edge Fix (0 → 525,907 edges): </w:t>
      </w:r>
      <w:r>
        <w:t>Column mapping bug was reading wrong column indices from CTD's TSV format. Fixed column mapping and implemented chemId-to-commonName resolution for Drug node matching.</w:t>
      </w:r>
    </w:p>
    <w:p>
      <w:r>
        <w:rPr>
          <w:b/>
        </w:rPr>
        <w:t xml:space="preserve">Silent Triple Loss in TSVMemgraphExporter: </w:t>
      </w:r>
      <w:r>
        <w:t>Exporter was silently dropping rows with null values or mixed-type columns. Added explicit null handling and mixed-type coercion.</w:t>
      </w:r>
    </w:p>
    <w:p>
      <w:r>
        <w:rPr>
          <w:b/>
        </w:rPr>
        <w:t xml:space="preserve">Disease CUI Mapping Gap: </w:t>
      </w:r>
      <w:r>
        <w:t>DrugCentral uses UMLS CUI identifiers but CardioKB Disease nodes use DOID. Implemented CUI-to-DOID mapping using Disease Ontology xref fields (212 CUI overlaps).</w:t>
      </w:r>
    </w:p>
    <w:p>
      <w:r>
        <w:rPr>
          <w:b/>
        </w:rPr>
        <w:t xml:space="preserve">Named Docker Volume Persistence: </w:t>
      </w:r>
      <w:r>
        <w:t>Graph data was lost on docker compose down because of anonymous volumes. Added explicit named volume (memgraph-data) mapped to /var/lib/memgraph.</w:t>
      </w:r>
    </w:p>
    <w:p>
      <w:pPr>
        <w:pStyle w:val="Heading2"/>
      </w:pPr>
      <w:r>
        <w:t>3.4 HPC and SLURM</w:t>
      </w:r>
    </w:p>
    <w:p>
      <w:r>
        <w:t>SLURM (Simple Linux Utility for Resource Management) is used on HPC for ML embedding training because:</w:t>
      </w:r>
    </w:p>
    <w:p>
      <w:pPr>
        <w:pStyle w:val="ListBullet"/>
        <w:ind w:left="720"/>
      </w:pPr>
      <w:r>
        <w:t>CompGCN training requires 32 million parameters and ~7 minutes on a GPU (hours on CPU)</w:t>
      </w:r>
    </w:p>
    <w:p>
      <w:pPr>
        <w:pStyle w:val="ListBullet"/>
        <w:ind w:left="720"/>
      </w:pPr>
      <w:r>
        <w:t>RotatE training via PyKEEN requires ~3.4 hours on an L40S GPU with 64 negative samples per positive</w:t>
      </w:r>
    </w:p>
    <w:p>
      <w:r>
        <w:t>SLURM job scripts (hpc/*.slurm) request specific resources and queue training jobs. Results are saved to ml/data/ and transferred back to the local machine. Two HPC nodes (esplhpc-cp018, esplhpc-cp076) are excluded due to hardware issues.</w:t>
      </w:r>
    </w:p>
    <w:p>
      <w:r>
        <w:br w:type="page"/>
      </w:r>
    </w:p>
    <w:p>
      <w:pPr>
        <w:pStyle w:val="Heading1"/>
      </w:pPr>
      <w:r>
        <w:t>4. Data Sources — All 23 in Detail</w:t>
      </w:r>
    </w:p>
    <w:p>
      <w:r>
        <w:t>Each source was selected based on three criteria: (1) authoritative coverage of a specific biological entity type, (2) no redundancy with other included sources, and (3) public accessibility. During a systematic deduplication audit, 14 sources were removed (DisGeNET, GWAS Catalog, Jensen DISEASES, Jensen TISSUES, MEDLINE, OMIM, WikiPathways, AOP-DB, HGNC base, CellAge, GenAge, Hetionet precomputed, DrugAge, AnAge).</w:t>
      </w:r>
    </w:p>
    <w:p>
      <w:pPr>
        <w:pStyle w:val="Heading2"/>
      </w:pPr>
      <w:r>
        <w:t>4.1 Direct Parsers (5)</w:t>
      </w:r>
    </w:p>
    <w:p>
      <w:r>
        <w:rPr>
          <w:b/>
        </w:rPr>
        <w:t xml:space="preserve">1. ClinicalTrials.gov — </w:t>
      </w:r>
      <w:r>
        <w:t>Public API v2</w:t>
      </w:r>
    </w:p>
    <w:p>
      <w:r>
        <w:t>Contribution: 21,578 ClinicalTrial nodes, 20,667 STUDIES_CONDITION edges, 3,180 TESTS_INTERVENTION edges, 153 drugTreatsDisease edges</w:t>
      </w:r>
    </w:p>
    <w:p>
      <w:r>
        <w:t>Only source for clinical trial data. Queries API per CVD disease term (184 terms), caches JSON. drugTreatsDisease filtered by 4 criteria: primaryPurpose==TREATMENT, EXPERIMENTAL arm, first-listed condition, trialCount dedup. This replaced an unfiltered approach producing 868 spurious edges (see Section 6.1).</w:t>
      </w:r>
    </w:p>
    <w:p>
      <w:r>
        <w:rPr>
          <w:b/>
        </w:rPr>
        <w:t xml:space="preserve">2. ClinPGx (PharmGKB successor) — </w:t>
      </w:r>
      <w:r>
        <w:t>Public API</w:t>
      </w:r>
    </w:p>
    <w:p>
      <w:r>
        <w:t>Contribution: 29 DrugLabel nodes, 1,091 VARIANT_IN, 503 drugLabelAnnotatesGene, 345 drugLabelDescribesDrug, 224 AFFECTS_RESPONSE_TO, 19 AFFECTS_RESPONSE_TO_CLASS edges</w:t>
      </w:r>
    </w:p>
    <w:p>
      <w:r>
        <w:t>Only source for pharmacogenomic drug label annotations. Successor to PharmGKB with cleaner REST API.</w:t>
      </w:r>
    </w:p>
    <w:p>
      <w:r>
        <w:rPr>
          <w:b/>
        </w:rPr>
        <w:t xml:space="preserve">3. NCBI Gene — </w:t>
      </w:r>
      <w:r>
        <w:t>Public FTP</w:t>
      </w:r>
    </w:p>
    <w:p>
      <w:r>
        <w:t>Contribution: 193,687 Gene nodes (node-only, no edges)</w:t>
      </w:r>
    </w:p>
    <w:p>
      <w:r>
        <w:t>Authoritative human gene identifiers. Provides the Gene node backbone that other sources connect to. ~78% orphans by design.</w:t>
      </w:r>
    </w:p>
    <w:p>
      <w:r>
        <w:rPr>
          <w:b/>
        </w:rPr>
        <w:t xml:space="preserve">4. DoRothEA (via OmniPath) — </w:t>
      </w:r>
      <w:r>
        <w:t>Public API</w:t>
      </w:r>
    </w:p>
    <w:p>
      <w:r>
        <w:t>Contribution: 367 TranscriptionFactor nodes, 12,985 tfInteractsWithGene edges (morScore, confidence)</w:t>
      </w:r>
    </w:p>
    <w:p>
      <w:r>
        <w:t>Only source for curated TF-gene regulatory interactions. morScore: -1=represses, 0=unknown, +1=activates. Confidence: A (highest) through E.</w:t>
      </w:r>
    </w:p>
    <w:p>
      <w:r>
        <w:rPr>
          <w:b/>
        </w:rPr>
        <w:t xml:space="preserve">5. DrugBank — </w:t>
      </w:r>
      <w:r>
        <w:t>XML file</w:t>
      </w:r>
    </w:p>
    <w:p>
      <w:r>
        <w:t>Contribution: 19,842 Drug nodes, 12,089 drugBindsGene edges</w:t>
      </w:r>
    </w:p>
    <w:p>
      <w:r>
        <w:t>Gold-standard drug database. Provides Drug node identifiers and drug-target binding relationships. XML access requires registration.</w:t>
      </w:r>
    </w:p>
    <w:p>
      <w:pPr>
        <w:pStyle w:val="Heading2"/>
      </w:pPr>
      <w:r>
        <w:t>4.2 Hetionet-Derived Component Parsers (15)</w:t>
      </w:r>
    </w:p>
    <w:p>
      <w:r>
        <w:t>Originally part of Hetionet precomputed dataset, broken out into individual parsers querying original sources directly.</w:t>
      </w:r>
    </w:p>
    <w:p>
      <w:r>
        <w:rPr>
          <w:b/>
        </w:rPr>
        <w:t xml:space="preserve">6. Disease Ontology: </w:t>
      </w:r>
      <w:r>
        <w:t>12,012 Disease nodes; 6,447 diseaseIsSubtypeOf edges (2,581 loaded)</w:t>
      </w:r>
    </w:p>
    <w:p>
      <w:r>
        <w:t>Authoritative disease taxonomy with DOID identifiers.</w:t>
      </w:r>
    </w:p>
    <w:p>
      <w:r>
        <w:rPr>
          <w:b/>
        </w:rPr>
        <w:t xml:space="preserve">7. Gene Ontology: </w:t>
      </w:r>
      <w:r>
        <w:t>50,350 BP + 26,935 MF + 25,794 CC edges</w:t>
      </w:r>
    </w:p>
    <w:p>
      <w:r>
        <w:t>Functional gene annotations across 3 ontology domains.</w:t>
      </w:r>
    </w:p>
    <w:p>
      <w:r>
        <w:rPr>
          <w:b/>
        </w:rPr>
        <w:t xml:space="preserve">8. Uberon: </w:t>
      </w:r>
      <w:r>
        <w:t>14,937 BodyPart nodes (node-only)</w:t>
      </w:r>
    </w:p>
    <w:p>
      <w:r>
        <w:t>Anatomy identifiers used by Bgee for tissue-specific expression.</w:t>
      </w:r>
    </w:p>
    <w:p>
      <w:r>
        <w:rPr>
          <w:b/>
        </w:rPr>
        <w:t xml:space="preserve">9. MeSH: </w:t>
      </w:r>
      <w:r>
        <w:t>966 Symptom nodes (node-only)</w:t>
      </w:r>
    </w:p>
    <w:p>
      <w:r>
        <w:t>Standardized symptom vocabulary. ~100% orphans.</w:t>
      </w:r>
    </w:p>
    <w:p>
      <w:r>
        <w:rPr>
          <w:b/>
        </w:rPr>
        <w:t xml:space="preserve">10. SIDER: </w:t>
      </w:r>
      <w:r>
        <w:t>148,518 compoundCausesSideEffect edges</w:t>
      </w:r>
    </w:p>
    <w:p>
      <w:r>
        <w:t>Drug side effect data. Legacy (2015). No live API alternative.</w:t>
      </w:r>
    </w:p>
    <w:p>
      <w:r>
        <w:rPr>
          <w:b/>
        </w:rPr>
        <w:t xml:space="preserve">11. LINCS L1000: </w:t>
      </w:r>
      <w:r>
        <w:t>150,535 gene expression edges with zScore</w:t>
      </w:r>
    </w:p>
    <w:p>
      <w:r>
        <w:t>Drug-induced gene expression changes. Legacy. clue.io requires institutional access.</w:t>
      </w:r>
    </w:p>
    <w:p>
      <w:r>
        <w:rPr>
          <w:b/>
        </w:rPr>
        <w:t xml:space="preserve">12. DrugCentral: </w:t>
      </w:r>
      <w:r>
        <w:t>16,403 pharmacologic class + 245 treats + 96 palliates edges</w:t>
      </w:r>
    </w:p>
    <w:p>
      <w:r>
        <w:t>Pharmacologic class assignments and FDA indications. CUI-to-DOID mapped.</w:t>
      </w:r>
    </w:p>
    <w:p>
      <w:r>
        <w:rPr>
          <w:b/>
        </w:rPr>
        <w:t xml:space="preserve">13. BindingDB: </w:t>
      </w:r>
      <w:r>
        <w:t>12,250 chemicalBindsGene edges</w:t>
      </w:r>
    </w:p>
    <w:p>
      <w:r>
        <w:t>Experimentally measured binding affinities (edge existence only).</w:t>
      </w:r>
    </w:p>
    <w:p>
      <w:r>
        <w:rPr>
          <w:b/>
        </w:rPr>
        <w:t xml:space="preserve">14. PubTator Central: </w:t>
      </w:r>
      <w:r>
        <w:t>744,427 geneAssocDisease + 4,320 diseaseAssocDisease edges</w:t>
      </w:r>
    </w:p>
    <w:p>
      <w:r>
        <w:t>Largest literature-mined gene-disease associations. CVD AND-filter applied.</w:t>
      </w:r>
    </w:p>
    <w:p>
      <w:r>
        <w:rPr>
          <w:b/>
        </w:rPr>
        <w:t xml:space="preserve">15. CTD: </w:t>
      </w:r>
      <w:r>
        <w:t>4,572 Drug nodes; 116,451 chemIncrExp + 97,951 chemDecrExp; 3,115 drugTreatsDisease</w:t>
      </w:r>
    </w:p>
    <w:p>
      <w:r>
        <w:t>Only source for directional chemical-gene expression effects. Largest drugTreatsDisease contributor.</w:t>
      </w:r>
    </w:p>
    <w:p>
      <w:r>
        <w:rPr>
          <w:b/>
        </w:rPr>
        <w:t xml:space="preserve">16. Bgee: </w:t>
      </w:r>
      <w:r>
        <w:t>784,026 underexpresses + 1,872 overexpresses edges with expressionScore</w:t>
      </w:r>
    </w:p>
    <w:p>
      <w:r>
        <w:t>Only source for tissue-specific gene expression patterns.</w:t>
      </w:r>
    </w:p>
    <w:p>
      <w:r>
        <w:rPr>
          <w:b/>
        </w:rPr>
        <w:t xml:space="preserve">17. HPO: </w:t>
      </w:r>
      <w:r>
        <w:t>19,389 Phenotype nodes; 162,994 gene-phenotype edges</w:t>
      </w:r>
    </w:p>
    <w:p>
      <w:r>
        <w:t>Gene-phenotype associations. Connects genetics to clinical features.</w:t>
      </w:r>
    </w:p>
    <w:p>
      <w:r>
        <w:rPr>
          <w:b/>
        </w:rPr>
        <w:t xml:space="preserve">18. Reactome: </w:t>
      </w:r>
      <w:r>
        <w:t>44,979 geneInPathway + 44,979 pathwayContainsGene edges</w:t>
      </w:r>
    </w:p>
    <w:p>
      <w:r>
        <w:t>Curated biological pathway assignments.</w:t>
      </w:r>
    </w:p>
    <w:p>
      <w:r>
        <w:rPr>
          <w:b/>
        </w:rPr>
        <w:t xml:space="preserve">19. STRING: </w:t>
      </w:r>
      <w:r>
        <w:t>121,170 geneInteractsWithGene edges (confidence &gt; 700, combinedScore)</w:t>
      </w:r>
    </w:p>
    <w:p>
      <w:r>
        <w:t>Largest protein-protein interaction source.</w:t>
      </w:r>
    </w:p>
    <w:p>
      <w:r>
        <w:rPr>
          <w:b/>
        </w:rPr>
        <w:t xml:space="preserve">20. OpenTargets: </w:t>
      </w:r>
      <w:r>
        <w:t>32,826 geneAssocDisease edges (CVD AND-filter, EFO-to-DOID mapped)</w:t>
      </w:r>
    </w:p>
    <w:p>
      <w:r>
        <w:t>Curated gene-disease from genetic, somatic, literature, drug evidence.</w:t>
      </w:r>
    </w:p>
    <w:p>
      <w:pPr>
        <w:pStyle w:val="Heading2"/>
      </w:pPr>
      <w:r>
        <w:t>4.3 Additional Sources (3)</w:t>
      </w:r>
    </w:p>
    <w:p>
      <w:r>
        <w:rPr>
          <w:b/>
        </w:rPr>
        <w:t xml:space="preserve">21. HGNC Gene Families: </w:t>
      </w:r>
      <w:r>
        <w:t>1,934 GeneFamily nodes, 5,123 geneInFamily + 5,123 familyContainsGene edges. Gene family membership.</w:t>
      </w:r>
    </w:p>
    <w:p>
      <w:r>
        <w:rPr>
          <w:b/>
        </w:rPr>
        <w:t xml:space="preserve">22. ClinVar: </w:t>
      </w:r>
      <w:r>
        <w:t>4,488,042 Variant nodes, 2,267,095 hasVariant + 2,267,095 variantInGene edges with clinicalSignificance. Largest single source. Only 0.12% variant-disease associations map to CardioKB diseases (212 CUI overlap).</w:t>
      </w:r>
    </w:p>
    <w:p>
      <w:r>
        <w:rPr>
          <w:b/>
        </w:rPr>
        <w:t xml:space="preserve">23. DrugBank_Indications (text-mined): </w:t>
      </w:r>
      <w:r>
        <w:t>2,512 drugTreatsDisease + 10,955 drugTreatsPhenotype edges. Text-mined from DrugBank XML indication fields via scripts/drugbank_indications.py. Added post-ML-training.</w:t>
      </w:r>
    </w:p>
    <w:p>
      <w:pPr>
        <w:pStyle w:val="Heading2"/>
      </w:pPr>
      <w:r>
        <w:t>4.4 drugTreatsDisease Edge Aggregation</w:t>
      </w:r>
    </w:p>
    <w:p>
      <w:r>
        <w:t>The most important edge type for ML drug repurposing. Comes from 4 complementary sources:</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tcPr>
          <w:p>
            <w:r>
              <w:rPr>
                <w:b/>
                <w:sz w:val="18"/>
              </w:rPr>
              <w:t>Source</w:t>
            </w:r>
          </w:p>
        </w:tc>
        <w:tc>
          <w:tcPr>
            <w:tcW w:type="dxa" w:w="850"/>
          </w:tcPr>
          <w:p>
            <w:r>
              <w:rPr>
                <w:b/>
                <w:sz w:val="18"/>
              </w:rPr>
              <w:t>Edges</w:t>
            </w:r>
          </w:p>
        </w:tc>
        <w:tc>
          <w:tcPr>
            <w:tcW w:type="dxa" w:w="6236"/>
          </w:tcPr>
          <w:p>
            <w:r>
              <w:rPr>
                <w:b/>
                <w:sz w:val="18"/>
              </w:rPr>
              <w:t>Evidence Type</w:t>
            </w:r>
          </w:p>
        </w:tc>
      </w:tr>
      <w:tr>
        <w:tc>
          <w:tcPr>
            <w:tcW w:type="dxa" w:w="1984"/>
          </w:tcPr>
          <w:p>
            <w:r>
              <w:rPr>
                <w:sz w:val="18"/>
              </w:rPr>
              <w:t>CTD</w:t>
            </w:r>
          </w:p>
        </w:tc>
        <w:tc>
          <w:tcPr>
            <w:tcW w:type="dxa" w:w="850"/>
          </w:tcPr>
          <w:p>
            <w:r>
              <w:rPr>
                <w:sz w:val="18"/>
              </w:rPr>
              <w:t>3,115</w:t>
            </w:r>
          </w:p>
        </w:tc>
        <w:tc>
          <w:tcPr>
            <w:tcW w:type="dxa" w:w="6236"/>
          </w:tcPr>
          <w:p>
            <w:r>
              <w:rPr>
                <w:sz w:val="18"/>
              </w:rPr>
              <w:t>Curated chemical-disease therapeutic relationships from scientific literature</w:t>
            </w:r>
          </w:p>
        </w:tc>
      </w:tr>
      <w:tr>
        <w:tc>
          <w:tcPr>
            <w:tcW w:type="dxa" w:w="1984"/>
          </w:tcPr>
          <w:p>
            <w:r>
              <w:rPr>
                <w:sz w:val="18"/>
              </w:rPr>
              <w:t>DrugBank_Indications</w:t>
            </w:r>
          </w:p>
        </w:tc>
        <w:tc>
          <w:tcPr>
            <w:tcW w:type="dxa" w:w="850"/>
          </w:tcPr>
          <w:p>
            <w:r>
              <w:rPr>
                <w:sz w:val="18"/>
              </w:rPr>
              <w:t>2,512</w:t>
            </w:r>
          </w:p>
        </w:tc>
        <w:tc>
          <w:tcPr>
            <w:tcW w:type="dxa" w:w="6236"/>
          </w:tcPr>
          <w:p>
            <w:r>
              <w:rPr>
                <w:sz w:val="18"/>
              </w:rPr>
              <w:t>Text-mined from DrugBank XML indication free-text fields</w:t>
            </w:r>
          </w:p>
        </w:tc>
      </w:tr>
      <w:tr>
        <w:tc>
          <w:tcPr>
            <w:tcW w:type="dxa" w:w="1984"/>
          </w:tcPr>
          <w:p>
            <w:r>
              <w:rPr>
                <w:sz w:val="18"/>
              </w:rPr>
              <w:t>DrugCentral</w:t>
            </w:r>
          </w:p>
        </w:tc>
        <w:tc>
          <w:tcPr>
            <w:tcW w:type="dxa" w:w="850"/>
          </w:tcPr>
          <w:p>
            <w:r>
              <w:rPr>
                <w:sz w:val="18"/>
              </w:rPr>
              <w:t>157</w:t>
            </w:r>
          </w:p>
        </w:tc>
        <w:tc>
          <w:tcPr>
            <w:tcW w:type="dxa" w:w="6236"/>
          </w:tcPr>
          <w:p>
            <w:r>
              <w:rPr>
                <w:sz w:val="18"/>
              </w:rPr>
              <w:t>FDA-approved indications mapped via CUI-to-DOID</w:t>
            </w:r>
          </w:p>
        </w:tc>
      </w:tr>
      <w:tr>
        <w:tc>
          <w:tcPr>
            <w:tcW w:type="dxa" w:w="1984"/>
          </w:tcPr>
          <w:p>
            <w:r>
              <w:rPr>
                <w:sz w:val="18"/>
              </w:rPr>
              <w:t>ClinicalTrials.gov</w:t>
            </w:r>
          </w:p>
        </w:tc>
        <w:tc>
          <w:tcPr>
            <w:tcW w:type="dxa" w:w="850"/>
          </w:tcPr>
          <w:p>
            <w:r>
              <w:rPr>
                <w:sz w:val="18"/>
              </w:rPr>
              <w:t>153</w:t>
            </w:r>
          </w:p>
        </w:tc>
        <w:tc>
          <w:tcPr>
            <w:tcW w:type="dxa" w:w="6236"/>
          </w:tcPr>
          <w:p>
            <w:r>
              <w:rPr>
                <w:sz w:val="18"/>
              </w:rPr>
              <w:t>Phase 3/4 trials with 4 strict filters (82.4% reduction from 868)</w:t>
            </w:r>
          </w:p>
        </w:tc>
      </w:tr>
      <w:tr>
        <w:tc>
          <w:tcPr>
            <w:tcW w:type="dxa" w:w="1984"/>
          </w:tcPr>
          <w:p>
            <w:r>
              <w:rPr>
                <w:sz w:val="18"/>
              </w:rPr>
              <w:t>Total (deduplicated)</w:t>
            </w:r>
          </w:p>
        </w:tc>
        <w:tc>
          <w:tcPr>
            <w:tcW w:type="dxa" w:w="850"/>
          </w:tcPr>
          <w:p>
            <w:r>
              <w:rPr>
                <w:sz w:val="18"/>
              </w:rPr>
              <w:t>5,937</w:t>
            </w:r>
          </w:p>
        </w:tc>
        <w:tc>
          <w:tcPr>
            <w:tcW w:type="dxa" w:w="6236"/>
          </w:tcPr>
          <w:p>
            <w:r>
              <w:rPr>
                <w:sz w:val="18"/>
              </w:rPr>
              <w:t>Combined, deduplicated by (Drug, Disease) pair</w:t>
            </w:r>
          </w:p>
        </w:tc>
      </w:tr>
    </w:tbl>
    <w:p/>
    <w:p>
      <w:r>
        <w:t>drugTreatsPhenotype (10,955 edges) covers conditions like tachycardia, arrhythmia, edema that exist only as Phenotype (HPO) nodes, not Disease nodes. NL2Cypher uses UNION ALL across both relationship types for treatment queries.</w:t>
      </w:r>
    </w:p>
    <w:p>
      <w:r>
        <w:br w:type="page"/>
      </w:r>
    </w:p>
    <w:p>
      <w:pPr>
        <w:pStyle w:val="Heading1"/>
      </w:pPr>
      <w:r>
        <w:t>5. ML Pipeline — Drug Repurposing Link Prediction</w:t>
      </w:r>
    </w:p>
    <w:p>
      <w:pPr>
        <w:pStyle w:val="Heading2"/>
      </w:pPr>
      <w:r>
        <w:t>5.1 Why Link Prediction for Drug Repurposing</w:t>
      </w:r>
    </w:p>
    <w:p>
      <w:r>
        <w:rPr>
          <w:b/>
        </w:rPr>
        <w:t xml:space="preserve">What link prediction is: </w:t>
      </w:r>
      <w:r>
        <w:t>Given a graph with known edges, link prediction asks: "Which edges are missing?" The model learns patterns from existing edges to score potential new ones.</w:t>
      </w:r>
    </w:p>
    <w:p>
      <w:r>
        <w:rPr>
          <w:b/>
        </w:rPr>
        <w:t xml:space="preserve">Why drug repurposing: </w:t>
      </w:r>
      <w:r>
        <w:t>Drug repurposing (finding new uses for existing drugs) costs ~$300M and takes ~6.5 years, versus ~$2.6B and ~13 years for new drug development. Existing drugs have already passed safety testing.</w:t>
      </w:r>
    </w:p>
    <w:p>
      <w:r>
        <w:rPr>
          <w:b/>
        </w:rPr>
        <w:t xml:space="preserve">The task: </w:t>
      </w:r>
      <w:r>
        <w:t>Given 4,726 training drugTreatsDisease edges, predict which of the remaining ~4.4 million possible Drug-Disease pairs are most likely to be genuine treatment relationships. Top predictions become hypotheses for experimental validation.</w:t>
      </w:r>
    </w:p>
    <w:p>
      <w:pPr>
        <w:pStyle w:val="Heading2"/>
      </w:pPr>
      <w:r>
        <w:t>5.2 Data Preparation</w:t>
      </w:r>
    </w:p>
    <w:p>
      <w:r>
        <w:rPr>
          <w:b/>
        </w:rPr>
        <w:t xml:space="preserve">Edge export: </w:t>
      </w:r>
      <w:r>
        <w:t>ml/export_edges.py exports all edges from Memgraph as (src, dst, rel_type) triples, mapping each node to a unique integer ID. Critical: predictedTreatsDisease edges are EXCLUDED from export (line 46) to prevent self-prediction contamination. Duplicate (src, dst, rel_type) triples are deduplicated via a seen set (lines 59-73). Result: 5,452,581 unique edges, 255,174 nodes, 27 relationship types.</w:t>
      </w:r>
    </w:p>
    <w:p>
      <w:r>
        <w:rPr>
          <w:b/>
        </w:rPr>
        <w:t xml:space="preserve">80/10/10 stratified split: </w:t>
      </w:r>
      <w:r>
        <w:t>"Stratified" means all 27 edge types are split proportionally. If drugTreatsDisease is 0.11% of all edges, then ~0.11% of each split is drugTreatsDisease. Split seed=42. Result: 4,362,085 train / 545,248 val / 545,248 test edges. For drugTreatsDisease specifically: 4,726 train / 590 val / 590 test (5,906 total in splits; 5,937 in graph because 31 edges had unmapped nodes).</w:t>
      </w:r>
    </w:p>
    <w:p>
      <w:r>
        <w:rPr>
          <w:b/>
        </w:rPr>
        <w:t xml:space="preserve">Negative sampling: </w:t>
      </w:r>
      <w:r>
        <w:t>For each positive drugTreatsDisease edge, we sample one negative: a random (Drug, Disease) pair that does NOT exist anywhere in the full graph (not just train). The 1:1 ratio keeps classes balanced. Seeds: train=42, val=123, test=456, identical across all methods for fair comparison.</w:t>
      </w:r>
    </w:p>
    <w:p>
      <w:r>
        <w:rPr>
          <w:b/>
        </w:rPr>
        <w:t xml:space="preserve">Therapeutic drug filter: </w:t>
      </w:r>
      <w:r>
        <w:t>Not all 32,849 Drug nodes are therapeutically relevant. We filter to drugs with at least one "therapeutic signal" edge (drugTreatsDisease, drugBindsGene, chemicalIncreasesExpression, etc.). This yields 10,310 therapeutic drugs. Without this filter, predictions would be dominated by irrelevant metabolites and food compounds.</w:t>
      </w:r>
    </w:p>
    <w:p>
      <w:r>
        <w:rPr>
          <w:b/>
        </w:rPr>
        <w:t xml:space="preserve">Embedding-available subset: </w:t>
      </w:r>
      <w:r>
        <w:t>After filtering to nodes with embeddings: 4,726 train / 485 val / 484 test positive edges. CompGCN sees 2,640 candidate diseases; RotatE sees 2,296 (344 fewer due to missing PyKEEN entity mappings).</w:t>
      </w:r>
    </w:p>
    <w:p>
      <w:pPr>
        <w:pStyle w:val="Heading2"/>
      </w:pPr>
      <w:r>
        <w:t>5.3 RotatE</w:t>
      </w:r>
    </w:p>
    <w:p>
      <w:r>
        <w:rPr>
          <w:b/>
        </w:rPr>
        <w:t xml:space="preserve">How it works: </w:t>
      </w:r>
      <w:r>
        <w:t>RotatE models each relation as a rotation in complex number space. For a triple (head, relation, tail), the scoring function is ||h ∘ r - t||, where h and t are complex vectors and r is a unit-modulus complex vector (|r|=1, pure rotation). Each of the 27 relation types learns its own rotation angle, so drugBindsGene rotates embeddings differently than chemicalIncreasesExpression.</w:t>
      </w:r>
    </w:p>
    <w:p>
      <w:r>
        <w:rPr>
          <w:b/>
        </w:rPr>
        <w:t xml:space="preserve">Implementation: </w:t>
      </w:r>
      <w:r>
        <w:t>PyKEEN framework. Embedding dim = 128 complex (256 real). Training: 200 epochs, batch_size=4096, learning_rate=1e-4, 64 negative samples per positive, NSSALoss (margin=9.0, adversarial_temperature=1.0). Trained on L40S GPU on HPC for ~3.4 hours. 229,041 entities, 27 relations.</w:t>
      </w:r>
    </w:p>
    <w:p>
      <w:r>
        <w:rPr>
          <w:b/>
        </w:rPr>
        <w:t xml:space="preserve">Why cosine decoder fails: </w:t>
      </w:r>
      <w:r>
        <w:t>RotatE embeddings are optimized for the rotation scoring function, not angular similarity. Two entities can have similar cosine angles but be far apart after relation-specific rotation. Cosine AUROC = 0.7807 vs XGBoost AUROC = 0.9828.</w:t>
      </w:r>
    </w:p>
    <w:p>
      <w:pPr>
        <w:pStyle w:val="Heading2"/>
      </w:pPr>
      <w:r>
        <w:t>5.4 CompGCN (Graph Neural Network)</w:t>
      </w:r>
    </w:p>
    <w:p>
      <w:r>
        <w:rPr>
          <w:b/>
        </w:rPr>
        <w:t xml:space="preserve">What a GNN is: </w:t>
      </w:r>
      <w:r>
        <w:t>A Graph Neural Network learns node embeddings by aggregating information from each node's neighborhood. Layer 1 sees 1-hop neighbors, layer 2 sees 2-hop. CompGCN uses 2 layers.</w:t>
      </w:r>
    </w:p>
    <w:p>
      <w:r>
        <w:rPr>
          <w:b/>
        </w:rPr>
        <w:t xml:space="preserve">Why CompGCN over R-GCN: </w:t>
      </w:r>
      <w:r>
        <w:t>R-GCN learns a separate weight matrix per relation type (25 × 128 × 128 = 409,600 params/layer) — overfitting risk with only 4,726 training edges. CompGCN learns one d-dimensional embedding per relation (27 × 128 = 3,456 relation params) plus one shared weight matrix. The relation embedding is composed with each neighbor via subtraction: φ(e_neighbor, e_relation) = e_neighbor - e_relation. Dramatically fewer parameters while still capturing relation-specific semantics.</w:t>
      </w:r>
    </w:p>
    <w:p>
      <w:r>
        <w:rPr>
          <w:b/>
        </w:rPr>
        <w:t xml:space="preserve">Training: </w:t>
      </w:r>
      <w:r>
        <w:t>Pure PyTorch (custom implementation). 2 layers, 128 hidden dim, subtraction composition, dropout=0.3, LR=1e-3, Adam, gradient clipping max_norm=1.0. 200 max epochs with early stopping (patience=20). Best model at epoch 60. 32,768,384 total parameters. Trained on HPC GPU for ~7 minutes. Training sample size: 500,000 edges per epoch with 1:1 negative sampling. Scoring: DistMult-style h * r * t element-wise product.</w:t>
      </w:r>
    </w:p>
    <w:p>
      <w:r>
        <w:rPr>
          <w:b/>
        </w:rPr>
        <w:t xml:space="preserve">Split handling for GNNs: </w:t>
      </w:r>
      <w:r>
        <w:t>Unlike RotatE which sees individual triples, CompGCN sees the ENTIRE graph structure during message passing. To prevent leakage, all val/test edges are removed before training. The GNN only sees train-split edges during message passing.</w:t>
      </w:r>
    </w:p>
    <w:p>
      <w:pPr>
        <w:pStyle w:val="Heading2"/>
      </w:pPr>
      <w:r>
        <w:t>5.5 Decoders Compared</w:t>
      </w:r>
    </w:p>
    <w:p>
      <w:r>
        <w:rPr>
          <w:b/>
        </w:rPr>
        <w:t xml:space="preserve">Cosine similarity: </w:t>
      </w:r>
      <w:r>
        <w:t>Score = (emb_drug · emb_disease) / (|emb_drug| × |emb_disease|). Works for Node2Vec (AUROC 0.72) but fails for RotatE/CompGCN because their embeddings encode relational structure that cosine cannot capture.</w:t>
      </w:r>
    </w:p>
    <w:p>
      <w:r>
        <w:rPr>
          <w:b/>
        </w:rPr>
        <w:t xml:space="preserve">XGBoost: </w:t>
      </w:r>
      <w:r>
        <w:t>Ensemble of gradient-boosted decision trees. For each Drug-Disease pair, receives: (1) Hadamard product emb_drug * emb_disease, (2) absolute difference |emb_drug - emb_disease|, (3) cosine similarity, (4) L2 distance, (5) 6 structural features (shared neighbors, Jaccard, Adamic-Adar, log preferential attachment, log drug degree, log disease degree). Total features: 264 for 128-dim (CompGCN), 520 for 256-dim (RotatE). Hyperparams: n_estimators=300, max_depth=6, LR=0.1, early_stopping=20 on validation.</w:t>
      </w:r>
    </w:p>
    <w:p>
      <w:r>
        <w:rPr>
          <w:b/>
        </w:rPr>
        <w:t xml:space="preserve">MLP: </w:t>
      </w:r>
      <w:r>
        <w:t>One hidden layer (256 units), ReLU, dropout, sigmoid output. Same feature vector as XGBoost. Competitive but consistently slightly below XGBoost across all embedding methods.</w:t>
      </w:r>
    </w:p>
    <w:p>
      <w:r>
        <w:rPr>
          <w:b/>
        </w:rPr>
        <w:t xml:space="preserve">Why XGBoost won: </w:t>
      </w:r>
      <w:r>
        <w:t>Decision trees naturally handle the mix of continuous embedding features and discrete structural features. Gradient boosting builds trees sequentially correcting errors. Built-in regularization prevents overfitting on the small positive set.</w:t>
      </w:r>
    </w:p>
    <w:p>
      <w:pPr>
        <w:pStyle w:val="Heading2"/>
      </w:pPr>
      <w:r>
        <w:t>5.6 Full Results and Evaluation Metrics</w:t>
      </w:r>
    </w:p>
    <w:p>
      <w:r>
        <w:t>Complete results table (all decoders, both methods):</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20"/>
          </w:tcPr>
          <w:p>
            <w:r>
              <w:rPr>
                <w:b/>
                <w:sz w:val="18"/>
              </w:rPr>
              <w:t>Method</w:t>
            </w:r>
          </w:p>
        </w:tc>
        <w:tc>
          <w:tcPr>
            <w:tcW w:type="dxa" w:w="454"/>
          </w:tcPr>
          <w:p>
            <w:r>
              <w:rPr>
                <w:b/>
                <w:sz w:val="18"/>
              </w:rPr>
              <w:t>Dim</w:t>
            </w:r>
          </w:p>
        </w:tc>
        <w:tc>
          <w:tcPr>
            <w:tcW w:type="dxa" w:w="794"/>
          </w:tcPr>
          <w:p>
            <w:r>
              <w:rPr>
                <w:b/>
                <w:sz w:val="18"/>
              </w:rPr>
              <w:t>Decoder</w:t>
            </w:r>
          </w:p>
        </w:tc>
        <w:tc>
          <w:tcPr>
            <w:tcW w:type="dxa" w:w="737"/>
          </w:tcPr>
          <w:p>
            <w:r>
              <w:rPr>
                <w:b/>
                <w:sz w:val="18"/>
              </w:rPr>
              <w:t>Test AUROC</w:t>
            </w:r>
          </w:p>
        </w:tc>
        <w:tc>
          <w:tcPr>
            <w:tcW w:type="dxa" w:w="737"/>
          </w:tcPr>
          <w:p>
            <w:r>
              <w:rPr>
                <w:b/>
                <w:sz w:val="18"/>
              </w:rPr>
              <w:t>Test AUPRC</w:t>
            </w:r>
          </w:p>
        </w:tc>
        <w:tc>
          <w:tcPr>
            <w:tcW w:type="dxa" w:w="624"/>
          </w:tcPr>
          <w:p>
            <w:r>
              <w:rPr>
                <w:b/>
                <w:sz w:val="18"/>
              </w:rPr>
              <w:t>Hits@10</w:t>
            </w:r>
          </w:p>
        </w:tc>
        <w:tc>
          <w:tcPr>
            <w:tcW w:type="dxa" w:w="624"/>
          </w:tcPr>
          <w:p>
            <w:r>
              <w:rPr>
                <w:b/>
                <w:sz w:val="18"/>
              </w:rPr>
              <w:t>Hits@50</w:t>
            </w:r>
          </w:p>
        </w:tc>
        <w:tc>
          <w:tcPr>
            <w:tcW w:type="dxa" w:w="624"/>
          </w:tcPr>
          <w:p>
            <w:r>
              <w:rPr>
                <w:b/>
                <w:sz w:val="18"/>
              </w:rPr>
              <w:t>Hits@100</w:t>
            </w:r>
          </w:p>
        </w:tc>
        <w:tc>
          <w:tcPr>
            <w:tcW w:type="dxa" w:w="624"/>
          </w:tcPr>
          <w:p>
            <w:r>
              <w:rPr>
                <w:b/>
                <w:sz w:val="18"/>
              </w:rPr>
              <w:t>Hits@200</w:t>
            </w:r>
          </w:p>
        </w:tc>
        <w:tc>
          <w:tcPr>
            <w:tcW w:type="dxa" w:w="624"/>
          </w:tcPr>
          <w:p>
            <w:r>
              <w:rPr>
                <w:b/>
                <w:sz w:val="18"/>
              </w:rPr>
              <w:t>MRR</w:t>
            </w:r>
          </w:p>
        </w:tc>
        <w:tc>
          <w:tcPr>
            <w:tcW w:type="dxa" w:w="624"/>
          </w:tcPr>
          <w:p>
            <w:r>
              <w:rPr>
                <w:b/>
                <w:sz w:val="18"/>
              </w:rPr>
              <w:t>Med. Rank</w:t>
            </w:r>
          </w:p>
        </w:tc>
      </w:tr>
      <w:tr>
        <w:tc>
          <w:tcPr>
            <w:tcW w:type="dxa" w:w="1020"/>
          </w:tcPr>
          <w:p>
            <w:r>
              <w:rPr>
                <w:sz w:val="18"/>
              </w:rPr>
              <w:t>CompGCN</w:t>
            </w:r>
          </w:p>
        </w:tc>
        <w:tc>
          <w:tcPr>
            <w:tcW w:type="dxa" w:w="454"/>
          </w:tcPr>
          <w:p>
            <w:r>
              <w:rPr>
                <w:sz w:val="18"/>
              </w:rPr>
              <w:t>128</w:t>
            </w:r>
          </w:p>
        </w:tc>
        <w:tc>
          <w:tcPr>
            <w:tcW w:type="dxa" w:w="794"/>
          </w:tcPr>
          <w:p>
            <w:r>
              <w:rPr>
                <w:sz w:val="18"/>
              </w:rPr>
              <w:t>Cosine</w:t>
            </w:r>
          </w:p>
        </w:tc>
        <w:tc>
          <w:tcPr>
            <w:tcW w:type="dxa" w:w="737"/>
          </w:tcPr>
          <w:p>
            <w:r>
              <w:rPr>
                <w:sz w:val="18"/>
              </w:rPr>
              <w:t>0.3100</w:t>
            </w:r>
          </w:p>
        </w:tc>
        <w:tc>
          <w:tcPr>
            <w:tcW w:type="dxa" w:w="737"/>
          </w:tcPr>
          <w:p>
            <w:r>
              <w:rPr>
                <w:sz w:val="18"/>
              </w:rPr>
              <w:t>0.3810</w:t>
            </w:r>
          </w:p>
        </w:tc>
        <w:tc>
          <w:tcPr>
            <w:tcW w:type="dxa" w:w="624"/>
          </w:tcPr>
          <w:p>
            <w:r>
              <w:rPr>
                <w:sz w:val="18"/>
              </w:rPr>
              <w:t>0.21%</w:t>
            </w:r>
          </w:p>
        </w:tc>
        <w:tc>
          <w:tcPr>
            <w:tcW w:type="dxa" w:w="624"/>
          </w:tcPr>
          <w:p>
            <w:r>
              <w:rPr>
                <w:sz w:val="18"/>
              </w:rPr>
              <w:t>0.21%</w:t>
            </w:r>
          </w:p>
        </w:tc>
        <w:tc>
          <w:tcPr>
            <w:tcW w:type="dxa" w:w="624"/>
          </w:tcPr>
          <w:p>
            <w:r>
              <w:rPr>
                <w:sz w:val="18"/>
              </w:rPr>
              <w:t>0.41%</w:t>
            </w:r>
          </w:p>
        </w:tc>
        <w:tc>
          <w:tcPr>
            <w:tcW w:type="dxa" w:w="624"/>
          </w:tcPr>
          <w:p>
            <w:r>
              <w:rPr>
                <w:sz w:val="18"/>
              </w:rPr>
              <w:t>0.62%</w:t>
            </w:r>
          </w:p>
        </w:tc>
        <w:tc>
          <w:tcPr>
            <w:tcW w:type="dxa" w:w="624"/>
          </w:tcPr>
          <w:p>
            <w:r>
              <w:rPr>
                <w:sz w:val="18"/>
              </w:rPr>
              <w:t>0.0027</w:t>
            </w:r>
          </w:p>
        </w:tc>
        <w:tc>
          <w:tcPr>
            <w:tcW w:type="dxa" w:w="624"/>
          </w:tcPr>
          <w:p>
            <w:r>
              <w:rPr>
                <w:sz w:val="18"/>
              </w:rPr>
              <w:t>2229.5</w:t>
            </w:r>
          </w:p>
        </w:tc>
      </w:tr>
      <w:tr>
        <w:tc>
          <w:tcPr>
            <w:tcW w:type="dxa" w:w="1020"/>
          </w:tcPr>
          <w:p>
            <w:r>
              <w:rPr>
                <w:sz w:val="18"/>
              </w:rPr>
              <w:t>CompGCN</w:t>
            </w:r>
          </w:p>
        </w:tc>
        <w:tc>
          <w:tcPr>
            <w:tcW w:type="dxa" w:w="454"/>
          </w:tcPr>
          <w:p>
            <w:r>
              <w:rPr>
                <w:sz w:val="18"/>
              </w:rPr>
              <w:t>128</w:t>
            </w:r>
          </w:p>
        </w:tc>
        <w:tc>
          <w:tcPr>
            <w:tcW w:type="dxa" w:w="794"/>
          </w:tcPr>
          <w:p>
            <w:r>
              <w:rPr>
                <w:sz w:val="18"/>
              </w:rPr>
              <w:t>XGBoost</w:t>
            </w:r>
          </w:p>
        </w:tc>
        <w:tc>
          <w:tcPr>
            <w:tcW w:type="dxa" w:w="737"/>
          </w:tcPr>
          <w:p>
            <w:r>
              <w:rPr>
                <w:sz w:val="18"/>
              </w:rPr>
              <w:t>0.9865</w:t>
            </w:r>
          </w:p>
        </w:tc>
        <w:tc>
          <w:tcPr>
            <w:tcW w:type="dxa" w:w="737"/>
          </w:tcPr>
          <w:p>
            <w:r>
              <w:rPr>
                <w:sz w:val="18"/>
              </w:rPr>
              <w:t>0.9854</w:t>
            </w:r>
          </w:p>
        </w:tc>
        <w:tc>
          <w:tcPr>
            <w:tcW w:type="dxa" w:w="624"/>
          </w:tcPr>
          <w:p>
            <w:r>
              <w:rPr>
                <w:sz w:val="18"/>
              </w:rPr>
              <w:t>36.57%</w:t>
            </w:r>
          </w:p>
        </w:tc>
        <w:tc>
          <w:tcPr>
            <w:tcW w:type="dxa" w:w="624"/>
          </w:tcPr>
          <w:p>
            <w:r>
              <w:rPr>
                <w:sz w:val="18"/>
              </w:rPr>
              <w:t>67.98%</w:t>
            </w:r>
          </w:p>
        </w:tc>
        <w:tc>
          <w:tcPr>
            <w:tcW w:type="dxa" w:w="624"/>
          </w:tcPr>
          <w:p>
            <w:r>
              <w:rPr>
                <w:sz w:val="18"/>
              </w:rPr>
              <w:t>82.64%</w:t>
            </w:r>
          </w:p>
        </w:tc>
        <w:tc>
          <w:tcPr>
            <w:tcW w:type="dxa" w:w="624"/>
          </w:tcPr>
          <w:p>
            <w:r>
              <w:rPr>
                <w:sz w:val="18"/>
              </w:rPr>
              <w:t>93.80%</w:t>
            </w:r>
          </w:p>
        </w:tc>
        <w:tc>
          <w:tcPr>
            <w:tcW w:type="dxa" w:w="624"/>
          </w:tcPr>
          <w:p>
            <w:r>
              <w:rPr>
                <w:sz w:val="18"/>
              </w:rPr>
              <w:t>0.2141</w:t>
            </w:r>
          </w:p>
        </w:tc>
        <w:tc>
          <w:tcPr>
            <w:tcW w:type="dxa" w:w="624"/>
          </w:tcPr>
          <w:p>
            <w:r>
              <w:rPr>
                <w:sz w:val="18"/>
              </w:rPr>
              <w:t>22.0</w:t>
            </w:r>
          </w:p>
        </w:tc>
      </w:tr>
      <w:tr>
        <w:tc>
          <w:tcPr>
            <w:tcW w:type="dxa" w:w="1020"/>
          </w:tcPr>
          <w:p>
            <w:r>
              <w:rPr>
                <w:sz w:val="18"/>
              </w:rPr>
              <w:t>CompGCN</w:t>
            </w:r>
          </w:p>
        </w:tc>
        <w:tc>
          <w:tcPr>
            <w:tcW w:type="dxa" w:w="454"/>
          </w:tcPr>
          <w:p>
            <w:r>
              <w:rPr>
                <w:sz w:val="18"/>
              </w:rPr>
              <w:t>128</w:t>
            </w:r>
          </w:p>
        </w:tc>
        <w:tc>
          <w:tcPr>
            <w:tcW w:type="dxa" w:w="794"/>
          </w:tcPr>
          <w:p>
            <w:r>
              <w:rPr>
                <w:sz w:val="18"/>
              </w:rPr>
              <w:t>MLP</w:t>
            </w:r>
          </w:p>
        </w:tc>
        <w:tc>
          <w:tcPr>
            <w:tcW w:type="dxa" w:w="737"/>
          </w:tcPr>
          <w:p>
            <w:r>
              <w:rPr>
                <w:sz w:val="18"/>
              </w:rPr>
              <w:t>0.9838</w:t>
            </w:r>
          </w:p>
        </w:tc>
        <w:tc>
          <w:tcPr>
            <w:tcW w:type="dxa" w:w="737"/>
          </w:tcPr>
          <w:p>
            <w:r>
              <w:rPr>
                <w:sz w:val="18"/>
              </w:rPr>
              <w:t>0.9775</w:t>
            </w:r>
          </w:p>
        </w:tc>
        <w:tc>
          <w:tcPr>
            <w:tcW w:type="dxa" w:w="624"/>
          </w:tcPr>
          <w:p>
            <w:r>
              <w:rPr>
                <w:sz w:val="18"/>
              </w:rPr>
              <w:t>29.34%</w:t>
            </w:r>
          </w:p>
        </w:tc>
        <w:tc>
          <w:tcPr>
            <w:tcW w:type="dxa" w:w="624"/>
          </w:tcPr>
          <w:p>
            <w:r>
              <w:rPr>
                <w:sz w:val="18"/>
              </w:rPr>
              <w:t>65.50%</w:t>
            </w:r>
          </w:p>
        </w:tc>
        <w:tc>
          <w:tcPr>
            <w:tcW w:type="dxa" w:w="624"/>
          </w:tcPr>
          <w:p>
            <w:r>
              <w:rPr>
                <w:sz w:val="18"/>
              </w:rPr>
              <w:t>81.40%</w:t>
            </w:r>
          </w:p>
        </w:tc>
        <w:tc>
          <w:tcPr>
            <w:tcW w:type="dxa" w:w="624"/>
          </w:tcPr>
          <w:p>
            <w:r>
              <w:rPr>
                <w:sz w:val="18"/>
              </w:rPr>
              <w:t>93.18%</w:t>
            </w:r>
          </w:p>
        </w:tc>
        <w:tc>
          <w:tcPr>
            <w:tcW w:type="dxa" w:w="624"/>
          </w:tcPr>
          <w:p>
            <w:r>
              <w:rPr>
                <w:sz w:val="18"/>
              </w:rPr>
              <w:t>0.1168</w:t>
            </w:r>
          </w:p>
        </w:tc>
        <w:tc>
          <w:tcPr>
            <w:tcW w:type="dxa" w:w="624"/>
          </w:tcPr>
          <w:p>
            <w:r>
              <w:rPr>
                <w:sz w:val="18"/>
              </w:rPr>
              <w:t>27.5</w:t>
            </w:r>
          </w:p>
        </w:tc>
      </w:tr>
      <w:tr>
        <w:tc>
          <w:tcPr>
            <w:tcW w:type="dxa" w:w="1020"/>
          </w:tcPr>
          <w:p>
            <w:r>
              <w:rPr>
                <w:sz w:val="18"/>
              </w:rPr>
              <w:t>RotatE</w:t>
            </w:r>
          </w:p>
        </w:tc>
        <w:tc>
          <w:tcPr>
            <w:tcW w:type="dxa" w:w="454"/>
          </w:tcPr>
          <w:p>
            <w:r>
              <w:rPr>
                <w:sz w:val="18"/>
              </w:rPr>
              <w:t>256</w:t>
            </w:r>
          </w:p>
        </w:tc>
        <w:tc>
          <w:tcPr>
            <w:tcW w:type="dxa" w:w="794"/>
          </w:tcPr>
          <w:p>
            <w:r>
              <w:rPr>
                <w:sz w:val="18"/>
              </w:rPr>
              <w:t>Cosine</w:t>
            </w:r>
          </w:p>
        </w:tc>
        <w:tc>
          <w:tcPr>
            <w:tcW w:type="dxa" w:w="737"/>
          </w:tcPr>
          <w:p>
            <w:r>
              <w:rPr>
                <w:sz w:val="18"/>
              </w:rPr>
              <w:t>0.7807</w:t>
            </w:r>
          </w:p>
        </w:tc>
        <w:tc>
          <w:tcPr>
            <w:tcW w:type="dxa" w:w="737"/>
          </w:tcPr>
          <w:p>
            <w:r>
              <w:rPr>
                <w:sz w:val="18"/>
              </w:rPr>
              <w:t>0.7569</w:t>
            </w:r>
          </w:p>
        </w:tc>
        <w:tc>
          <w:tcPr>
            <w:tcW w:type="dxa" w:w="624"/>
          </w:tcPr>
          <w:p>
            <w:r>
              <w:rPr>
                <w:sz w:val="18"/>
              </w:rPr>
              <w:t>1.65%</w:t>
            </w:r>
          </w:p>
        </w:tc>
        <w:tc>
          <w:tcPr>
            <w:tcW w:type="dxa" w:w="624"/>
          </w:tcPr>
          <w:p>
            <w:r>
              <w:rPr>
                <w:sz w:val="18"/>
              </w:rPr>
              <w:t>9.30%</w:t>
            </w:r>
          </w:p>
        </w:tc>
        <w:tc>
          <w:tcPr>
            <w:tcW w:type="dxa" w:w="624"/>
          </w:tcPr>
          <w:p>
            <w:r>
              <w:rPr>
                <w:sz w:val="18"/>
              </w:rPr>
              <w:t>13.43%</w:t>
            </w:r>
          </w:p>
        </w:tc>
        <w:tc>
          <w:tcPr>
            <w:tcW w:type="dxa" w:w="624"/>
          </w:tcPr>
          <w:p>
            <w:r>
              <w:rPr>
                <w:sz w:val="18"/>
              </w:rPr>
              <w:t>27.27%</w:t>
            </w:r>
          </w:p>
        </w:tc>
        <w:tc>
          <w:tcPr>
            <w:tcW w:type="dxa" w:w="624"/>
          </w:tcPr>
          <w:p>
            <w:r>
              <w:rPr>
                <w:sz w:val="18"/>
              </w:rPr>
              <w:t>0.0095</w:t>
            </w:r>
          </w:p>
        </w:tc>
        <w:tc>
          <w:tcPr>
            <w:tcW w:type="dxa" w:w="624"/>
          </w:tcPr>
          <w:p>
            <w:r>
              <w:rPr>
                <w:sz w:val="18"/>
              </w:rPr>
              <w:t>461.0</w:t>
            </w:r>
          </w:p>
        </w:tc>
      </w:tr>
      <w:tr>
        <w:tc>
          <w:tcPr>
            <w:tcW w:type="dxa" w:w="1020"/>
          </w:tcPr>
          <w:p>
            <w:r>
              <w:rPr>
                <w:sz w:val="18"/>
              </w:rPr>
              <w:t>RotatE</w:t>
            </w:r>
          </w:p>
        </w:tc>
        <w:tc>
          <w:tcPr>
            <w:tcW w:type="dxa" w:w="454"/>
          </w:tcPr>
          <w:p>
            <w:r>
              <w:rPr>
                <w:sz w:val="18"/>
              </w:rPr>
              <w:t>256</w:t>
            </w:r>
          </w:p>
        </w:tc>
        <w:tc>
          <w:tcPr>
            <w:tcW w:type="dxa" w:w="794"/>
          </w:tcPr>
          <w:p>
            <w:r>
              <w:rPr>
                <w:sz w:val="18"/>
              </w:rPr>
              <w:t>XGBoost</w:t>
            </w:r>
          </w:p>
        </w:tc>
        <w:tc>
          <w:tcPr>
            <w:tcW w:type="dxa" w:w="737"/>
          </w:tcPr>
          <w:p>
            <w:r>
              <w:rPr>
                <w:sz w:val="18"/>
              </w:rPr>
              <w:t>0.9828</w:t>
            </w:r>
          </w:p>
        </w:tc>
        <w:tc>
          <w:tcPr>
            <w:tcW w:type="dxa" w:w="737"/>
          </w:tcPr>
          <w:p>
            <w:r>
              <w:rPr>
                <w:sz w:val="18"/>
              </w:rPr>
              <w:t>0.9812</w:t>
            </w:r>
          </w:p>
        </w:tc>
        <w:tc>
          <w:tcPr>
            <w:tcW w:type="dxa" w:w="624"/>
          </w:tcPr>
          <w:p>
            <w:r>
              <w:rPr>
                <w:sz w:val="18"/>
              </w:rPr>
              <w:t>39.26%</w:t>
            </w:r>
          </w:p>
        </w:tc>
        <w:tc>
          <w:tcPr>
            <w:tcW w:type="dxa" w:w="624"/>
          </w:tcPr>
          <w:p>
            <w:r>
              <w:rPr>
                <w:sz w:val="18"/>
              </w:rPr>
              <w:t>72.11%</w:t>
            </w:r>
          </w:p>
        </w:tc>
        <w:tc>
          <w:tcPr>
            <w:tcW w:type="dxa" w:w="624"/>
          </w:tcPr>
          <w:p>
            <w:r>
              <w:rPr>
                <w:sz w:val="18"/>
              </w:rPr>
              <w:t>84.09%</w:t>
            </w:r>
          </w:p>
        </w:tc>
        <w:tc>
          <w:tcPr>
            <w:tcW w:type="dxa" w:w="624"/>
          </w:tcPr>
          <w:p>
            <w:r>
              <w:rPr>
                <w:sz w:val="18"/>
              </w:rPr>
              <w:t>92.77%</w:t>
            </w:r>
          </w:p>
        </w:tc>
        <w:tc>
          <w:tcPr>
            <w:tcW w:type="dxa" w:w="624"/>
          </w:tcPr>
          <w:p>
            <w:r>
              <w:rPr>
                <w:sz w:val="18"/>
              </w:rPr>
              <w:t>0.1890</w:t>
            </w:r>
          </w:p>
        </w:tc>
        <w:tc>
          <w:tcPr>
            <w:tcW w:type="dxa" w:w="624"/>
          </w:tcPr>
          <w:p>
            <w:r>
              <w:rPr>
                <w:sz w:val="18"/>
              </w:rPr>
              <w:t>17.5</w:t>
            </w:r>
          </w:p>
        </w:tc>
      </w:tr>
      <w:tr>
        <w:tc>
          <w:tcPr>
            <w:tcW w:type="dxa" w:w="1020"/>
          </w:tcPr>
          <w:p>
            <w:r>
              <w:rPr>
                <w:sz w:val="18"/>
              </w:rPr>
              <w:t>RotatE</w:t>
            </w:r>
          </w:p>
        </w:tc>
        <w:tc>
          <w:tcPr>
            <w:tcW w:type="dxa" w:w="454"/>
          </w:tcPr>
          <w:p>
            <w:r>
              <w:rPr>
                <w:sz w:val="18"/>
              </w:rPr>
              <w:t>256</w:t>
            </w:r>
          </w:p>
        </w:tc>
        <w:tc>
          <w:tcPr>
            <w:tcW w:type="dxa" w:w="794"/>
          </w:tcPr>
          <w:p>
            <w:r>
              <w:rPr>
                <w:sz w:val="18"/>
              </w:rPr>
              <w:t>MLP</w:t>
            </w:r>
          </w:p>
        </w:tc>
        <w:tc>
          <w:tcPr>
            <w:tcW w:type="dxa" w:w="737"/>
          </w:tcPr>
          <w:p>
            <w:r>
              <w:rPr>
                <w:sz w:val="18"/>
              </w:rPr>
              <w:t>0.9810</w:t>
            </w:r>
          </w:p>
        </w:tc>
        <w:tc>
          <w:tcPr>
            <w:tcW w:type="dxa" w:w="737"/>
          </w:tcPr>
          <w:p>
            <w:r>
              <w:rPr>
                <w:sz w:val="18"/>
              </w:rPr>
              <w:t>0.9786</w:t>
            </w:r>
          </w:p>
        </w:tc>
        <w:tc>
          <w:tcPr>
            <w:tcW w:type="dxa" w:w="624"/>
          </w:tcPr>
          <w:p>
            <w:r>
              <w:rPr>
                <w:sz w:val="18"/>
              </w:rPr>
              <w:t>41.12%</w:t>
            </w:r>
          </w:p>
        </w:tc>
        <w:tc>
          <w:tcPr>
            <w:tcW w:type="dxa" w:w="624"/>
          </w:tcPr>
          <w:p>
            <w:r>
              <w:rPr>
                <w:sz w:val="18"/>
              </w:rPr>
              <w:t>71.90%</w:t>
            </w:r>
          </w:p>
        </w:tc>
        <w:tc>
          <w:tcPr>
            <w:tcW w:type="dxa" w:w="624"/>
          </w:tcPr>
          <w:p>
            <w:r>
              <w:rPr>
                <w:sz w:val="18"/>
              </w:rPr>
              <w:t>83.47%</w:t>
            </w:r>
          </w:p>
        </w:tc>
        <w:tc>
          <w:tcPr>
            <w:tcW w:type="dxa" w:w="624"/>
          </w:tcPr>
          <w:p>
            <w:r>
              <w:rPr>
                <w:sz w:val="18"/>
              </w:rPr>
              <w:t>91.94%</w:t>
            </w:r>
          </w:p>
        </w:tc>
        <w:tc>
          <w:tcPr>
            <w:tcW w:type="dxa" w:w="624"/>
          </w:tcPr>
          <w:p>
            <w:r>
              <w:rPr>
                <w:sz w:val="18"/>
              </w:rPr>
              <w:t>0.1898</w:t>
            </w:r>
          </w:p>
        </w:tc>
        <w:tc>
          <w:tcPr>
            <w:tcW w:type="dxa" w:w="624"/>
          </w:tcPr>
          <w:p>
            <w:r>
              <w:rPr>
                <w:sz w:val="18"/>
              </w:rPr>
              <w:t>16.0</w:t>
            </w:r>
          </w:p>
        </w:tc>
      </w:tr>
    </w:tbl>
    <w:p/>
    <w:p>
      <w:r>
        <w:rPr>
          <w:b/>
        </w:rPr>
        <w:t xml:space="preserve">AUROC: </w:t>
      </w:r>
      <w:r>
        <w:t>If you pick one real treatment pair and one random non-treatment pair, AUROC = 0.9865 means the model scores the real pair higher 98.65% of the time. Limitation: 1:1 random negatives are "easy" — most random combos are clearly non-therapeutic, which inflates AUROC.</w:t>
      </w:r>
    </w:p>
    <w:p>
      <w:r>
        <w:rPr>
          <w:b/>
        </w:rPr>
        <w:t xml:space="preserve">AUPRC: </w:t>
      </w:r>
      <w:r>
        <w:t>Measures precision-recall balance. High AUPRC (0.9854) means few false positives among top-ranked predictions — critical for drug repurposing where false positives waste expensive validation resources.</w:t>
      </w:r>
    </w:p>
    <w:p>
      <w:r>
        <w:rPr>
          <w:b/>
        </w:rPr>
        <w:t xml:space="preserve">MRR: </w:t>
      </w:r>
      <w:r>
        <w:t>For each known treatment pair, rank all candidate diseases. MRR = average of 1/rank. CompGCN MRR = 0.2141 means true disease typically ranked ~5th. Ranking is against all candidate diseases for that drug.</w:t>
      </w:r>
    </w:p>
    <w:p>
      <w:r>
        <w:rPr>
          <w:b/>
        </w:rPr>
        <w:t xml:space="preserve">Hits@K: </w:t>
      </w:r>
      <w:r>
        <w:t>Fraction of true treatment pairs in top K predictions per drug. Hits@100 = 82.64% means examining top 100 candidates finds ~83% of actual treatments. Maps directly to practical screening.</w:t>
      </w:r>
    </w:p>
    <w:p>
      <w:pPr>
        <w:pStyle w:val="Heading2"/>
      </w:pPr>
      <w:r>
        <w:t>5.7 Feature Importance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tcPr>
          <w:p>
            <w:r>
              <w:rPr>
                <w:b/>
                <w:sz w:val="18"/>
              </w:rPr>
              <w:t>Method</w:t>
            </w:r>
          </w:p>
        </w:tc>
        <w:tc>
          <w:tcPr>
            <w:tcW w:type="dxa" w:w="2268"/>
          </w:tcPr>
          <w:p>
            <w:r>
              <w:rPr>
                <w:b/>
                <w:sz w:val="18"/>
              </w:rPr>
              <w:t>Structural Feature %</w:t>
            </w:r>
          </w:p>
        </w:tc>
        <w:tc>
          <w:tcPr>
            <w:tcW w:type="dxa" w:w="2268"/>
          </w:tcPr>
          <w:p>
            <w:r>
              <w:rPr>
                <w:b/>
                <w:sz w:val="18"/>
              </w:rPr>
              <w:t>Embedding Feature %</w:t>
            </w:r>
          </w:p>
        </w:tc>
        <w:tc>
          <w:tcPr>
            <w:tcW w:type="dxa" w:w="2835"/>
          </w:tcPr>
          <w:p>
            <w:r>
              <w:rPr>
                <w:b/>
                <w:sz w:val="18"/>
              </w:rPr>
              <w:t>Top Structural Feature</w:t>
            </w:r>
          </w:p>
        </w:tc>
      </w:tr>
      <w:tr>
        <w:tc>
          <w:tcPr>
            <w:tcW w:type="dxa" w:w="1701"/>
          </w:tcPr>
          <w:p>
            <w:r>
              <w:rPr>
                <w:sz w:val="18"/>
              </w:rPr>
              <w:t>CompGCN</w:t>
            </w:r>
          </w:p>
        </w:tc>
        <w:tc>
          <w:tcPr>
            <w:tcW w:type="dxa" w:w="2268"/>
          </w:tcPr>
          <w:p>
            <w:r>
              <w:rPr>
                <w:sz w:val="18"/>
              </w:rPr>
              <w:t>4.3%</w:t>
            </w:r>
          </w:p>
        </w:tc>
        <w:tc>
          <w:tcPr>
            <w:tcW w:type="dxa" w:w="2268"/>
          </w:tcPr>
          <w:p>
            <w:r>
              <w:rPr>
                <w:sz w:val="18"/>
              </w:rPr>
              <w:t>50.8%</w:t>
            </w:r>
          </w:p>
        </w:tc>
        <w:tc>
          <w:tcPr>
            <w:tcW w:type="dxa" w:w="2835"/>
          </w:tcPr>
          <w:p>
            <w:r>
              <w:rPr>
                <w:sz w:val="18"/>
              </w:rPr>
              <w:t>Disease degree (0.036)</w:t>
            </w:r>
          </w:p>
        </w:tc>
      </w:tr>
      <w:tr>
        <w:tc>
          <w:tcPr>
            <w:tcW w:type="dxa" w:w="1701"/>
          </w:tcPr>
          <w:p>
            <w:r>
              <w:rPr>
                <w:sz w:val="18"/>
              </w:rPr>
              <w:t>RotatE</w:t>
            </w:r>
          </w:p>
        </w:tc>
        <w:tc>
          <w:tcPr>
            <w:tcW w:type="dxa" w:w="2268"/>
          </w:tcPr>
          <w:p>
            <w:r>
              <w:rPr>
                <w:sz w:val="18"/>
              </w:rPr>
              <w:t>0.6%</w:t>
            </w:r>
          </w:p>
        </w:tc>
        <w:tc>
          <w:tcPr>
            <w:tcW w:type="dxa" w:w="2268"/>
          </w:tcPr>
          <w:p>
            <w:r>
              <w:rPr>
                <w:sz w:val="18"/>
              </w:rPr>
              <w:t>21.8%</w:t>
            </w:r>
          </w:p>
        </w:tc>
        <w:tc>
          <w:tcPr>
            <w:tcW w:type="dxa" w:w="2835"/>
          </w:tcPr>
          <w:p>
            <w:r>
              <w:rPr>
                <w:sz w:val="18"/>
              </w:rPr>
              <w:t>Disease degree (0.006)</w:t>
            </w:r>
          </w:p>
        </w:tc>
      </w:tr>
    </w:tbl>
    <w:p/>
    <w:p>
      <w:r>
        <w:t>Structural features (shared neighbors, Jaccard, Adamic-Adar) contribute almost nothing (&lt;1%) for both methods. The learned embeddings already capture the relevant graph structure. CompGCN concentrates importance in specific dimensions (hadamard_46 alone = 17.4%), suggesting targeted relational representations.</w:t>
      </w:r>
    </w:p>
    <w:p>
      <w:pPr>
        <w:pStyle w:val="Heading2"/>
      </w:pPr>
      <w:r>
        <w:t>5.8 Clinical Validation</w:t>
      </w:r>
    </w:p>
    <w:p>
      <w:r>
        <w:t>For both methods, 4 out of 30 top predictions (13.3%) have supporting clinical trial evidence in CardioKB:</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tcPr>
          <w:p>
            <w:r>
              <w:rPr>
                <w:b/>
                <w:sz w:val="18"/>
              </w:rPr>
              <w:t>Method</w:t>
            </w:r>
          </w:p>
        </w:tc>
        <w:tc>
          <w:tcPr>
            <w:tcW w:type="dxa" w:w="3402"/>
          </w:tcPr>
          <w:p>
            <w:r>
              <w:rPr>
                <w:b/>
                <w:sz w:val="18"/>
              </w:rPr>
              <w:t>Drug → Disease</w:t>
            </w:r>
          </w:p>
        </w:tc>
        <w:tc>
          <w:tcPr>
            <w:tcW w:type="dxa" w:w="2551"/>
          </w:tcPr>
          <w:p>
            <w:r>
              <w:rPr>
                <w:b/>
                <w:sz w:val="18"/>
              </w:rPr>
              <w:t>Trial ID</w:t>
            </w:r>
          </w:p>
        </w:tc>
        <w:tc>
          <w:tcPr>
            <w:tcW w:type="dxa" w:w="1701"/>
          </w:tcPr>
          <w:p>
            <w:r>
              <w:rPr>
                <w:b/>
                <w:sz w:val="18"/>
              </w:rPr>
              <w:t>Status</w:t>
            </w:r>
          </w:p>
        </w:tc>
      </w:tr>
      <w:tr>
        <w:tc>
          <w:tcPr>
            <w:tcW w:type="dxa" w:w="1417"/>
          </w:tcPr>
          <w:p>
            <w:r>
              <w:rPr>
                <w:sz w:val="18"/>
              </w:rPr>
              <w:t>RotatE</w:t>
            </w:r>
          </w:p>
        </w:tc>
        <w:tc>
          <w:tcPr>
            <w:tcW w:type="dxa" w:w="3402"/>
          </w:tcPr>
          <w:p>
            <w:r>
              <w:rPr>
                <w:sz w:val="18"/>
              </w:rPr>
              <w:t>ACE Inhibitors → heart disease</w:t>
            </w:r>
          </w:p>
        </w:tc>
        <w:tc>
          <w:tcPr>
            <w:tcW w:type="dxa" w:w="2551"/>
          </w:tcPr>
          <w:p>
            <w:r>
              <w:rPr>
                <w:sz w:val="18"/>
              </w:rPr>
              <w:t>NCT00224809</w:t>
            </w:r>
          </w:p>
        </w:tc>
        <w:tc>
          <w:tcPr>
            <w:tcW w:type="dxa" w:w="1701"/>
          </w:tcPr>
          <w:p>
            <w:r>
              <w:rPr>
                <w:sz w:val="18"/>
              </w:rPr>
              <w:t>Known trial</w:t>
            </w:r>
          </w:p>
        </w:tc>
      </w:tr>
      <w:tr>
        <w:tc>
          <w:tcPr>
            <w:tcW w:type="dxa" w:w="1417"/>
          </w:tcPr>
          <w:p>
            <w:r>
              <w:rPr>
                <w:sz w:val="18"/>
              </w:rPr>
              <w:t>RotatE</w:t>
            </w:r>
          </w:p>
        </w:tc>
        <w:tc>
          <w:tcPr>
            <w:tcW w:type="dxa" w:w="3402"/>
          </w:tcPr>
          <w:p>
            <w:r>
              <w:rPr>
                <w:sz w:val="18"/>
              </w:rPr>
              <w:t>Atorvastatin → cardiomyopathy</w:t>
            </w:r>
          </w:p>
        </w:tc>
        <w:tc>
          <w:tcPr>
            <w:tcW w:type="dxa" w:w="2551"/>
          </w:tcPr>
          <w:p>
            <w:r>
              <w:rPr>
                <w:sz w:val="18"/>
              </w:rPr>
              <w:t>NCT00317967</w:t>
            </w:r>
          </w:p>
        </w:tc>
        <w:tc>
          <w:tcPr>
            <w:tcW w:type="dxa" w:w="1701"/>
          </w:tcPr>
          <w:p>
            <w:r>
              <w:rPr>
                <w:sz w:val="18"/>
              </w:rPr>
              <w:t>Known trial</w:t>
            </w:r>
          </w:p>
        </w:tc>
      </w:tr>
      <w:tr>
        <w:tc>
          <w:tcPr>
            <w:tcW w:type="dxa" w:w="1417"/>
          </w:tcPr>
          <w:p>
            <w:r>
              <w:rPr>
                <w:sz w:val="18"/>
              </w:rPr>
              <w:t>RotatE</w:t>
            </w:r>
          </w:p>
        </w:tc>
        <w:tc>
          <w:tcPr>
            <w:tcW w:type="dxa" w:w="3402"/>
          </w:tcPr>
          <w:p>
            <w:r>
              <w:rPr>
                <w:sz w:val="18"/>
              </w:rPr>
              <w:t>Clopidogrel → cerebrovascular disease</w:t>
            </w:r>
          </w:p>
        </w:tc>
        <w:tc>
          <w:tcPr>
            <w:tcW w:type="dxa" w:w="2551"/>
          </w:tcPr>
          <w:p>
            <w:r>
              <w:rPr>
                <w:sz w:val="18"/>
              </w:rPr>
              <w:t>NCT01823185, NCT02121288</w:t>
            </w:r>
          </w:p>
        </w:tc>
        <w:tc>
          <w:tcPr>
            <w:tcW w:type="dxa" w:w="1701"/>
          </w:tcPr>
          <w:p>
            <w:r>
              <w:rPr>
                <w:sz w:val="18"/>
              </w:rPr>
              <w:t>Known trials</w:t>
            </w:r>
          </w:p>
        </w:tc>
      </w:tr>
      <w:tr>
        <w:tc>
          <w:tcPr>
            <w:tcW w:type="dxa" w:w="1417"/>
          </w:tcPr>
          <w:p>
            <w:r>
              <w:rPr>
                <w:sz w:val="18"/>
              </w:rPr>
              <w:t>RotatE</w:t>
            </w:r>
          </w:p>
        </w:tc>
        <w:tc>
          <w:tcPr>
            <w:tcW w:type="dxa" w:w="3402"/>
          </w:tcPr>
          <w:p>
            <w:r>
              <w:rPr>
                <w:sz w:val="18"/>
              </w:rPr>
              <w:t>Colchicine → hypertension</w:t>
            </w:r>
          </w:p>
        </w:tc>
        <w:tc>
          <w:tcPr>
            <w:tcW w:type="dxa" w:w="2551"/>
          </w:tcPr>
          <w:p>
            <w:r>
              <w:rPr>
                <w:sz w:val="18"/>
              </w:rPr>
              <w:t>NCT04916522</w:t>
            </w:r>
          </w:p>
        </w:tc>
        <w:tc>
          <w:tcPr>
            <w:tcW w:type="dxa" w:w="1701"/>
          </w:tcPr>
          <w:p>
            <w:r>
              <w:rPr>
                <w:sz w:val="18"/>
              </w:rPr>
              <w:t>Known trial</w:t>
            </w:r>
          </w:p>
        </w:tc>
      </w:tr>
      <w:tr>
        <w:tc>
          <w:tcPr>
            <w:tcW w:type="dxa" w:w="1417"/>
          </w:tcPr>
          <w:p>
            <w:r>
              <w:rPr>
                <w:sz w:val="18"/>
              </w:rPr>
              <w:t>CompGCN</w:t>
            </w:r>
          </w:p>
        </w:tc>
        <w:tc>
          <w:tcPr>
            <w:tcW w:type="dxa" w:w="3402"/>
          </w:tcPr>
          <w:p>
            <w:r>
              <w:rPr>
                <w:sz w:val="18"/>
              </w:rPr>
              <w:t>Levosimendan → coronary artery disease</w:t>
            </w:r>
          </w:p>
        </w:tc>
        <w:tc>
          <w:tcPr>
            <w:tcW w:type="dxa" w:w="2551"/>
          </w:tcPr>
          <w:p>
            <w:r>
              <w:rPr>
                <w:sz w:val="18"/>
              </w:rPr>
              <w:t>NCT00130871</w:t>
            </w:r>
          </w:p>
        </w:tc>
        <w:tc>
          <w:tcPr>
            <w:tcW w:type="dxa" w:w="1701"/>
          </w:tcPr>
          <w:p>
            <w:r>
              <w:rPr>
                <w:sz w:val="18"/>
              </w:rPr>
              <w:t>Known trial</w:t>
            </w:r>
          </w:p>
        </w:tc>
      </w:tr>
      <w:tr>
        <w:tc>
          <w:tcPr>
            <w:tcW w:type="dxa" w:w="1417"/>
          </w:tcPr>
          <w:p>
            <w:r>
              <w:rPr>
                <w:sz w:val="18"/>
              </w:rPr>
              <w:t>CompGCN</w:t>
            </w:r>
          </w:p>
        </w:tc>
        <w:tc>
          <w:tcPr>
            <w:tcW w:type="dxa" w:w="3402"/>
          </w:tcPr>
          <w:p>
            <w:r>
              <w:rPr>
                <w:sz w:val="18"/>
              </w:rPr>
              <w:t>ACE Inhibitors → heart disease</w:t>
            </w:r>
          </w:p>
        </w:tc>
        <w:tc>
          <w:tcPr>
            <w:tcW w:type="dxa" w:w="2551"/>
          </w:tcPr>
          <w:p>
            <w:r>
              <w:rPr>
                <w:sz w:val="18"/>
              </w:rPr>
              <w:t>NCT00224809</w:t>
            </w:r>
          </w:p>
        </w:tc>
        <w:tc>
          <w:tcPr>
            <w:tcW w:type="dxa" w:w="1701"/>
          </w:tcPr>
          <w:p>
            <w:r>
              <w:rPr>
                <w:sz w:val="18"/>
              </w:rPr>
              <w:t>Known trial</w:t>
            </w:r>
          </w:p>
        </w:tc>
      </w:tr>
      <w:tr>
        <w:tc>
          <w:tcPr>
            <w:tcW w:type="dxa" w:w="1417"/>
          </w:tcPr>
          <w:p>
            <w:r>
              <w:rPr>
                <w:sz w:val="18"/>
              </w:rPr>
              <w:t>CompGCN</w:t>
            </w:r>
          </w:p>
        </w:tc>
        <w:tc>
          <w:tcPr>
            <w:tcW w:type="dxa" w:w="3402"/>
          </w:tcPr>
          <w:p>
            <w:r>
              <w:rPr>
                <w:sz w:val="18"/>
              </w:rPr>
              <w:t>Adenosine → myocardial infarction</w:t>
            </w:r>
          </w:p>
        </w:tc>
        <w:tc>
          <w:tcPr>
            <w:tcW w:type="dxa" w:w="2551"/>
          </w:tcPr>
          <w:p>
            <w:r>
              <w:rPr>
                <w:sz w:val="18"/>
              </w:rPr>
              <w:t>NCT00781404</w:t>
            </w:r>
          </w:p>
        </w:tc>
        <w:tc>
          <w:tcPr>
            <w:tcW w:type="dxa" w:w="1701"/>
          </w:tcPr>
          <w:p>
            <w:r>
              <w:rPr>
                <w:sz w:val="18"/>
              </w:rPr>
              <w:t>Known trial</w:t>
            </w:r>
          </w:p>
        </w:tc>
      </w:tr>
      <w:tr>
        <w:tc>
          <w:tcPr>
            <w:tcW w:type="dxa" w:w="1417"/>
          </w:tcPr>
          <w:p>
            <w:r>
              <w:rPr>
                <w:sz w:val="18"/>
              </w:rPr>
              <w:t>CompGCN</w:t>
            </w:r>
          </w:p>
        </w:tc>
        <w:tc>
          <w:tcPr>
            <w:tcW w:type="dxa" w:w="3402"/>
          </w:tcPr>
          <w:p>
            <w:r>
              <w:rPr>
                <w:sz w:val="18"/>
              </w:rPr>
              <w:t>Methylprednisolone → coronary artery disease</w:t>
            </w:r>
          </w:p>
        </w:tc>
        <w:tc>
          <w:tcPr>
            <w:tcW w:type="dxa" w:w="2551"/>
          </w:tcPr>
          <w:p>
            <w:r>
              <w:rPr>
                <w:sz w:val="18"/>
              </w:rPr>
              <w:t>NCT07101367</w:t>
            </w:r>
          </w:p>
        </w:tc>
        <w:tc>
          <w:tcPr>
            <w:tcW w:type="dxa" w:w="1701"/>
          </w:tcPr>
          <w:p>
            <w:r>
              <w:rPr>
                <w:sz w:val="18"/>
              </w:rPr>
              <w:t>Known trial</w:t>
            </w:r>
          </w:p>
        </w:tc>
      </w:tr>
    </w:tbl>
    <w:p/>
    <w:p>
      <w:r>
        <w:t>These predictions are for pairs NOT in training data. The 13.3% validation rate against ClinicalTrials.gov (not used to generate predictions) provides evidence that embeddings capture genuine pharmacological relationships.</w:t>
      </w:r>
    </w:p>
    <w:p>
      <w:pPr>
        <w:pStyle w:val="Heading2"/>
      </w:pPr>
      <w:r>
        <w:t>5.9 Why CompGCN Is the Primary UI Model</w:t>
      </w:r>
    </w:p>
    <w:p>
      <w:r>
        <w:t>CompGCN was selected for the interactive Explore tab based on: (1) highest test AUROC (0.9865 vs 0.9828), (2) relation-aware message passing that distinguishes all 27 relationship types during training, (3) dramatically faster training (~7 min vs ~3.4 hrs), and (4) sees more candidate diseases (2,640 vs 2,296). RotatE predictions remain in the graph and are queryable via the Cypher editor.</w:t>
      </w:r>
    </w:p>
    <w:p>
      <w:pPr>
        <w:pStyle w:val="Heading2"/>
      </w:pPr>
      <w:r>
        <w:t>5.10 Confidence Score Interpretation</w:t>
      </w:r>
    </w:p>
    <w:p>
      <w:r>
        <w:t>The XGBoost output (0-1) reflects ranking quality, not calibrated probability. A confidence of 0.99 means the pair's embedding geometry closely matches known treatment relationships — it does NOT mean a 99% chance the drug works. The top 10,000 CompGCN predictions span 0.991 to 0.989, a narrow band indicating uniformly high model confidence. These scores prioritize candidates but should never be interpreted as clinical efficacy. All predicted edges carry a "not clinically validated" warning in the UI.</w:t>
      </w:r>
    </w:p>
    <w:p>
      <w:pPr>
        <w:pStyle w:val="Heading2"/>
      </w:pPr>
      <w:r>
        <w:t>5.11 Prediction Coverage Analysis (10,000 CompGCN edges)</w:t>
      </w:r>
    </w:p>
    <w:p>
      <w:r>
        <w:t>1,591 unique drugs across 37 unique diseases. Top 6 diseases (heart disease, coronary artery disease, hypertension, atherosclerosis, congestive heart failure, myocardial infarction) account for ~60% of predictions. Drug diversity broadens down the ranked list: 51 drugs in top 100, 228 at rank 1,000, 1,591 at rank 10,000. Median drug appears for 5 diseases. Zero overlap with existing curated drugTreatsDisease edges (verified).</w:t>
      </w:r>
    </w:p>
    <w:p>
      <w:pPr>
        <w:pStyle w:val="Heading3"/>
      </w:pPr>
      <w:r>
        <w:t>Hubness and Plausibility Audits</w:t>
      </w:r>
    </w:p>
    <w:p>
      <w:r>
        <w:t>scripts/hubness_analysis.py analyzed the top 100 predictions per method (200 total) against Memgraph. For each predicted drug, it checks: total graph degree, number of curated drugTreatsDisease edges, whether the predicted disease falls in the same CVD category as existing curated treatments (heart, vascular, cerebrovascular, arrhythmia, thrombotic, lipid, ischemic). Hub threshold: degree &gt; 200. Key findings: high-degree drugs (many graph connections) tend to dominate predictions. Drugs with zero curated treatment history appear in predictions — these are worth flagging as higher-risk hypotheses. Most predictions fall in the same CVD category as the drug's existing curated treatments, suggesting the model learns therapeutic specificity rather than just predicting generic high-degree connections.</w:t>
      </w:r>
    </w:p>
    <w:p>
      <w:r>
        <w:br w:type="page"/>
      </w:r>
    </w:p>
    <w:p>
      <w:pPr>
        <w:pStyle w:val="Heading1"/>
      </w:pPr>
      <w:r>
        <w:t>6. Bugs Found and Fixed</w:t>
      </w:r>
    </w:p>
    <w:p>
      <w:r>
        <w:t>These bugs were identified and fixed during the July 9-10 2026 work session. Each entry documents the symptom, root cause, fix, and verification.</w:t>
      </w:r>
    </w:p>
    <w:p>
      <w:pPr>
        <w:pStyle w:val="Heading2"/>
      </w:pPr>
      <w:r>
        <w:t>6.1 ClinicalTrials.gov Cartesian-Product Inference (868 → 153 edges)</w:t>
      </w:r>
    </w:p>
    <w:p>
      <w:r>
        <w:rPr>
          <w:b/>
        </w:rPr>
        <w:t xml:space="preserve">Symptom: </w:t>
      </w:r>
      <w:r>
        <w:t>868 drugTreatsDisease edges from ClinicalTrials.gov, many clearly spurious (e.g., comparator drugs credited as treatments, diagnostic trials counted as treatment evidence).</w:t>
      </w:r>
    </w:p>
    <w:p>
      <w:r>
        <w:rPr>
          <w:b/>
        </w:rPr>
        <w:t xml:space="preserve">Root cause — three problems: </w:t>
      </w:r>
      <w:r>
        <w:t>(1) No filtering on primaryPurpose — Prevention and Diagnostic trials were included alongside Treatment trials. (2) Comparator drugs (placebos, standard-of-care controls) in non-experimental arms were treated as experimental interventions. (3) Condition Cartesian product — a drug matched to ALL listed conditions on a trial instead of the first-listed (primary) condition, creating spurious edges for secondary/comorbidity conditions.</w:t>
      </w:r>
    </w:p>
    <w:p>
      <w:r>
        <w:rPr>
          <w:b/>
        </w:rPr>
        <w:t xml:space="preserve">Fix: </w:t>
      </w:r>
      <w:r>
        <w:t>Four filters applied via ClinicalTrials.gov API v2 batch queries in scripts/load_treats_edges.py: (1) primaryPurpose must be "TREATMENT", (2) drug must be in an EXPERIMENTAL arm (not comparator/placebo), (3) disease must match the first-listed condition only (convention for primary condition), (4) edges carry a trialCount property counting qualifying trials for deduplication.</w:t>
      </w:r>
    </w:p>
    <w:p>
      <w:r>
        <w:rPr>
          <w:b/>
        </w:rPr>
        <w:t xml:space="preserve">Verification: </w:t>
      </w:r>
      <w:r>
        <w:t>Edge count dropped from 868 to 153 (82.4% reduction). Total drugTreatsDisease in graph: 6,272 → 5,937. Spot-checked remaining edges for clinical plausibility. Commit: 63870be.</w:t>
      </w:r>
    </w:p>
    <w:p>
      <w:pPr>
        <w:pStyle w:val="Heading2"/>
      </w:pPr>
      <w:r>
        <w:t>6.2 Train/Test Data Leakage from Duplicate Rows in Edge Export</w:t>
      </w:r>
    </w:p>
    <w:p>
      <w:r>
        <w:rPr>
          <w:b/>
        </w:rPr>
        <w:t xml:space="preserve">Symptom: </w:t>
      </w:r>
      <w:r>
        <w:t>Duplicate (src, dst, rel_type) triples in edges.tsv, inflating the training dataset with repeated edges.</w:t>
      </w:r>
    </w:p>
    <w:p>
      <w:r>
        <w:rPr>
          <w:b/>
        </w:rPr>
        <w:t xml:space="preserve">Root cause: </w:t>
      </w:r>
      <w:r>
        <w:t>Memgraph MATCH (a)-[r]-&gt;(b) returns parallel edges as separate rows. For example, the same Drug→Gene pair might have edges from both DrugBank and BindingDB with the same relationship type chemicalBindsGene. The export wrote both as separate rows, creating duplicate training examples.</w:t>
      </w:r>
    </w:p>
    <w:p>
      <w:r>
        <w:rPr>
          <w:b/>
        </w:rPr>
        <w:t xml:space="preserve">Fix: </w:t>
      </w:r>
      <w:r>
        <w:t>Added a seen set in ml/export_edges.py (lines 59-73) that tracks (src_int_id, dst_int_id, rel_type) and skips duplicate triples. Only the first occurrence is written to the TSV.</w:t>
      </w:r>
    </w:p>
    <w:p>
      <w:r>
        <w:rPr>
          <w:b/>
        </w:rPr>
        <w:t xml:space="preserve">Verification: </w:t>
      </w:r>
      <w:r>
        <w:t>export_summary.json shows 5,452,581 unique edges (vs 5,454,744 total in Memgraph minus 20,000 predicted = 5,454,744 pre-dedup). Split stats verified: drugTreatsDisease 5,906 total across splits.</w:t>
      </w:r>
    </w:p>
    <w:p>
      <w:pPr>
        <w:pStyle w:val="Heading2"/>
      </w:pPr>
      <w:r>
        <w:t>6.3 Self-Prediction Contamination</w:t>
      </w:r>
    </w:p>
    <w:p>
      <w:r>
        <w:rPr>
          <w:b/>
        </w:rPr>
        <w:t xml:space="preserve">Symptom: </w:t>
      </w:r>
      <w:r>
        <w:t>predictedTreatsDisease edges from prior ML runs were being included in the training data for new ML runs, causing the model to train on its own prior outputs.</w:t>
      </w:r>
    </w:p>
    <w:p>
      <w:r>
        <w:rPr>
          <w:b/>
        </w:rPr>
        <w:t xml:space="preserve">Root cause: </w:t>
      </w:r>
      <w:r>
        <w:t>export_edges.py originally exported ALL edges from Memgraph without filtering by relationship type. After storing 20,000 predictedTreatsDisease edges in the graph (via store_predictions.py), a re-export would include them as training data — a circular dependency.</w:t>
      </w:r>
    </w:p>
    <w:p>
      <w:r>
        <w:rPr>
          <w:b/>
        </w:rPr>
        <w:t xml:space="preserve">Fix: </w:t>
      </w:r>
      <w:r>
        <w:t>Added exclude_rel_types = {"predictedTreatsDisease"} at line 46 of export_edges.py. Any relationship type in this set is skipped during export.</w:t>
      </w:r>
    </w:p>
    <w:p>
      <w:r>
        <w:rPr>
          <w:b/>
        </w:rPr>
        <w:t xml:space="preserve">Verification: </w:t>
      </w:r>
      <w:r>
        <w:t>export_summary.json shows 27 relationship types (no predictedTreatsDisease). The rel_type_counts in the summary confirm only curated edge types are exported.</w:t>
      </w:r>
    </w:p>
    <w:p>
      <w:pPr>
        <w:pStyle w:val="Heading2"/>
      </w:pPr>
      <w:r>
        <w:t>6.4 Predicted-Edge Duplication in Core Query</w:t>
      </w:r>
    </w:p>
    <w:p>
      <w:r>
        <w:rPr>
          <w:b/>
        </w:rPr>
        <w:t xml:space="preserve">Symptom: </w:t>
      </w:r>
      <w:r>
        <w:t>When viewing a disease in the Explore tab, predictedTreatsDisease edges were appearing in the core graph query results alongside curated edges, competing for the 200-edge display limit and pushing real edges off-screen.</w:t>
      </w:r>
    </w:p>
    <w:p>
      <w:r>
        <w:rPr>
          <w:b/>
        </w:rPr>
        <w:t xml:space="preserve">Root cause: </w:t>
      </w:r>
      <w:r>
        <w:t>The API's /api/graph endpoint was using a single Cypher MATCH that returned all edge types including predictedTreatsDisease. The 200-edge LIMIT meant predicted edges consumed slots that should have been reserved for curated data.</w:t>
      </w:r>
    </w:p>
    <w:p>
      <w:r>
        <w:rPr>
          <w:b/>
        </w:rPr>
        <w:t xml:space="preserve">Fix: </w:t>
      </w:r>
      <w:r>
        <w:t>Split the prediction query into a separate Cypher statement with its own limit, running after the core query. The core query now only returns curated edges within its limit. Predictions are appended separately.</w:t>
      </w:r>
    </w:p>
    <w:p>
      <w:r>
        <w:rPr>
          <w:b/>
        </w:rPr>
        <w:t xml:space="preserve">Verification: </w:t>
      </w:r>
      <w:r>
        <w:t>audit_diseases.py and audit_api_stats.py confirm zero duplicate edges across 6 test diseases (atrial fibrillation, heart failure, hypertension, arrhythmia, coronary artery disease, cardiomyopathy). Each script checks: exact duplicate edges, duplicate predicted pairs, and core-query-predicted leakage.</w:t>
      </w:r>
    </w:p>
    <w:p>
      <w:pPr>
        <w:pStyle w:val="Heading2"/>
      </w:pPr>
      <w:r>
        <w:t>6.5 diseaseIsSubtypeOf Hierarchy Duplication</w:t>
      </w:r>
    </w:p>
    <w:p>
      <w:r>
        <w:rPr>
          <w:b/>
        </w:rPr>
        <w:t xml:space="preserve">Symptom: </w:t>
      </w:r>
      <w:r>
        <w:t>Duplicate diseaseIsSubtypeOf edges appearing in the graph (same source, same target, same type).</w:t>
      </w:r>
    </w:p>
    <w:p>
      <w:r>
        <w:rPr>
          <w:b/>
        </w:rPr>
        <w:t xml:space="preserve">Root cause: </w:t>
      </w:r>
      <w:r>
        <w:t>Disease Ontology parsing created parallel edges from synonym entries — when a disease has multiple synonyms, each synonym resolution path could generate the same hierarchy edge.</w:t>
      </w:r>
    </w:p>
    <w:p>
      <w:r>
        <w:rPr>
          <w:b/>
        </w:rPr>
        <w:t xml:space="preserve">Fix: </w:t>
      </w:r>
      <w:r>
        <w:t>MERGE-based deduplication in the Memgraph loader ensures only one edge per (source, target, type, source_label) combination.</w:t>
      </w:r>
    </w:p>
    <w:p>
      <w:r>
        <w:rPr>
          <w:b/>
        </w:rPr>
        <w:t xml:space="preserve">Verification: </w:t>
      </w:r>
      <w:r>
        <w:t>audit_graph_integrity.py's check_duplicate_edges() function confirms 0 duplicate edges across all 28 relationship types. 2,581 unique diseaseIsSubtypeOf edges in graph.</w:t>
      </w:r>
    </w:p>
    <w:p>
      <w:pPr>
        <w:pStyle w:val="Heading2"/>
      </w:pPr>
      <w:r>
        <w:t>6.6 TOP_K Increase and Near-Data-Loss Incident</w:t>
      </w:r>
    </w:p>
    <w:p>
      <w:r>
        <w:rPr>
          <w:b/>
        </w:rPr>
        <w:t xml:space="preserve">Context: </w:t>
      </w:r>
      <w:r>
        <w:t>TOP_K was increased from 500 to 10,000 predictions per method to provide broader coverage for the web UI and downstream analysis.</w:t>
      </w:r>
    </w:p>
    <w:p>
      <w:r>
        <w:rPr>
          <w:b/>
        </w:rPr>
        <w:t xml:space="preserve">Near-data-loss incident: </w:t>
      </w:r>
      <w:r>
        <w:t>During the rescoring process using the new ml/score_only.py script, the XGBoost models and scalers were not being persisted to disk — only the predictions TSV was saved. If the scoring script crashed or the session ended, the trained model would be lost and would need to be retrained from scratch. Since the scoring loop over 4.4 million pairs takes significant time, losing the model mid-run would waste hours of compute.</w:t>
      </w:r>
    </w:p>
    <w:p>
      <w:r>
        <w:rPr>
          <w:b/>
        </w:rPr>
        <w:t xml:space="preserve">Fix: </w:t>
      </w:r>
      <w:r>
        <w:t>score_only.py now explicitly saves both the XGBoost model (pickle) and the StandardScaler to the models/ subdirectory (lines 218-222) immediately after training completes, before the scoring loop begins. store_predictions.py loads the top 10,000 from predictions.tsv and stores them in Memgraph as predictedTreatsDisease edges, clearing any prior predictions first.</w:t>
      </w:r>
    </w:p>
    <w:p>
      <w:r>
        <w:rPr>
          <w:b/>
        </w:rPr>
        <w:t xml:space="preserve">Result: </w:t>
      </w:r>
      <w:r>
        <w:t>10,000 CompGCN + 10,000 RotatE = 20,000 total predictedTreatsDisease edges in graph. Full prediction archives saved as all_predictions_above_threshold.tsv.gz for each method.</w:t>
      </w:r>
    </w:p>
    <w:p>
      <w:r>
        <w:br w:type="page"/>
      </w:r>
    </w:p>
    <w:p>
      <w:pPr>
        <w:pStyle w:val="Heading1"/>
      </w:pPr>
      <w:r>
        <w:t>7. UI/UX — Current State and Fixes</w:t>
      </w:r>
    </w:p>
    <w:p>
      <w:r>
        <w:t>The web interface is a single-page application (interface/index.html) served by Flask on port 5050. It uses vis.js for network visualization, Chart.js for analytics, and a custom dark/light theme system.</w:t>
      </w:r>
    </w:p>
    <w:p>
      <w:pPr>
        <w:pStyle w:val="Heading2"/>
      </w:pPr>
      <w:r>
        <w:t>7.1 Explore Tab</w:t>
      </w:r>
    </w:p>
    <w:p>
      <w:r>
        <w:rPr>
          <w:b/>
        </w:rPr>
        <w:t xml:space="preserve">Search: </w:t>
      </w:r>
      <w:r>
        <w:t>Real-time autocomplete (triggers at 2+ chars). Backend queries Memgraph with STARTS WITH, falling back to CONTAINS. Color-coded type badges (blue=Gene, red=Disease, green=Drug). Max input (default 200, max 1000) controls displayed nodes. Quick-explore buttons for common entities.</w:t>
      </w:r>
    </w:p>
    <w:p>
      <w:r>
        <w:rPr>
          <w:b/>
        </w:rPr>
        <w:t xml:space="preserve">Graph visualization: </w:t>
      </w:r>
      <w:r>
        <w:t>vis.js with ForceAtlas2Based physics. Persistent DataSets (never destroyed, only cleared/refilled). Disease nodes are diamonds; all others circles. Node size reflects degree. Searched entity gets white border glow.</w:t>
      </w:r>
    </w:p>
    <w:p>
      <w:r>
        <w:rPr>
          <w:b/>
        </w:rPr>
        <w:t xml:space="preserve">Filter chips: </w:t>
      </w:r>
      <w:r>
        <w:t>Two rows — node type chips and edge type chips. Color-coded, togglable. Useful for focusing on specific entity or relationship types in dense graphs.</w:t>
      </w:r>
    </w:p>
    <w:p>
      <w:r>
        <w:rPr>
          <w:b/>
        </w:rPr>
        <w:t xml:space="preserve">Node detail panel: </w:t>
      </w:r>
      <w:r>
        <w:t>320px slide-in showing all properties, connected nodes (max 20), "View All Connections" button (paginated, max 200/page).</w:t>
      </w:r>
    </w:p>
    <w:p>
      <w:r>
        <w:rPr>
          <w:b/>
        </w:rPr>
        <w:t xml:space="preserve">Export: </w:t>
      </w:r>
      <w:r>
        <w:t>CSV (edges), JSON (full node+edge), PNG (canvas screenshot), PDF (print dialog).</w:t>
      </w:r>
    </w:p>
    <w:p>
      <w:pPr>
        <w:pStyle w:val="Heading2"/>
      </w:pPr>
      <w:r>
        <w:t>7.2 Query Tab</w:t>
      </w:r>
    </w:p>
    <w:p>
      <w:r>
        <w:rPr>
          <w:b/>
        </w:rPr>
        <w:t xml:space="preserve">Natural language querying: </w:t>
      </w:r>
      <w:r>
        <w:t>Users type plain English questions. System translates to Cypher using CypherGPT/Eng2Cypher adaptation by Jay Moran. Pipeline: (1) introspect live graph schema (cached 24hr), (2) build system prompt with CardioKB-specific instructions, (3) call Claude API (claude-sonnet-4-6, temp=0.0), (4) sanitize output, (5) validate against schema with fuzzy matching, (6) handle cross-node-type queries via UNION ALL.</w:t>
      </w:r>
    </w:p>
    <w:p>
      <w:r>
        <w:rPr>
          <w:b/>
        </w:rPr>
        <w:t xml:space="preserve">Query templates: </w:t>
      </w:r>
      <w:r>
        <w:t>10 pre-built: Disease Subgraph, Gene Neighbors, Drug Targets, Clinical Trials, Pathway Genes, Top Connected Genes, Gene Expression, Drug-Side Effects, Drug Repurposing (with ML predictions), Shared Genes Between Diseases.</w:t>
      </w:r>
    </w:p>
    <w:p>
      <w:r>
        <w:rPr>
          <w:b/>
        </w:rPr>
        <w:t xml:space="preserve">Direct Cypher editor: </w:t>
      </w:r>
      <w:r>
        <w:t>Monospace textarea with Ctrl+Enter to run. Read-only mode blocks writes. Save Query bookmarks.</w:t>
      </w:r>
    </w:p>
    <w:p>
      <w:r>
        <w:rPr>
          <w:b/>
        </w:rPr>
        <w:t xml:space="preserve">Multi-panel results: </w:t>
      </w:r>
      <w:r>
        <w:t>Each query appends a new collapsible result panel (Neo4j Browser style). Each panel has: Table view (scrollable, sticky headers, max 500 rows), Graph view (vis.js network), stats footer.</w:t>
      </w:r>
    </w:p>
    <w:p>
      <w:pPr>
        <w:pStyle w:val="Heading2"/>
      </w:pPr>
      <w:r>
        <w:t>7.3 ML Predicted Edges in the UI</w:t>
      </w:r>
    </w:p>
    <w:p>
      <w:r>
        <w:t>The "Show ML Predictions" toggle controls visibility of predicted drug-disease edges. When enabled: cyan dashed edges appear connecting drugs to diseases. Only CompGCN predictions are shown in the Explore tab. A Drug Repurposing Predictions panel shows: sortable predictions table (Drug, Disease, Method, Confidence), CSV/JSON export, "Methodology &amp; Metrics" link. An "Experimental" badge and disclaimer remind users these are computational predictions.</w:t>
      </w:r>
    </w:p>
    <w:p>
      <w:r>
        <w:rPr>
          <w:b/>
        </w:rPr>
        <w:t xml:space="preserve">Prediction styling in Explore tab: </w:t>
      </w:r>
      <w:r>
        <w:t>Cyan color (#06b6d4), dashed [10,5] pattern, width 3, label "ML prediction".</w:t>
      </w:r>
    </w:p>
    <w:p>
      <w:r>
        <w:rPr>
          <w:b/>
        </w:rPr>
        <w:t xml:space="preserve">Prediction styling in Query tab: </w:t>
      </w:r>
      <w:r>
        <w:t>Same cyan dashed styling. Tooltip appends "[ML prediction — not clinically validated]".</w:t>
      </w:r>
    </w:p>
    <w:p>
      <w:pPr>
        <w:pStyle w:val="Heading2"/>
      </w:pPr>
      <w:r>
        <w:t>7.4 RotatE Toggle Removal and API Filtering</w:t>
      </w:r>
    </w:p>
    <w:p>
      <w:r>
        <w:t>Two-layer fix to ensure RotatE predictions are completely hidden from the user experience:</w:t>
      </w:r>
    </w:p>
    <w:p>
      <w:r>
        <w:rPr>
          <w:b/>
        </w:rPr>
        <w:t xml:space="preserve">UI layer: </w:t>
      </w:r>
      <w:r>
        <w:t>Removed the dual-checkbox filter (RotatE/CompGCN) and replaced it with a static label: "Method: CompGCN + XGBoost (AUROC 0.972)". In JavaScript, hiddenMLMethods is initialized with Set(["RotatE"]) and the filterMLMethod() function always re-adds "RotatE" after clearing.</w:t>
      </w:r>
    </w:p>
    <w:p>
      <w:r>
        <w:rPr>
          <w:b/>
        </w:rPr>
        <w:t xml:space="preserve">API layer: </w:t>
      </w:r>
      <w:r>
        <w:t>Added r.source = 'CompGCN_LinkPrediction' to both the prediction count query and the prediction fetch query in src/api.py (lines 705-706, 714-715). This ensures RotatE edges are never sent to the frontend regardless of UI state. Also changed the source fallback from "Node2Vec_LinkPrediction" to "CompGCN_LinkPrediction".</w:t>
      </w:r>
    </w:p>
    <w:p>
      <w:r>
        <w:rPr>
          <w:b/>
        </w:rPr>
        <w:t xml:space="preserve">Why both layers: </w:t>
      </w:r>
      <w:r>
        <w:t>The UI filter alone would have been insufficient because the API was sending both CompGCN and RotatE edges in the JSON response, consuming bandwidth and potentially confusing any client-side processing. The API filter is the authoritative gate; the UI filter is defense-in-depth.</w:t>
      </w:r>
    </w:p>
    <w:p>
      <w:pPr>
        <w:pStyle w:val="Heading2"/>
      </w:pPr>
      <w:r>
        <w:t>7.5 Export Metadata and Truncation Indicators</w:t>
      </w:r>
    </w:p>
    <w:p>
      <w:r>
        <w:rPr>
          <w:b/>
        </w:rPr>
        <w:t xml:space="preserve">Export metadata: </w:t>
      </w:r>
      <w:r>
        <w:t>CSV export header updated from "graph embedding models (RotatE / CompGCN + XGBoost)" to "the CompGCN + XGBoost graph embedding pipeline". JSON export warning text similarly updated.</w:t>
      </w:r>
    </w:p>
    <w:p>
      <w:r>
        <w:rPr>
          <w:b/>
        </w:rPr>
        <w:t xml:space="preserve">Truncation indicators: </w:t>
      </w:r>
      <w:r>
        <w:t>When predictions are truncated by the display limit, a note shows "showing top X of Y by confidence". Similarly, disease hierarchy children show "(showing X of Y subtypes)" when truncated beyond 30. The API returns a truncation object with {predictions: {returned, total}, hierarchy_children: {returned, total}} for the frontend to render these messages.</w:t>
      </w:r>
    </w:p>
    <w:p>
      <w:pPr>
        <w:pStyle w:val="Heading2"/>
      </w:pPr>
      <w:r>
        <w:t>7.6 Edge Provenance Panel</w:t>
      </w:r>
    </w:p>
    <w:p>
      <w:r>
        <w:t>Clicking any edge opens "Why is this edge here?" showing:</w:t>
      </w:r>
    </w:p>
    <w:p>
      <w:pPr>
        <w:pStyle w:val="ListBullet"/>
        <w:ind w:left="720"/>
      </w:pPr>
      <w:r>
        <w:t>Relationship type, From → To nodes with type-colored labels</w:t>
      </w:r>
    </w:p>
    <w:p>
      <w:pPr>
        <w:pStyle w:val="ListBullet"/>
        <w:ind w:left="720"/>
      </w:pPr>
      <w:r>
        <w:t>Source database in green badge</w:t>
      </w:r>
    </w:p>
    <w:p>
      <w:pPr>
        <w:pStyle w:val="ListBullet"/>
        <w:ind w:left="720"/>
      </w:pPr>
      <w:r>
        <w:t>Evidence properties in table: combinedScore, expressionScore, morScore, confidence, etc.</w:t>
      </w:r>
    </w:p>
    <w:p>
      <w:pPr>
        <w:pStyle w:val="ListBullet"/>
        <w:ind w:left="720"/>
      </w:pPr>
      <w:r>
        <w:t>For ML predictions: confidence percentage, method name, red "Not clinically validated" warning</w:t>
      </w:r>
    </w:p>
    <w:p>
      <w:pPr>
        <w:pStyle w:val="ListBullet"/>
        <w:ind w:left="720"/>
      </w:pPr>
      <w:r>
        <w:t>Provenance interpretation explaining the source database</w:t>
      </w:r>
    </w:p>
    <w:p>
      <w:r>
        <w:t>Updated to reference "CompGCN graph embeddings" instead of "RotatE or CompGCN".</w:t>
      </w:r>
    </w:p>
    <w:p>
      <w:pPr>
        <w:pStyle w:val="Heading2"/>
      </w:pPr>
      <w:r>
        <w:t>7.7 Admin Panel and System Check</w:t>
      </w:r>
    </w:p>
    <w:p>
      <w:pPr>
        <w:pStyle w:val="ListBullet"/>
        <w:ind w:left="720"/>
      </w:pPr>
      <w:r>
        <w:t>Parser Status table: Every parser with Working/Failed/Skipped badge. Determined dynamically from graph queries.</w:t>
      </w:r>
    </w:p>
    <w:p>
      <w:pPr>
        <w:pStyle w:val="ListBullet"/>
        <w:ind w:left="720"/>
      </w:pPr>
      <w:r>
        <w:t>Health Checks: Green/red indicators for node counts, edge counts, source label coverage, property coverage, connectivity.</w:t>
      </w:r>
    </w:p>
    <w:p>
      <w:pPr>
        <w:pStyle w:val="ListBullet"/>
        <w:ind w:left="720"/>
      </w:pPr>
      <w:r>
        <w:t>Charts: Two Chart.js bar charts — node counts and relationship counts by type.</w:t>
      </w:r>
    </w:p>
    <w:p>
      <w:pPr>
        <w:pStyle w:val="ListBullet"/>
        <w:ind w:left="720"/>
      </w:pPr>
      <w:r>
        <w:t>ID Mapping Report: Match rates for cross-database ID mappings.</w:t>
      </w:r>
    </w:p>
    <w:p>
      <w:pPr>
        <w:pStyle w:val="ListBullet"/>
        <w:ind w:left="720"/>
      </w:pPr>
      <w:r>
        <w:t>Pipeline Log: Color-coded monospace log with timestamps.</w:t>
      </w:r>
    </w:p>
    <w:p>
      <w:r>
        <w:br w:type="page"/>
      </w:r>
    </w:p>
    <w:p>
      <w:pPr>
        <w:pStyle w:val="Heading1"/>
      </w:pPr>
      <w:r>
        <w:t>8. Known Limitations (Expected/Acceptable)</w:t>
      </w:r>
    </w:p>
    <w:p>
      <w:r>
        <w:t>These are documented design decisions or inherent constraints, not bugs to be fixed.</w:t>
      </w:r>
    </w:p>
    <w:p>
      <w:r>
        <w:rPr>
          <w:b/>
        </w:rPr>
        <w:t xml:space="preserve">Structural feature contribution to XGBoost (~4.3% CompGCN, ~0.6% RotatE): </w:t>
      </w:r>
      <w:r>
        <w:t>Shared neighbors, Jaccard, and Adamic-Adar contribute almost nothing because the learned embeddings already encode graph structure. This is expected — it means the embeddings are doing their job. The structural features are included as a safety net and for interpretability, not because they drive predictions.</w:t>
      </w:r>
    </w:p>
    <w:p>
      <w:r>
        <w:rPr>
          <w:b/>
        </w:rPr>
        <w:t xml:space="preserve">Extreme relation-type imbalance in training data: </w:t>
      </w:r>
      <w:r>
        <w:t>bodyPartOverexpressesGene = 50.5% of all edges; drugTreatsDisease = 0.11%. This is the natural distribution of the biological knowledge graph. The stratified split ensures drugTreatsDisease is proportionally represented in train/val/test. XGBoost trains only on drugTreatsDisease pairs (balanced 1:1 with negatives), so the full-graph imbalance does not directly affect the decoder.</w:t>
      </w:r>
    </w:p>
    <w:p>
      <w:r>
        <w:rPr>
          <w:b/>
        </w:rPr>
        <w:t xml:space="preserve">Orphan nodes from bulk imports: </w:t>
      </w:r>
      <w:r>
        <w:t>~78% of Gene nodes and ~76% of Disease nodes have zero edges. This is by design — complete catalogs are loaded so no edges are lost to missing target nodes. The specificity scoring system (specificityScore) accounts for this by assigning 1.0 to nodes with no Disease connections.</w:t>
      </w:r>
    </w:p>
    <w:p>
      <w:r>
        <w:rPr>
          <w:b/>
        </w:rPr>
        <w:t xml:space="preserve">"View All Connections" cap: </w:t>
      </w:r>
      <w:r>
        <w:t>Paginated display capped at 200 per page. High-degree nodes (e.g., Gene nodes with 1000+ connections) are truncated. A full enumeration would overwhelm the UI and Memgraph query performance. Users needing complete connection lists should use the Cypher editor.</w:t>
      </w:r>
    </w:p>
    <w:p>
      <w:r>
        <w:rPr>
          <w:b/>
        </w:rPr>
        <w:t xml:space="preserve">Node2Vec intentionally excluded: </w:t>
      </w:r>
      <w:r>
        <w:t>Node2Vec was dropped from the paper because it treats all 27 edge types identically — random walks cannot distinguish drugBindsGene from chemicalIncreasesExpression. The paper focuses on RotatE and CompGCN which are relation-aware. Node2Vec files remain on disk as a baseline reference (AUROC 0.9504 with XGBoost, Hits@100 = 31.1%).</w:t>
      </w:r>
    </w:p>
    <w:p>
      <w:r>
        <w:rPr>
          <w:b/>
        </w:rPr>
        <w:t xml:space="preserve">ClinVar variant-disease yield: </w:t>
      </w:r>
      <w:r>
        <w:t>Only 0.12% of ClinVar variant-disease associations map to CardioKB diseases because UMLS CUI overlap between ClinVar and Disease Ontology is only 212 CUIs. This is expected given the CVD-specific disease filter.</w:t>
      </w:r>
    </w:p>
    <w:p>
      <w:r>
        <w:rPr>
          <w:b/>
        </w:rPr>
        <w:t xml:space="preserve">Symptom orphan rate ~100%: </w:t>
      </w:r>
      <w:r>
        <w:t>No active source provides symptom-disease edges. MeSH provides 415 Symptom nodes but no relationship mappings. Only MEDLINE (skipped) would provide these edges.</w:t>
      </w:r>
    </w:p>
    <w:p>
      <w:r>
        <w:rPr>
          <w:b/>
        </w:rPr>
        <w:t xml:space="preserve">SIDER and LINCS L1000 are legacy datasets: </w:t>
      </w:r>
      <w:r>
        <w:t>SIDER (2015) and LINCS L1000 (2020) have no live API alternatives. They are retained because they provide unique edge types (side effects and drug-induced gene expression) that no other source covers.</w:t>
      </w:r>
    </w:p>
    <w:p>
      <w:r>
        <w:rPr>
          <w:b/>
        </w:rPr>
        <w:t xml:space="preserve">Confidence score is not a probability: </w:t>
      </w:r>
      <w:r>
        <w:t>The XGBoost output is a ranking score, not a calibrated probability. Top 10,000 CompGCN predictions span 0.991 to 0.989 — a narrow band indicating the model is highly confident about all of them. The score is useful for ordering but not for making clinical decisions.</w:t>
      </w:r>
    </w:p>
    <w:p>
      <w:r>
        <w:br w:type="page"/>
      </w:r>
    </w:p>
    <w:p>
      <w:pPr>
        <w:pStyle w:val="Heading1"/>
      </w:pPr>
      <w:r>
        <w:t>9. Deployment</w:t>
      </w:r>
    </w:p>
    <w:p>
      <w:pPr>
        <w:pStyle w:val="Heading2"/>
      </w:pPr>
      <w:r>
        <w:t>9.1 Current Deployment State</w:t>
      </w:r>
    </w:p>
    <w:p>
      <w:r>
        <w:rPr>
          <w:b/>
        </w:rPr>
        <w:t xml:space="preserve">What is loaded in Memgraph right now: </w:t>
      </w:r>
      <w:r>
        <w:t>Full graph: 459,092 nodes, 5,474,744 relationships including 20,000 predictedTreatsDisease edges (10,000 CompGCN + 10,000 RotatE). All 23 data sources + 2 ML prediction sources. specificityScore computed on all nodes. _Metadata node with timestamp.</w:t>
      </w:r>
    </w:p>
    <w:p>
      <w:r>
        <w:rPr>
          <w:b/>
        </w:rPr>
        <w:t xml:space="preserve">Uncommitted changes: </w:t>
      </w:r>
      <w:r>
        <w:t>interface/index.html (RotatE toggle removal, CompGCN-only text, truncation indicators), src/api.py (CompGCN-only API filter), ml/export_edges.py (dedup + self-prediction exclusion), ml/link_prediction_compgcn.py and ml/link_prediction_rotate.py (TOP_K=10000, model saving), hpc/train_compgcn.py (mixed-precision training, train sample size), hpc/*.slurm (node exclusions), ml/score_only.py (new), ml/store_predictions.py (new), scripts/hubness_analysis.py (new), scripts/audit_api_stats.py (new), scripts/audit_graph_integrity.py (new).</w:t>
      </w:r>
    </w:p>
    <w:p>
      <w:r>
        <w:rPr>
          <w:b/>
        </w:rPr>
        <w:t xml:space="preserve">Pending: </w:t>
      </w:r>
      <w:r>
        <w:t>(1) Commit all uncommitted changes. (2) Take new Memgraph snapshot with scripts/export_graph.sh. (3) Rebuild Docker image with docker compose build. (4) Transfer snapshot to deployment host. (5) Import with scripts/import_graph.sh.</w:t>
      </w:r>
    </w:p>
    <w:p>
      <w:pPr>
        <w:pStyle w:val="Heading2"/>
      </w:pPr>
      <w:r>
        <w:t>9.2 What Jay Needs to Do to Push Live</w:t>
      </w:r>
    </w:p>
    <w:p>
      <w:r>
        <w:t>Steps for deploying the current state to the production Docker host:</w:t>
      </w:r>
    </w:p>
    <w:p>
      <w:pPr>
        <w:pStyle w:val="ListBullet"/>
        <w:ind w:left="720"/>
      </w:pPr>
      <w:r>
        <w:t>1. Pull the baseagent-build branch with the latest commits.</w:t>
      </w:r>
    </w:p>
    <w:p>
      <w:pPr>
        <w:pStyle w:val="ListBullet"/>
        <w:ind w:left="720"/>
      </w:pPr>
      <w:r>
        <w:t>2. Copy .env file with MEMGRAPH_PASSWORD, ANTHROPIC_API_KEY (or ANTHROPIC_FOUNDRY_API_KEY + BASE_URL), and ADMIN_PASSWORD.</w:t>
      </w:r>
    </w:p>
    <w:p>
      <w:pPr>
        <w:pStyle w:val="ListBullet"/>
        <w:ind w:left="720"/>
      </w:pPr>
      <w:r>
        <w:t>3. Run: docker compose build (rebuilds the Flask app image with updated code).</w:t>
      </w:r>
    </w:p>
    <w:p>
      <w:pPr>
        <w:pStyle w:val="ListBullet"/>
        <w:ind w:left="720"/>
      </w:pPr>
      <w:r>
        <w:t>4. Transfer the Memgraph snapshot (data/export/memgraph-data.tar.gz, ~300 MB → ~14 GB uncompressed).</w:t>
      </w:r>
    </w:p>
    <w:p>
      <w:pPr>
        <w:pStyle w:val="ListBullet"/>
        <w:ind w:left="720"/>
      </w:pPr>
      <w:r>
        <w:t>5. Run: ./scripts/import_graph.sh data/export/memgraph-data.tar.gz (restores the graph data volume).</w:t>
      </w:r>
    </w:p>
    <w:p>
      <w:pPr>
        <w:pStyle w:val="ListBullet"/>
        <w:ind w:left="720"/>
      </w:pPr>
      <w:r>
        <w:t>6. Run: docker compose up -d (starts Memgraph + Flask app).</w:t>
      </w:r>
    </w:p>
    <w:p>
      <w:pPr>
        <w:pStyle w:val="ListBullet"/>
        <w:ind w:left="720"/>
      </w:pPr>
      <w:r>
        <w:t>7. Verify: python scripts/audit_api_stats.py (confirms DB counts match API, no duplicate edges).</w:t>
      </w:r>
    </w:p>
    <w:p>
      <w:pPr>
        <w:pStyle w:val="ListBullet"/>
        <w:ind w:left="720"/>
      </w:pPr>
      <w:r>
        <w:t>8. Verify: open http://localhost:5050, search "atrial fibrillation", toggle ML predictions, check that only CompGCN edges appear.</w:t>
      </w:r>
    </w:p>
    <w:p>
      <w:pPr>
        <w:pStyle w:val="Heading3"/>
      </w:pPr>
      <w:r>
        <w:t>Docker Compose Architecture</w:t>
      </w:r>
    </w:p>
    <w:p>
      <w:pPr>
        <w:pStyle w:val="ListBullet"/>
        <w:ind w:left="720"/>
      </w:pPr>
      <w:r>
        <w:t>memgraph service: In-memory graph database on ports 7687 (Bolt) and 7444 (HTTP). Named volume memgraph-data for persistence.</w:t>
      </w:r>
    </w:p>
    <w:p>
      <w:pPr>
        <w:pStyle w:val="ListBullet"/>
        <w:ind w:left="720"/>
      </w:pPr>
      <w:r>
        <w:t>app service: Flask web app on port 5050. Connects to memgraph via bolt://memgraph:7687. Serves interface/index.html and API endpoints.</w:t>
      </w:r>
    </w:p>
    <w:p>
      <w:pPr>
        <w:pStyle w:val="ListBullet"/>
        <w:ind w:left="720"/>
      </w:pPr>
      <w:r>
        <w:t>Environment variables passed from .env: MEMGRAPH_PASSWORD, ANTHROPIC_API_KEY, ANTHROPIC_FOUNDRY_API_KEY, ANTHROPIC_FOUNDRY_BASE_URL, ADMIN_PASSWORD.</w:t>
      </w:r>
    </w:p>
    <w:p>
      <w:r>
        <w:br w:type="page"/>
      </w:r>
    </w:p>
    <w:p>
      <w:pPr>
        <w:pStyle w:val="Heading1"/>
      </w:pPr>
      <w:r>
        <w:t>10. Open Questions / Revisit Later</w:t>
      </w:r>
    </w:p>
    <w:p>
      <w:r>
        <w:t>Items flagged during this session as non-urgent but worth addressing after the immediate deployment.</w:t>
      </w:r>
    </w:p>
    <w:p>
      <w:r>
        <w:rPr>
          <w:b/>
        </w:rPr>
        <w:t xml:space="preserve">Refactor ML scripts for --score-only flag: </w:t>
      </w:r>
      <w:r>
        <w:t>Currently score_only.py is a separate script duplicating logic from link_prediction_compgcn.py. Could be integrated as a --score-only CLI flag on the main scripts, reducing code duplication. Low priority — the separate script works and is well-tested.</w:t>
      </w:r>
    </w:p>
    <w:p>
      <w:r>
        <w:rPr>
          <w:b/>
        </w:rPr>
        <w:t xml:space="preserve">Deeper hubness auditing beyond top 100: </w:t>
      </w:r>
      <w:r>
        <w:t>hubness_analysis.py checks the top 100 predictions per method. The full 10,000 predictions have not been audited for hub drug dominance, non-CVD target infiltration, or zero-treatment-history drug concentration. Worth doing for the paper but not blocking for deployment.</w:t>
      </w:r>
    </w:p>
    <w:p>
      <w:r>
        <w:rPr>
          <w:b/>
        </w:rPr>
        <w:t xml:space="preserve">RotatE comparison view in UI: </w:t>
      </w:r>
      <w:r>
        <w:t>Currently RotatE predictions are only accessible via the Cypher editor. A potential UI addition could show side-by-side CompGCN vs RotatE predictions for a given disease, or a toggle to switch between methods. Low priority — the current CompGCN-only view is cleaner for the typical user.</w:t>
      </w:r>
    </w:p>
    <w:p>
      <w:r>
        <w:rPr>
          <w:b/>
        </w:rPr>
        <w:t xml:space="preserve">Model retraining on expanded edge set: </w:t>
      </w:r>
      <w:r>
        <w:t>DrugBank_Indications edges (2,512 drugTreatsDisease + 10,955 drugTreatsPhenotype) were added post-ML-training. Future retraining could incorporate these as additional positive examples. The drugTreatsPhenotype edges introduce a new relationship type that CompGCN could learn to leverage during message passing.</w:t>
      </w:r>
    </w:p>
    <w:p>
      <w:r>
        <w:rPr>
          <w:b/>
        </w:rPr>
        <w:t xml:space="preserve">Node2Vec formal exclusion from codebase: </w:t>
      </w:r>
      <w:r>
        <w:t>Node2Vec HPC scripts and evaluation code were deleted (commit 63870be). Node2Vec embeddings and results remain in ml/data/node2vec/ for reference. Could be fully purged from the data directory if disk space is a concern.</w:t>
      </w:r>
    </w:p>
    <w:p>
      <w:r>
        <w:rPr>
          <w:b/>
        </w:rPr>
        <w:t xml:space="preserve">ClinVar variant-disease mapping improvement: </w:t>
      </w:r>
      <w:r>
        <w:t>Only 212 UMLS CUI overlaps between ClinVar and Disease Ontology. An EFO-to-DOID or SNOMED-to-DOID mapping chain could increase the yield beyond 0.12%. Not blocking — ClinVar is primarily valuable for its variant-gene edges (135,393), not variant-disease.</w:t>
      </w:r>
    </w:p>
    <w:p>
      <w:r>
        <w:rPr>
          <w:b/>
        </w:rPr>
        <w:t xml:space="preserve">Attention-based GNN experiments: </w:t>
      </w:r>
      <w:r>
        <w:t>GAT (Graph Attention Networks) or HGT (Heterogeneous Graph Transformer) could learn attention weights over neighbor types, potentially identifying which relationship types are most informative for drug repurposing. Would require significant implementation effort.</w:t>
      </w:r>
    </w:p>
    <w:p>
      <w:r>
        <w:rPr>
          <w:b/>
        </w:rPr>
        <w:t xml:space="preserve">Clinical validation by domain experts: </w:t>
      </w:r>
      <w:r>
        <w:t>Presenting top predictions to cardiologists for expert assessment of clinical plausibility. The 13.3% ClinicalTrials.gov validation rate is encouraging but limited to trial database matching. Expert review could identify clinically plausible predictions that lack formal trial evidence.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07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407C"/>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407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7C"/>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