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374151"/>
                <w:sz w:val="24"/>
                <w:szCs w:val="24"/>
              </w:rPr>
              <w:t xml:space="preserve">السنة رابعة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374151"/>
                <w:sz w:val="24"/>
                <w:szCs w:val="24"/>
              </w:rPr>
              <w:t xml:space="preserve">الرياضيات</w:t>
            </w:r>
          </w:p>
        </w:tc>
        <w:tc>
          <w:tcPr>
            <w:tcW w:type="pct" w:w="60%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i w:val="false"/>
                <w:iCs w:val="false"/>
                <w:color w:val="1A237E"/>
                <w:sz w:val="44"/>
                <w:szCs w:val="44"/>
              </w:rPr>
              <w:t xml:space="preserve">تقييم مكتسبات التلاميذ خلال الثلاثي الأول</w:t>
            </w:r>
          </w:p>
        </w:tc>
        <w:tc>
          <w:tcPr>
            <w:tcW w:type="pct" w:w="20%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24"/>
                <w:szCs w:val="24"/>
              </w:rPr>
              <w:t xml:space="preserve">السنة الدراسيّة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374151"/>
                <w:sz w:val="24"/>
                <w:szCs w:val="24"/>
              </w:rPr>
              <w:t xml:space="preserve">2025/2026</w:t>
            </w:r>
          </w:p>
        </w:tc>
      </w:tr>
    </w:tbl>
    <w:p>
      <w:pPr>
        <w:spacing w:before="200" w:after="200"/>
        <w:jc w:val="center"/>
      </w:pPr>
      <w:r>
        <w:rPr>
          <w:b/>
          <w:bCs/>
          <w:color w:val="1A237E"/>
          <w:sz w:val="44"/>
          <w:szCs w:val="44"/>
        </w:rPr>
        <w:t xml:space="preserve">معايير التقييم ومؤشراتها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6pt"/>
                <w:szCs w:val="16pt"/>
                <w:rtl/>
                <w:lang/>
              </w:rPr>
              <w:t xml:space="preserve">اسم المعيار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6pt"/>
                <w:szCs w:val="16pt"/>
                <w:rtl/>
                <w:lang/>
              </w:rPr>
              <w:t xml:space="preserve">الرمز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6pt"/>
                <w:szCs w:val="16pt"/>
                <w:rtl/>
                <w:lang/>
              </w:rPr>
              <w:t xml:space="preserve">المؤشرات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التأويل الملائم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مع 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استعمال المعطيات المناسية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صحة الحساب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مع 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إنجاز عملية جمع بالاحتفاظ, -إنجاز عملية طرح بالزيادة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الاستعمال الصحيح لوحدات القيس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مع 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التصرف في العلاقة بين المتر وأجزائه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استعمال خاصيات الأشكال الهندسية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مع 4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عد خطوات مسلك على الشبكة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الدقة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مع 5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طرح سؤال مناسب لوضعية و الإجابة عنه</w:t>
            </w:r>
          </w:p>
        </w:tc>
      </w:tr>
    </w:tbl>
    <w:p>
      <w:pPr>
        <w:spacing w:before="400" w:after="200"/>
        <w:jc w:val="center"/>
      </w:pPr>
      <w:r>
        <w:rPr>
          <w:b/>
          <w:bCs/>
          <w:color w:val="1A237E"/>
          <w:sz w:val="44"/>
          <w:szCs w:val="44"/>
        </w:rPr>
        <w:t xml:space="preserve">جدول الاعداد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NaNto"/>
            <w:gridSpan w:val="1"/>
            <w:vMerge w:val="restart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رقم</w:t>
            </w:r>
          </w:p>
        </w:tc>
        <w:tc>
          <w:tcPr>
            <w:tcW w:type="pct" w:w="28%"/>
            <w:gridSpan w:val="1"/>
            <w:vMerge w:val="restart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المتعلمون</w:t>
            </w:r>
          </w:p>
        </w:tc>
        <w:tc>
          <w:tcPr>
            <w:tcW w:type="pct" w:w="NaNto"/>
            <w:gridSpan w:val="4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مـعايير الحد الأدنــى</w:t>
            </w:r>
          </w:p>
        </w:tc>
        <w:tc>
          <w:tcPr>
            <w:tcW w:type="pct" w:w="NaNto"/>
            <w:gridSpan w:val="1"/>
            <w:vMerge w:val="restart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المجموع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معيار التميز</w:t>
            </w:r>
          </w:p>
        </w:tc>
        <w:tc>
          <w:tcPr>
            <w:tcW w:type="pct" w:w="NaNto"/>
            <w:gridSpan w:val="1"/>
            <w:vMerge w:val="restart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المجموع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1"/>
              <w:bottom w:val="single" w:color="000000" w:sz="1"/>
            </w:tcBorders>
          </w:tcPr>
          <w:p/>
        </w:tc>
        <w:tc>
          <w:tcPr>
            <w:gridSpan w:val="1"/>
            <w:vMerge w:val="continue"/>
            <w:tcBorders>
              <w:top w:val="single" w:color="000000" w:sz="1"/>
              <w:bottom w:val="single" w:color="000000" w:sz="1"/>
            </w:tcBorders>
          </w:tcPr>
          <w:p/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4</w:t>
            </w:r>
          </w:p>
        </w:tc>
        <w:tc>
          <w:tcPr>
            <w:gridSpan w:val="1"/>
            <w:vMerge w:val="continue"/>
            <w:tcBorders>
              <w:top w:val="single" w:color="000000" w:sz="1"/>
              <w:bottom w:val="single" w:color="000000" w:sz="1"/>
            </w:tcBorders>
          </w:tcPr>
          <w:p/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مع 5</w:t>
            </w:r>
          </w:p>
        </w:tc>
        <w:tc>
          <w:tcPr>
            <w:gridSpan w:val="1"/>
            <w:vMerge w:val="continue"/>
            <w:tcBorders>
              <w:top w:val="single" w:color="000000" w:sz="1"/>
              <w:bottom w:val="single" w:color="000000" w:sz="1"/>
            </w:tcBorders>
          </w:tcPr>
          <w:p/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212121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28%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أحمد صالحي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6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6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212121"/>
                <w:sz w:val="14pt"/>
                <w:szCs w:val="14pt"/>
                <w:rtl/>
                <w:lang/>
              </w:rPr>
              <w:t xml:space="preserve">2</w:t>
            </w:r>
          </w:p>
        </w:tc>
        <w:tc>
          <w:tcPr>
            <w:tcW w:type="pct" w:w="28%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سمير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4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6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212121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28%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يونس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5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5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212121"/>
                <w:sz w:val="14pt"/>
                <w:szCs w:val="14pt"/>
                <w:rtl/>
                <w:lang/>
              </w:rPr>
              <w:t xml:space="preserve">4</w:t>
            </w:r>
          </w:p>
        </w:tc>
        <w:tc>
          <w:tcPr>
            <w:tcW w:type="pct" w:w="28%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كريمة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0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4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4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8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212121"/>
                <w:sz w:val="14pt"/>
                <w:szCs w:val="14pt"/>
                <w:rtl/>
                <w:lang/>
              </w:rPr>
              <w:t xml:space="preserve">5</w:t>
            </w:r>
          </w:p>
        </w:tc>
        <w:tc>
          <w:tcPr>
            <w:tcW w:type="pct" w:w="28%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زينب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6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4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10</w:t>
            </w:r>
          </w:p>
        </w:tc>
      </w:tr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212121"/>
                <w:sz w:val="14pt"/>
                <w:szCs w:val="14pt"/>
                <w:rtl/>
                <w:lang/>
              </w:rPr>
              <w:t xml:space="preserve">6</w:t>
            </w:r>
          </w:p>
        </w:tc>
        <w:tc>
          <w:tcPr>
            <w:tcW w:type="pct" w:w="28%"/>
            <w:gridSpan w:val="1"/>
            <w:tcBorders>
              <w:top w:val="single" w:color="000000" w:sz="1"/>
              <w:bottom w:val="single" w:color="000000" w:sz="1"/>
            </w:tcBorders>
            <w:shd w:fill="FAFAFA" w:color="FAFAFA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هاجر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ff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8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8000"/>
                <w:sz w:val="14pt"/>
                <w:szCs w:val="14pt"/>
                <w:rtl/>
                <w:lang/>
              </w:rPr>
              <w:t xml:space="preserve">4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12</w:t>
            </w:r>
          </w:p>
        </w:tc>
      </w:tr>
      <w:tr>
        <w:tc>
          <w:tcPr>
            <w:tcW w:type="pct" w:w="NaNto"/>
            <w:gridSpan w:val="2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عدد المتحصلين على التملك الأقصى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2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1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/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3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/>
            </w:r>
          </w:p>
        </w:tc>
      </w:tr>
      <w:tr>
        <w:tc>
          <w:tcPr>
            <w:tcW w:type="pct" w:w="NaNto"/>
            <w:gridSpan w:val="2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النسبة المئوية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0000"/>
                <w:sz w:val="12pt"/>
                <w:szCs w:val="12pt"/>
                <w:rtl/>
                <w:lang/>
              </w:rPr>
              <w:t xml:space="preserve">33.33 % 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0000"/>
                <w:sz w:val="12pt"/>
                <w:szCs w:val="12pt"/>
                <w:rtl/>
                <w:lang/>
              </w:rPr>
              <w:t xml:space="preserve">33.33 % 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0000"/>
                <w:sz w:val="12pt"/>
                <w:szCs w:val="12pt"/>
                <w:rtl/>
                <w:lang/>
              </w:rPr>
              <w:t xml:space="preserve">50.00 % 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000000"/>
                <w:sz w:val="12pt"/>
                <w:szCs w:val="12pt"/>
                <w:rtl/>
                <w:lang/>
              </w:rPr>
              <w:t xml:space="preserve">16.67 % 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/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>50.00 % 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FFFFF" w:color="FFFFFF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 w:val="false"/>
                <w:bCs w:val="false"/>
                <w:color w:val="000000"/>
                <w:sz w:val="14pt"/>
                <w:szCs w:val="14pt"/>
                <w:rtl/>
                <w:lang/>
              </w:rPr>
              <w:t xml:space="preserve"/>
            </w:r>
          </w:p>
        </w:tc>
      </w:tr>
    </w:tbl>
    <w:p>
      <w:pPr>
        <w:sectPr>
          <w:footerReference w:type="default" r:id="rId6"/>
          <w:pgSz w:w="11906" w:h="16838" w:orient="portrait"/>
          <w:pgMar w:top="1000" w:right="900" w:bottom="1000" w:left="90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b/>
          <w:bCs/>
          <w:color w:val="1A237E"/>
          <w:sz w:val="44"/>
          <w:szCs w:val="44"/>
        </w:rPr>
        <w:t xml:space="preserve">جدول رصد الأخطاء</w:t>
      </w:r>
    </w:p>
    <w:p>
      <w:pPr>
        <w:spacing w:before="200" w:after="200"/>
        <w:jc w:val="right"/>
      </w:pPr>
      <w:r>
        <w:rPr>
          <w:sz w:val="28"/>
          <w:szCs w:val="28"/>
          <w:rtl/>
        </w:rPr>
        <w:t xml:space="preserve">الجدول الأول — تحليل الأخطاء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المعيار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الأخطاء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التلاميذ المعنيون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سبب الخطأ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العلاج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1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عدم إدراك المتعلم لمدلول كل معطى من معطيات المسألة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أحمد صالحي، هاجر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ضعف في القراءة المسترسلة أو التسرع في قراءة نص المسألة دون تفكيك المعطيات اللفظية إلى مدلولات رياضية واضحة.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تدريب التلاميذ على تلوين المعطيات اللفظية والأعداد المرتبطة بها بألوان مختلفة، واستخدام جدول لتصنيف المعطيات (مفيد/غير مفيد).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1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عدم قدرة المتعلم على اختيار المعطيات المناسبة للسؤال المطروح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سمير، زينب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صعوبة في الربط المنطقي بين السؤال والمعطيات المتاحة، أو عدم فهم المطلوب من السؤال بدقة.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تمارين تفكيك المسألة إلى أسئلة مرحلية، وربط كل سؤال بالمعطى الضروري له فقط قبل الشروع في الحل.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2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لا يقدر المتعلم على إنجاز عملية جمع بالاحتفاظ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أحمد صالحي، كريمة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عدم استيعاب مفهوم العشرات والاحتفاظ عند تجاوز الرقم 9 في المنزلة الواحدة، أو نسيان إضافة الاحتفاظ.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استخدام الألواح والمكعبات لتجسيم عملية التبادل (10 وحدات = 1 عشرة)، وتمارين مكثفة على جدول المنازل.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2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لا يقدر المتعلم على إنجاز عملية طرح بالزيادة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سمير، يونس، زينب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نسيان إضافة الواحد إلى المنزلة الموالية في الحد الثاني، أو الخلط بين تقنيات الطرح المختلفة.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اعتماد طريقة "السلف والرد" بوضوح بصري (ألوان مختلفة)، والتدرب على الحساب الذهني للمكملات إلى 10.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3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لا يقدر المتعلم على التصرف في العلاقة بين المتر وأجزائه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عدم فهم العلاقة بين المتر وأجزائه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سمير، يونس، كريمة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غياب التصور الذهني لمقادير الأطوال وصعوبة الانتقال بين الوحدات في جدول التحويلات المجرد.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صنع جدول تحويلات ملموس على الأرض أو الورق المقوى، واستخدام أدوات قيس حقيقية (المتر الشريطي) للمقارنة والتحويل.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4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لا يقدر المتعلم على عد خطوات مسلك على الشبكة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أحمد صالحي، سمير، يونس، كريمة، زينب، هاجر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الخلط بين "العقد" و"التربيعات"، أو عدم التمييز بين نقطة الانطلاق ونقطة الوصول عند عد الخطوات.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رسم شبكات عملاقة في الساحة والمشي عليها فعلياً، ثم الانتقال للرسم على السبورة مع ترقيم الخطوات بلون مغاير.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5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لايقدر المتعلم على اختيار العملية المناسبة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ينسى وضع النتيجة في العملية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أحمد صالحي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تشتت الانتباه وعدم التمييز بين الكلمات المفاتيح الدالة على الجمع أو الطرح، مع ضعف في المنهجية.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إنجاز مخطط للحل يوجب كتابة العملية أفقياً وعمودياً مع جملة الإجابة، وتدريب القرين لمراقبة المراحل.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مع 5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ينسى وضع النتيجة في العملية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سمير، يونس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التركيز على الحساب العمودي وإهمال اتمام الصياغة الكتابية للحل (العملية الأفقية) بسبب التسرع.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اعتماد "قاعدة الثلاث خطوات": أكتب العملية، أحسب النتيجة، أنقل النتيجة فوراً إلى العملية الأفقية. </w:t>
            </w:r>
          </w:p>
        </w:tc>
      </w:tr>
    </w:tbl>
    <w:p>
      <w:pPr>
        <w:spacing w:after="200"/>
      </w:pPr>
    </w:p>
    <w:p>
      <w:pPr>
        <w:spacing w:before="200" w:after="200"/>
        <w:jc w:val="right"/>
      </w:pPr>
      <w:r>
        <w:rPr>
          <w:sz w:val="28"/>
          <w:szCs w:val="28"/>
          <w:rtl/>
        </w:rPr>
        <w:t xml:space="preserve">الجدول الثاني — تصنيف التلاميذ ومقترح الخطة العلاجية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المجموعة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خصائص المجموعة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التلاميذ</w:t>
            </w:r>
          </w:p>
        </w:tc>
        <w:tc>
          <w:tcPr>
            <w:tcW w:type="pct" w:w="NaNto"/>
            <w:gridSpan w:val="1"/>
            <w:tcBorders>
              <w:top w:val="single" w:color="000000" w:sz="1"/>
              <w:bottom w:val="single" w:color="000000" w:sz="1"/>
            </w:tcBorders>
            <w:shd w:fill="F5F5F5" w:color="F5F5F5" w:val="soli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Style w:val="[object Object]"/>
                <w:b/>
                <w:bCs/>
                <w:color w:val="212121"/>
                <w:sz w:val="14pt"/>
                <w:szCs w:val="14pt"/>
                <w:rtl/>
                <w:lang/>
              </w:rPr>
              <w:t xml:space="preserve">الخطة العلاجية المقترحة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المجموعة الأولى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صعوبات في تقنية الطرح والتحويلات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سمير، يونس، زينب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1. ورشة "بائع الأشرطة": استخدام المتر الشريطي للقياس والتحويل الفعلي (لسمير ويونس).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2. تدريب مكثف على عملية الطرح الملونة (تمييز منزلة الاستعارة بلون أحمر).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3. تمارين "المتاهة" لتعلم عد خطوات المسلك على الشبكة.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المجموعة الثانية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صعوبات في تقنية الجمع والمنطق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أحمد صالحي، كريمة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1. استخدام "بنك الوحدات والعشرات" لترسيخ مفهوم الاحتفاظ في الجمع.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2. تمارين "تفكيك النص" لربط المعطيات بالأسئلة (خاصة لأحمد).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3. نشاط حركي في الساحة لضبط التنقل على الشبكة (العقد والتربيعات). </w:t>
            </w:r>
          </w:p>
        </w:tc>
      </w:tr>
      <w:tr>
        <w:tc>
          <w:tcPr>
            <w:gridSpan w:val="1"/>
            <w:shd w:fill="FAFAFA" w:color="FAFAFA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المجموعة الثالثة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صعوبات نوعية في تحليل السند والهندسة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هاجر </w:t>
            </w:r>
          </w:p>
        </w:tc>
        <w:tc>
          <w:tcPr>
            <w:gridSpan w:val="1"/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360" w:lineRule="auto"/>
              <w:jc w:val="right"/>
            </w:pP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1. تمارين القراءة الانتقائية: البحث عن الأعداد المخفية في النص وربطها بمدلولها.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2. رسم مسالك ملونة على أوراق مليمترية وتحديد إحداثيات الوصول. </w:t>
            </w:r>
            <w:r>
              <w:rPr>
                <w:b w:val="false"/>
                <w:bCs w:val="false"/>
                <w:sz w:val="28"/>
                <w:szCs w:val="28"/>
                <w:rtl/>
              </w:rPr>
              <w:br/>
              <w:t xml:space="preserve">3. تكليفها بمساعدة أقرانها في قراءة نص المسألة لتعزيز ثقتها وفهمها. </w:t>
            </w:r>
          </w:p>
        </w:tc>
      </w:tr>
    </w:tbl>
    <w:p>
      <w:pPr>
        <w:spacing w:after="200"/>
      </w:pPr>
    </w:p>
    <w:sectPr>
      <w:pgSz w:w="16838" w:h="11906" w:orient="landscape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t xml:space="preserve">Generated by Digicole.com app 18/12/2025</w:t>
    </w:r>
  </w:p>
  <w:p>
    <w:pPr>
      <w:jc w:val="center"/>
    </w:pPr>
    <w: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kkal Majalla" w:cs="Sakkal Majalla" w:eastAsia="Sakkal Majalla" w:hAnsi="Sakkal Majalla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2025-12-18T22:50:54.631Z</dcterms:created>
  <dcterms:modified xsi:type="dcterms:W3CDTF">2025-12-18T22:50:54.631Z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